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D42211B">
      <w:pPr>
        <w:rPr>
          <w:rFonts w:ascii="仿宋_GB2312" w:eastAsia="仿宋_GB2312" w:cs="ArialUnicodeMS"/>
          <w:kern w:val="0"/>
          <w:sz w:val="32"/>
          <w:szCs w:val="32"/>
        </w:rPr>
      </w:pPr>
    </w:p>
    <w:p w14:paraId="7192E312">
      <w:pPr>
        <w:rPr>
          <w:rFonts w:ascii="黑体" w:eastAsia="黑体" w:cs="ArialUnicodeMS"/>
          <w:kern w:val="0"/>
          <w:sz w:val="72"/>
          <w:szCs w:val="72"/>
        </w:rPr>
      </w:pPr>
    </w:p>
    <w:p w14:paraId="019A848D">
      <w:pPr>
        <w:rPr>
          <w:rFonts w:ascii="黑体" w:eastAsia="黑体" w:cs="ArialUnicodeMS"/>
          <w:kern w:val="0"/>
          <w:sz w:val="72"/>
          <w:szCs w:val="72"/>
        </w:rPr>
      </w:pPr>
    </w:p>
    <w:p w14:paraId="6FCC1C47">
      <w:pPr>
        <w:jc w:val="center"/>
        <w:rPr>
          <w:rFonts w:ascii="方正小标宋简体" w:eastAsia="方正小标宋简体" w:cs="ArialUnicodeMS"/>
          <w:kern w:val="0"/>
          <w:sz w:val="52"/>
          <w:szCs w:val="52"/>
        </w:rPr>
      </w:pPr>
      <w:r>
        <w:rPr>
          <w:rFonts w:hint="eastAsia" w:ascii="方正小标宋简体" w:eastAsia="方正小标宋简体" w:cs="ArialUnicodeMS"/>
          <w:kern w:val="0"/>
          <w:sz w:val="52"/>
          <w:szCs w:val="52"/>
        </w:rPr>
        <w:t>广西壮族自治区</w:t>
      </w:r>
      <w:r>
        <w:rPr>
          <w:rFonts w:hint="eastAsia" w:ascii="方正小标宋简体" w:eastAsia="方正小标宋简体" w:cs="ArialUnicodeMS"/>
          <w:kern w:val="0"/>
          <w:sz w:val="52"/>
          <w:szCs w:val="52"/>
          <w:lang w:eastAsia="zh-CN"/>
        </w:rPr>
        <w:t>北部湾港</w:t>
      </w:r>
      <w:r>
        <w:rPr>
          <w:rFonts w:hint="eastAsia" w:ascii="方正小标宋简体" w:eastAsia="方正小标宋简体"/>
          <w:kern w:val="0"/>
          <w:sz w:val="52"/>
          <w:szCs w:val="52"/>
        </w:rPr>
        <w:t>防城港引航站2023</w:t>
      </w:r>
      <w:r>
        <w:rPr>
          <w:rFonts w:hint="eastAsia" w:ascii="方正小标宋简体" w:eastAsia="方正小标宋简体" w:cs="ArialUnicodeMS"/>
          <w:kern w:val="0"/>
          <w:sz w:val="52"/>
          <w:szCs w:val="52"/>
        </w:rPr>
        <w:t>年度部门决算</w:t>
      </w:r>
    </w:p>
    <w:p w14:paraId="5742B60D">
      <w:pPr>
        <w:rPr>
          <w:rFonts w:ascii="方正小标宋简体" w:eastAsia="方正小标宋简体" w:cs="ArialUnicodeMS"/>
          <w:kern w:val="0"/>
          <w:sz w:val="84"/>
          <w:szCs w:val="84"/>
        </w:rPr>
      </w:pPr>
    </w:p>
    <w:p w14:paraId="5B1B7BE0">
      <w:pPr>
        <w:rPr>
          <w:rFonts w:hint="eastAsia" w:ascii="ArialUnicodeMS" w:hAnsi="ArialUnicodeMS"/>
          <w:kern w:val="0"/>
          <w:sz w:val="84"/>
          <w:szCs w:val="84"/>
        </w:rPr>
      </w:pPr>
    </w:p>
    <w:p w14:paraId="34B1B9F1">
      <w:pPr>
        <w:rPr>
          <w:rFonts w:hint="eastAsia" w:ascii="ArialUnicodeMS" w:hAnsi="ArialUnicodeMS"/>
          <w:kern w:val="0"/>
          <w:sz w:val="84"/>
          <w:szCs w:val="84"/>
        </w:rPr>
      </w:pPr>
    </w:p>
    <w:p w14:paraId="0FC1D149">
      <w:pPr>
        <w:rPr>
          <w:rFonts w:hint="eastAsia" w:ascii="ArialUnicodeMS" w:hAnsi="ArialUnicodeMS"/>
          <w:kern w:val="0"/>
          <w:sz w:val="84"/>
          <w:szCs w:val="84"/>
        </w:rPr>
      </w:pPr>
    </w:p>
    <w:p w14:paraId="6C83D281">
      <w:pPr>
        <w:rPr>
          <w:rFonts w:hint="eastAsia" w:ascii="ArialUnicodeMS" w:hAnsi="ArialUnicodeMS"/>
          <w:kern w:val="0"/>
          <w:sz w:val="84"/>
          <w:szCs w:val="84"/>
        </w:rPr>
      </w:pPr>
    </w:p>
    <w:p w14:paraId="0B884871">
      <w:pPr>
        <w:jc w:val="center"/>
        <w:rPr>
          <w:rFonts w:ascii="黑体" w:eastAsia="黑体"/>
          <w:kern w:val="0"/>
          <w:sz w:val="44"/>
          <w:szCs w:val="44"/>
        </w:rPr>
      </w:pPr>
    </w:p>
    <w:p w14:paraId="361CD9B4">
      <w:pPr>
        <w:jc w:val="center"/>
        <w:rPr>
          <w:rFonts w:ascii="黑体" w:eastAsia="黑体"/>
          <w:kern w:val="0"/>
          <w:sz w:val="44"/>
          <w:szCs w:val="44"/>
        </w:rPr>
      </w:pPr>
    </w:p>
    <w:p w14:paraId="61C71863">
      <w:pPr>
        <w:spacing w:line="560" w:lineRule="exact"/>
        <w:ind w:firstLine="646"/>
        <w:jc w:val="center"/>
        <w:rPr>
          <w:rFonts w:ascii="方正小标宋简体" w:eastAsia="方正小标宋简体"/>
          <w:b/>
          <w:bCs/>
          <w:sz w:val="44"/>
          <w:szCs w:val="44"/>
        </w:rPr>
      </w:pPr>
      <w:r>
        <w:rPr>
          <w:rFonts w:hint="eastAsia" w:ascii="方正小标宋简体" w:eastAsia="方正小标宋简体"/>
          <w:b/>
          <w:bCs/>
          <w:sz w:val="44"/>
          <w:szCs w:val="44"/>
        </w:rPr>
        <w:t>目    录</w:t>
      </w:r>
    </w:p>
    <w:p w14:paraId="6E4EDE85">
      <w:pPr>
        <w:spacing w:line="560" w:lineRule="exact"/>
        <w:ind w:firstLine="646"/>
        <w:jc w:val="center"/>
        <w:rPr>
          <w:rFonts w:ascii="方正小标宋简体" w:eastAsia="方正小标宋简体"/>
          <w:b/>
          <w:bCs/>
          <w:sz w:val="44"/>
          <w:szCs w:val="44"/>
        </w:rPr>
      </w:pPr>
    </w:p>
    <w:p w14:paraId="370C02AC">
      <w:pPr>
        <w:spacing w:line="560" w:lineRule="exact"/>
        <w:ind w:firstLine="645"/>
        <w:rPr>
          <w:rFonts w:ascii="仿宋_GB2312" w:eastAsia="仿宋_GB2312"/>
          <w:b/>
          <w:bCs/>
          <w:sz w:val="32"/>
          <w:szCs w:val="32"/>
        </w:rPr>
      </w:pPr>
    </w:p>
    <w:p w14:paraId="1C64218C">
      <w:pPr>
        <w:spacing w:line="560" w:lineRule="exact"/>
        <w:ind w:firstLine="645"/>
        <w:rPr>
          <w:rFonts w:ascii="黑体" w:eastAsia="黑体"/>
          <w:sz w:val="32"/>
          <w:szCs w:val="32"/>
        </w:rPr>
      </w:pPr>
      <w:r>
        <w:rPr>
          <w:rFonts w:hint="eastAsia" w:ascii="黑体" w:eastAsia="黑体"/>
          <w:sz w:val="32"/>
          <w:szCs w:val="32"/>
        </w:rPr>
        <w:t>第一部分：</w:t>
      </w:r>
      <w:r>
        <w:rPr>
          <w:rFonts w:hint="eastAsia" w:ascii="黑体" w:hAnsi="黑体" w:eastAsia="黑体"/>
          <w:bCs/>
          <w:color w:val="000000"/>
          <w:sz w:val="32"/>
          <w:szCs w:val="32"/>
        </w:rPr>
        <w:t>广西壮族自治区北部湾港防城港引航站</w:t>
      </w:r>
      <w:r>
        <w:rPr>
          <w:rFonts w:hint="eastAsia" w:ascii="黑体" w:eastAsia="黑体"/>
          <w:sz w:val="32"/>
          <w:szCs w:val="32"/>
        </w:rPr>
        <w:t>概况</w:t>
      </w:r>
    </w:p>
    <w:p w14:paraId="79EA11AC">
      <w:pPr>
        <w:spacing w:line="560" w:lineRule="exact"/>
        <w:ind w:firstLine="645"/>
        <w:rPr>
          <w:rFonts w:ascii="仿宋_GB2312" w:eastAsia="仿宋_GB2312"/>
          <w:sz w:val="32"/>
          <w:szCs w:val="32"/>
        </w:rPr>
      </w:pPr>
      <w:r>
        <w:rPr>
          <w:rFonts w:hint="eastAsia" w:ascii="仿宋_GB2312" w:eastAsia="仿宋_GB2312"/>
          <w:sz w:val="32"/>
          <w:szCs w:val="32"/>
        </w:rPr>
        <w:t>一、本部门职责</w:t>
      </w:r>
    </w:p>
    <w:p w14:paraId="1D635A44">
      <w:pPr>
        <w:spacing w:line="560" w:lineRule="exact"/>
        <w:ind w:firstLine="645"/>
        <w:rPr>
          <w:rFonts w:ascii="仿宋_GB2312" w:eastAsia="仿宋_GB2312"/>
          <w:sz w:val="32"/>
          <w:szCs w:val="32"/>
        </w:rPr>
      </w:pPr>
      <w:r>
        <w:rPr>
          <w:rFonts w:hint="eastAsia" w:ascii="仿宋_GB2312" w:eastAsia="仿宋_GB2312"/>
          <w:sz w:val="32"/>
          <w:szCs w:val="32"/>
        </w:rPr>
        <w:t>二、机构设置情况</w:t>
      </w:r>
    </w:p>
    <w:p w14:paraId="1EA66898">
      <w:pPr>
        <w:spacing w:line="560" w:lineRule="exact"/>
        <w:ind w:firstLine="645"/>
        <w:rPr>
          <w:rFonts w:ascii="仿宋_GB2312" w:eastAsia="仿宋_GB2312"/>
          <w:sz w:val="32"/>
          <w:szCs w:val="32"/>
        </w:rPr>
      </w:pPr>
    </w:p>
    <w:p w14:paraId="1D8E4C20">
      <w:pPr>
        <w:spacing w:line="560" w:lineRule="exact"/>
        <w:ind w:firstLine="645"/>
        <w:rPr>
          <w:rFonts w:ascii="黑体" w:hAnsi="黑体" w:eastAsia="黑体"/>
          <w:bCs/>
          <w:color w:val="000000"/>
          <w:sz w:val="32"/>
          <w:szCs w:val="32"/>
        </w:rPr>
      </w:pPr>
      <w:r>
        <w:rPr>
          <w:rFonts w:hint="eastAsia" w:ascii="黑体" w:eastAsia="黑体"/>
          <w:sz w:val="32"/>
          <w:szCs w:val="32"/>
        </w:rPr>
        <w:t>第二部分：</w:t>
      </w:r>
      <w:r>
        <w:rPr>
          <w:rFonts w:hint="eastAsia" w:ascii="黑体" w:hAnsi="黑体" w:eastAsia="黑体"/>
          <w:bCs/>
          <w:color w:val="000000"/>
          <w:sz w:val="32"/>
          <w:szCs w:val="32"/>
        </w:rPr>
        <w:t>广西壮族自治区北部湾港防城港引航站</w:t>
      </w:r>
    </w:p>
    <w:p w14:paraId="03E79A1D">
      <w:pPr>
        <w:spacing w:line="560" w:lineRule="exact"/>
        <w:ind w:firstLine="2262" w:firstLineChars="707"/>
        <w:rPr>
          <w:rFonts w:ascii="黑体" w:eastAsia="黑体"/>
          <w:sz w:val="32"/>
          <w:szCs w:val="32"/>
        </w:rPr>
      </w:pPr>
      <w:r>
        <w:rPr>
          <w:rFonts w:hint="eastAsia" w:ascii="黑体" w:eastAsia="黑体"/>
          <w:sz w:val="32"/>
          <w:szCs w:val="32"/>
        </w:rPr>
        <w:t>2023年度部门决算报表</w:t>
      </w:r>
    </w:p>
    <w:p w14:paraId="50C9F0DD">
      <w:pPr>
        <w:spacing w:line="560" w:lineRule="exact"/>
        <w:ind w:left="645"/>
        <w:rPr>
          <w:rFonts w:ascii="仿宋_GB2312" w:eastAsia="仿宋_GB2312"/>
          <w:sz w:val="32"/>
          <w:szCs w:val="32"/>
        </w:rPr>
      </w:pPr>
      <w:r>
        <w:rPr>
          <w:rFonts w:hint="eastAsia" w:ascii="仿宋_GB2312" w:eastAsia="仿宋_GB2312"/>
          <w:sz w:val="32"/>
          <w:szCs w:val="32"/>
        </w:rPr>
        <w:t>表一：收入支出决算总表</w:t>
      </w:r>
    </w:p>
    <w:p w14:paraId="64630F71">
      <w:pPr>
        <w:spacing w:line="560" w:lineRule="exact"/>
        <w:ind w:left="645"/>
        <w:rPr>
          <w:rFonts w:ascii="仿宋_GB2312" w:eastAsia="仿宋_GB2312"/>
          <w:sz w:val="32"/>
          <w:szCs w:val="32"/>
        </w:rPr>
      </w:pPr>
      <w:r>
        <w:rPr>
          <w:rFonts w:hint="eastAsia" w:ascii="仿宋_GB2312" w:eastAsia="仿宋_GB2312"/>
          <w:sz w:val="32"/>
          <w:szCs w:val="32"/>
        </w:rPr>
        <w:t>表二：收入决算表</w:t>
      </w:r>
    </w:p>
    <w:p w14:paraId="6EC6C727">
      <w:pPr>
        <w:spacing w:line="560" w:lineRule="exact"/>
        <w:ind w:left="645"/>
        <w:rPr>
          <w:rFonts w:ascii="仿宋_GB2312" w:eastAsia="仿宋_GB2312"/>
          <w:sz w:val="32"/>
          <w:szCs w:val="32"/>
        </w:rPr>
      </w:pPr>
      <w:r>
        <w:rPr>
          <w:rFonts w:hint="eastAsia" w:ascii="仿宋_GB2312" w:eastAsia="仿宋_GB2312"/>
          <w:sz w:val="32"/>
          <w:szCs w:val="32"/>
        </w:rPr>
        <w:t>表三：支出决算表</w:t>
      </w:r>
    </w:p>
    <w:p w14:paraId="2A3951B1">
      <w:pPr>
        <w:spacing w:line="560" w:lineRule="exact"/>
        <w:ind w:left="645"/>
        <w:rPr>
          <w:rFonts w:ascii="仿宋_GB2312" w:eastAsia="仿宋_GB2312"/>
          <w:sz w:val="32"/>
          <w:szCs w:val="32"/>
        </w:rPr>
      </w:pPr>
      <w:r>
        <w:rPr>
          <w:rFonts w:hint="eastAsia" w:ascii="仿宋_GB2312" w:eastAsia="仿宋_GB2312"/>
          <w:sz w:val="32"/>
          <w:szCs w:val="32"/>
        </w:rPr>
        <w:t>表四：财政拨款收入支出决算总表</w:t>
      </w:r>
    </w:p>
    <w:p w14:paraId="7E500E5E">
      <w:pPr>
        <w:spacing w:line="560" w:lineRule="exact"/>
        <w:ind w:left="645"/>
        <w:rPr>
          <w:rFonts w:ascii="仿宋_GB2312" w:eastAsia="仿宋_GB2312"/>
          <w:sz w:val="32"/>
          <w:szCs w:val="32"/>
        </w:rPr>
      </w:pPr>
      <w:r>
        <w:rPr>
          <w:rFonts w:hint="eastAsia" w:ascii="仿宋_GB2312" w:eastAsia="仿宋_GB2312"/>
          <w:sz w:val="32"/>
          <w:szCs w:val="32"/>
        </w:rPr>
        <w:t>表五：一般公共预算财政拨款支出决算表</w:t>
      </w:r>
    </w:p>
    <w:p w14:paraId="37AAC5F9">
      <w:pPr>
        <w:spacing w:line="560" w:lineRule="exact"/>
        <w:ind w:left="645"/>
        <w:rPr>
          <w:rFonts w:ascii="仿宋_GB2312" w:eastAsia="仿宋_GB2312"/>
          <w:sz w:val="32"/>
          <w:szCs w:val="32"/>
        </w:rPr>
      </w:pPr>
      <w:r>
        <w:rPr>
          <w:rFonts w:hint="eastAsia" w:ascii="仿宋_GB2312" w:eastAsia="仿宋_GB2312"/>
          <w:sz w:val="32"/>
          <w:szCs w:val="32"/>
        </w:rPr>
        <w:t>表六：一般公共预算财政拨款基本支出决算明细表</w:t>
      </w:r>
    </w:p>
    <w:p w14:paraId="09C89A09">
      <w:pPr>
        <w:spacing w:line="560" w:lineRule="exact"/>
        <w:ind w:left="645"/>
        <w:rPr>
          <w:rFonts w:ascii="仿宋_GB2312" w:eastAsia="仿宋_GB2312"/>
          <w:sz w:val="32"/>
          <w:szCs w:val="32"/>
        </w:rPr>
      </w:pPr>
      <w:r>
        <w:rPr>
          <w:rFonts w:hint="eastAsia" w:ascii="仿宋_GB2312" w:eastAsia="仿宋_GB2312"/>
          <w:sz w:val="32"/>
          <w:szCs w:val="32"/>
        </w:rPr>
        <w:t>表七：政府性基金预算财政拨款收入支出决算表</w:t>
      </w:r>
    </w:p>
    <w:p w14:paraId="64E7F126">
      <w:pPr>
        <w:spacing w:line="560" w:lineRule="exact"/>
        <w:ind w:left="645"/>
        <w:rPr>
          <w:rFonts w:ascii="仿宋_GB2312" w:eastAsia="仿宋_GB2312"/>
          <w:sz w:val="32"/>
          <w:szCs w:val="32"/>
        </w:rPr>
      </w:pPr>
      <w:r>
        <w:rPr>
          <w:rFonts w:hint="eastAsia" w:ascii="仿宋_GB2312" w:eastAsia="仿宋_GB2312"/>
          <w:sz w:val="32"/>
          <w:szCs w:val="32"/>
        </w:rPr>
        <w:t>表八：国有资本经营预算财政拨款支出决算表</w:t>
      </w:r>
    </w:p>
    <w:p w14:paraId="166BA4E8">
      <w:pPr>
        <w:spacing w:line="560" w:lineRule="exact"/>
        <w:ind w:left="645"/>
        <w:rPr>
          <w:rFonts w:ascii="仿宋_GB2312" w:eastAsia="仿宋_GB2312"/>
          <w:sz w:val="32"/>
          <w:szCs w:val="32"/>
        </w:rPr>
      </w:pPr>
      <w:r>
        <w:rPr>
          <w:rFonts w:hint="eastAsia" w:ascii="仿宋_GB2312" w:eastAsia="仿宋_GB2312"/>
          <w:sz w:val="32"/>
          <w:szCs w:val="32"/>
        </w:rPr>
        <w:t>表九：财政拨款安排的“三公”经费支出决算表</w:t>
      </w:r>
    </w:p>
    <w:p w14:paraId="605B730B">
      <w:pPr>
        <w:spacing w:line="560" w:lineRule="exact"/>
        <w:ind w:left="645"/>
        <w:rPr>
          <w:rFonts w:ascii="仿宋_GB2312" w:eastAsia="仿宋_GB2312"/>
          <w:sz w:val="32"/>
          <w:szCs w:val="32"/>
        </w:rPr>
      </w:pPr>
    </w:p>
    <w:p w14:paraId="3C248D7C">
      <w:pPr>
        <w:spacing w:line="560" w:lineRule="exact"/>
        <w:ind w:firstLine="645"/>
        <w:rPr>
          <w:rFonts w:ascii="黑体" w:hAnsi="黑体" w:eastAsia="黑体"/>
          <w:bCs/>
          <w:color w:val="000000"/>
          <w:sz w:val="32"/>
          <w:szCs w:val="32"/>
        </w:rPr>
      </w:pPr>
      <w:r>
        <w:rPr>
          <w:rFonts w:hint="eastAsia" w:ascii="黑体" w:eastAsia="黑体"/>
          <w:sz w:val="32"/>
          <w:szCs w:val="32"/>
        </w:rPr>
        <w:t>第三部分：</w:t>
      </w:r>
      <w:r>
        <w:rPr>
          <w:rFonts w:hint="eastAsia" w:ascii="黑体" w:hAnsi="黑体" w:eastAsia="黑体"/>
          <w:bCs/>
          <w:color w:val="000000"/>
          <w:sz w:val="32"/>
          <w:szCs w:val="32"/>
        </w:rPr>
        <w:t>广西壮族自治区北部湾港防城港引航站</w:t>
      </w:r>
    </w:p>
    <w:p w14:paraId="2F056522">
      <w:pPr>
        <w:spacing w:line="560" w:lineRule="exact"/>
        <w:ind w:firstLine="2262" w:firstLineChars="707"/>
        <w:rPr>
          <w:rFonts w:ascii="黑体" w:eastAsia="黑体"/>
          <w:sz w:val="32"/>
          <w:szCs w:val="32"/>
        </w:rPr>
      </w:pPr>
      <w:r>
        <w:rPr>
          <w:rFonts w:hint="eastAsia" w:ascii="黑体" w:eastAsia="黑体"/>
          <w:sz w:val="32"/>
          <w:szCs w:val="32"/>
        </w:rPr>
        <w:t>2023年度部门决算情况说明</w:t>
      </w:r>
    </w:p>
    <w:p w14:paraId="758FF11A">
      <w:pPr>
        <w:autoSpaceDE w:val="0"/>
        <w:autoSpaceDN w:val="0"/>
        <w:adjustRightInd w:val="0"/>
        <w:spacing w:line="56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一、2023 年度收入支出决算总体情况。</w:t>
      </w:r>
    </w:p>
    <w:p w14:paraId="3C2DB6DB">
      <w:pPr>
        <w:autoSpaceDE w:val="0"/>
        <w:autoSpaceDN w:val="0"/>
        <w:adjustRightInd w:val="0"/>
        <w:spacing w:line="56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二、2023 年度</w:t>
      </w:r>
      <w:r>
        <w:rPr>
          <w:rFonts w:hint="eastAsia" w:ascii="仿宋_GB2312" w:eastAsia="仿宋_GB2312"/>
          <w:sz w:val="32"/>
          <w:szCs w:val="32"/>
        </w:rPr>
        <w:t>一般</w:t>
      </w:r>
      <w:r>
        <w:rPr>
          <w:rFonts w:hint="eastAsia" w:ascii="仿宋_GB2312" w:eastAsia="仿宋_GB2312"/>
          <w:kern w:val="0"/>
          <w:sz w:val="32"/>
          <w:szCs w:val="32"/>
        </w:rPr>
        <w:t>公共预算财政拨款支出决算情况。</w:t>
      </w:r>
    </w:p>
    <w:p w14:paraId="167E8C4A">
      <w:pPr>
        <w:autoSpaceDE w:val="0"/>
        <w:autoSpaceDN w:val="0"/>
        <w:adjustRightInd w:val="0"/>
        <w:spacing w:line="56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三、2023年度一般公共预算财政拨款基本支出决算情况说明。</w:t>
      </w:r>
    </w:p>
    <w:p w14:paraId="3F938D6C">
      <w:pPr>
        <w:autoSpaceDE w:val="0"/>
        <w:autoSpaceDN w:val="0"/>
        <w:adjustRightInd w:val="0"/>
        <w:spacing w:line="56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四、2023 年度政府性基金支出决算情况。</w:t>
      </w:r>
    </w:p>
    <w:p w14:paraId="74A6A1EE">
      <w:pPr>
        <w:autoSpaceDE w:val="0"/>
        <w:autoSpaceDN w:val="0"/>
        <w:adjustRightInd w:val="0"/>
        <w:spacing w:line="56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五、2023年度国有资本经营预算支出决算情况</w:t>
      </w:r>
    </w:p>
    <w:p w14:paraId="67341A6B">
      <w:pPr>
        <w:autoSpaceDE w:val="0"/>
        <w:autoSpaceDN w:val="0"/>
        <w:adjustRightInd w:val="0"/>
        <w:spacing w:line="56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六、财政拨款安排的“三公”经费支出决算情况说明。</w:t>
      </w:r>
    </w:p>
    <w:p w14:paraId="7F2C4388">
      <w:pPr>
        <w:autoSpaceDE w:val="0"/>
        <w:autoSpaceDN w:val="0"/>
        <w:adjustRightInd w:val="0"/>
        <w:spacing w:line="56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七、其他重要事项情况说明。</w:t>
      </w:r>
    </w:p>
    <w:p w14:paraId="31DFACA0">
      <w:pPr>
        <w:autoSpaceDE w:val="0"/>
        <w:autoSpaceDN w:val="0"/>
        <w:adjustRightInd w:val="0"/>
        <w:spacing w:line="560" w:lineRule="exact"/>
        <w:ind w:firstLine="640" w:firstLineChars="200"/>
        <w:jc w:val="left"/>
        <w:rPr>
          <w:rFonts w:ascii="仿宋_GB2312" w:eastAsia="仿宋_GB2312"/>
          <w:kern w:val="0"/>
          <w:sz w:val="32"/>
          <w:szCs w:val="32"/>
        </w:rPr>
      </w:pPr>
      <w:r>
        <w:rPr>
          <w:rFonts w:hint="eastAsia" w:ascii="仿宋_GB2312" w:eastAsia="仿宋_GB2312"/>
          <w:kern w:val="0"/>
          <w:sz w:val="32"/>
          <w:szCs w:val="32"/>
        </w:rPr>
        <w:t>八、预算绩效管理工作开展情况。</w:t>
      </w:r>
    </w:p>
    <w:p w14:paraId="624D14BB">
      <w:pPr>
        <w:autoSpaceDE w:val="0"/>
        <w:autoSpaceDN w:val="0"/>
        <w:adjustRightInd w:val="0"/>
        <w:spacing w:line="560" w:lineRule="exact"/>
        <w:ind w:firstLine="640" w:firstLineChars="200"/>
        <w:jc w:val="left"/>
        <w:rPr>
          <w:rFonts w:ascii="仿宋_GB2312" w:eastAsia="仿宋_GB2312"/>
          <w:b/>
          <w:bCs/>
          <w:sz w:val="32"/>
          <w:szCs w:val="32"/>
        </w:rPr>
      </w:pPr>
      <w:r>
        <w:rPr>
          <w:rFonts w:hint="eastAsia" w:ascii="黑体" w:eastAsia="黑体" w:cs="仿宋_GB2312"/>
          <w:kern w:val="0"/>
          <w:sz w:val="32"/>
          <w:szCs w:val="32"/>
        </w:rPr>
        <w:t>第四部分：名词解释</w:t>
      </w:r>
    </w:p>
    <w:p w14:paraId="003A65A3">
      <w:pPr>
        <w:rPr>
          <w:rFonts w:ascii="仿宋_GB2312" w:eastAsia="仿宋_GB2312"/>
          <w:b/>
          <w:bCs/>
          <w:sz w:val="32"/>
          <w:szCs w:val="32"/>
        </w:rPr>
      </w:pPr>
    </w:p>
    <w:p w14:paraId="49912418">
      <w:pPr>
        <w:rPr>
          <w:rFonts w:ascii="仿宋_GB2312" w:eastAsia="仿宋_GB2312"/>
          <w:b/>
          <w:bCs/>
          <w:sz w:val="32"/>
          <w:szCs w:val="32"/>
        </w:rPr>
      </w:pPr>
    </w:p>
    <w:p w14:paraId="17282AD1">
      <w:pPr>
        <w:rPr>
          <w:rFonts w:ascii="仿宋_GB2312" w:eastAsia="仿宋_GB2312"/>
          <w:b/>
          <w:bCs/>
          <w:sz w:val="32"/>
          <w:szCs w:val="32"/>
        </w:rPr>
      </w:pPr>
    </w:p>
    <w:p w14:paraId="48C401DA">
      <w:pPr>
        <w:rPr>
          <w:rFonts w:ascii="仿宋_GB2312" w:eastAsia="仿宋_GB2312"/>
          <w:b/>
          <w:bCs/>
          <w:sz w:val="32"/>
          <w:szCs w:val="32"/>
        </w:rPr>
      </w:pPr>
    </w:p>
    <w:p w14:paraId="10CF07B9">
      <w:pPr>
        <w:rPr>
          <w:rFonts w:ascii="仿宋_GB2312" w:eastAsia="仿宋_GB2312"/>
          <w:b/>
          <w:bCs/>
          <w:sz w:val="32"/>
          <w:szCs w:val="32"/>
        </w:rPr>
      </w:pPr>
    </w:p>
    <w:p w14:paraId="3E23A1AA">
      <w:pPr>
        <w:rPr>
          <w:rFonts w:ascii="仿宋_GB2312" w:eastAsia="仿宋_GB2312"/>
          <w:b/>
          <w:bCs/>
          <w:sz w:val="32"/>
          <w:szCs w:val="32"/>
        </w:rPr>
      </w:pPr>
    </w:p>
    <w:p w14:paraId="42F56D4B">
      <w:pPr>
        <w:rPr>
          <w:rFonts w:ascii="仿宋_GB2312" w:eastAsia="仿宋_GB2312"/>
          <w:b/>
          <w:bCs/>
          <w:sz w:val="32"/>
          <w:szCs w:val="32"/>
        </w:rPr>
      </w:pPr>
    </w:p>
    <w:p w14:paraId="2891C56A">
      <w:pPr>
        <w:rPr>
          <w:rFonts w:ascii="仿宋_GB2312" w:eastAsia="仿宋_GB2312"/>
          <w:b/>
          <w:bCs/>
          <w:sz w:val="32"/>
          <w:szCs w:val="32"/>
        </w:rPr>
      </w:pPr>
    </w:p>
    <w:p w14:paraId="7156E655">
      <w:pPr>
        <w:rPr>
          <w:rFonts w:ascii="仿宋_GB2312" w:eastAsia="仿宋_GB2312"/>
          <w:b/>
          <w:bCs/>
          <w:sz w:val="32"/>
          <w:szCs w:val="32"/>
        </w:rPr>
      </w:pPr>
    </w:p>
    <w:p w14:paraId="4D2EC552">
      <w:pPr>
        <w:rPr>
          <w:rFonts w:ascii="仿宋_GB2312" w:eastAsia="仿宋_GB2312"/>
          <w:b/>
          <w:bCs/>
          <w:sz w:val="32"/>
          <w:szCs w:val="32"/>
        </w:rPr>
      </w:pPr>
    </w:p>
    <w:p w14:paraId="39B0A967">
      <w:pPr>
        <w:rPr>
          <w:rFonts w:ascii="仿宋_GB2312" w:eastAsia="仿宋_GB2312"/>
          <w:b/>
          <w:bCs/>
          <w:sz w:val="32"/>
          <w:szCs w:val="32"/>
        </w:rPr>
      </w:pPr>
    </w:p>
    <w:p w14:paraId="29369195">
      <w:pPr>
        <w:rPr>
          <w:rFonts w:ascii="仿宋_GB2312" w:eastAsia="仿宋_GB2312"/>
          <w:b/>
          <w:bCs/>
          <w:sz w:val="32"/>
          <w:szCs w:val="32"/>
        </w:rPr>
      </w:pPr>
    </w:p>
    <w:p w14:paraId="22F3EACD">
      <w:pPr>
        <w:rPr>
          <w:rFonts w:ascii="仿宋_GB2312" w:eastAsia="仿宋_GB2312"/>
          <w:b/>
          <w:bCs/>
          <w:sz w:val="32"/>
          <w:szCs w:val="32"/>
        </w:rPr>
      </w:pPr>
    </w:p>
    <w:p w14:paraId="08D9FB18">
      <w:pPr>
        <w:rPr>
          <w:rFonts w:ascii="仿宋_GB2312" w:eastAsia="仿宋_GB2312"/>
          <w:b/>
          <w:bCs/>
          <w:sz w:val="32"/>
          <w:szCs w:val="32"/>
        </w:rPr>
      </w:pPr>
    </w:p>
    <w:p w14:paraId="53D4D80B">
      <w:pPr>
        <w:rPr>
          <w:rFonts w:ascii="仿宋_GB2312" w:eastAsia="仿宋_GB2312"/>
          <w:b/>
          <w:bCs/>
          <w:sz w:val="32"/>
          <w:szCs w:val="32"/>
        </w:rPr>
      </w:pPr>
    </w:p>
    <w:p w14:paraId="23C9DB00">
      <w:pPr>
        <w:rPr>
          <w:rFonts w:ascii="仿宋_GB2312" w:eastAsia="仿宋_GB2312"/>
          <w:b/>
          <w:bCs/>
          <w:sz w:val="32"/>
          <w:szCs w:val="32"/>
        </w:rPr>
      </w:pPr>
    </w:p>
    <w:p w14:paraId="74C9B175">
      <w:pPr>
        <w:spacing w:line="560" w:lineRule="exact"/>
        <w:ind w:firstLine="646"/>
        <w:jc w:val="center"/>
        <w:rPr>
          <w:rFonts w:ascii="黑体" w:eastAsia="黑体"/>
          <w:sz w:val="32"/>
          <w:szCs w:val="32"/>
        </w:rPr>
      </w:pPr>
      <w:r>
        <w:rPr>
          <w:rFonts w:hint="eastAsia" w:ascii="黑体" w:eastAsia="黑体"/>
          <w:sz w:val="32"/>
          <w:szCs w:val="32"/>
        </w:rPr>
        <w:t>第一部分：</w:t>
      </w:r>
      <w:r>
        <w:rPr>
          <w:rFonts w:hint="eastAsia" w:ascii="黑体" w:hAnsi="黑体" w:eastAsia="黑体"/>
          <w:bCs/>
          <w:color w:val="000000"/>
          <w:sz w:val="32"/>
          <w:szCs w:val="32"/>
        </w:rPr>
        <w:t>广西壮族自治区北部湾港防城港引航站</w:t>
      </w:r>
      <w:r>
        <w:rPr>
          <w:rFonts w:hint="eastAsia" w:ascii="黑体" w:eastAsia="黑体"/>
          <w:sz w:val="32"/>
          <w:szCs w:val="32"/>
        </w:rPr>
        <w:t>概况</w:t>
      </w:r>
    </w:p>
    <w:p w14:paraId="01F6A761">
      <w:pPr>
        <w:spacing w:line="560" w:lineRule="exact"/>
        <w:ind w:firstLine="646"/>
        <w:jc w:val="center"/>
        <w:rPr>
          <w:rFonts w:ascii="黑体" w:eastAsia="黑体"/>
          <w:sz w:val="32"/>
          <w:szCs w:val="32"/>
        </w:rPr>
      </w:pPr>
    </w:p>
    <w:p w14:paraId="2E2545DB">
      <w:pPr>
        <w:spacing w:line="560" w:lineRule="exact"/>
        <w:ind w:firstLine="646"/>
        <w:rPr>
          <w:rFonts w:ascii="黑体" w:eastAsia="黑体"/>
          <w:sz w:val="32"/>
          <w:szCs w:val="32"/>
        </w:rPr>
      </w:pPr>
      <w:r>
        <w:rPr>
          <w:rFonts w:hint="eastAsia" w:ascii="黑体" w:eastAsia="黑体"/>
          <w:sz w:val="32"/>
          <w:szCs w:val="32"/>
        </w:rPr>
        <w:t>一、本部门职责</w:t>
      </w:r>
    </w:p>
    <w:p w14:paraId="7DD23FD9">
      <w:pPr>
        <w:ind w:firstLine="646"/>
        <w:rPr>
          <w:rFonts w:ascii="仿宋_GB2312" w:eastAsia="仿宋_GB2312"/>
          <w:sz w:val="32"/>
          <w:szCs w:val="32"/>
        </w:rPr>
      </w:pPr>
      <w:r>
        <w:rPr>
          <w:rFonts w:hint="eastAsia" w:ascii="仿宋_GB2312" w:eastAsia="仿宋_GB2312"/>
          <w:sz w:val="32"/>
          <w:szCs w:val="32"/>
        </w:rPr>
        <w:t>根据自治区党委编办《关于调整自治区交通运输厅所属事业单位机构编制批复》（桂编办复〔2019〕114 号），广西壮族自治区北部湾港口管理局防城港引航站更名为广西壮族自治区北部湾港防城港引航站，为公益二类单位。广西壮族自治区北部湾港防城港引航站主要职责是为外国籍船舶及申请引航的中国籍船舶提供引航服务。</w:t>
      </w:r>
    </w:p>
    <w:p w14:paraId="652F461E">
      <w:pPr>
        <w:spacing w:line="560" w:lineRule="exact"/>
        <w:ind w:firstLine="646"/>
        <w:rPr>
          <w:rFonts w:ascii="黑体" w:eastAsia="黑体"/>
          <w:sz w:val="32"/>
          <w:szCs w:val="32"/>
        </w:rPr>
      </w:pPr>
      <w:r>
        <w:rPr>
          <w:rFonts w:hint="eastAsia" w:ascii="黑体" w:eastAsia="黑体"/>
          <w:sz w:val="32"/>
          <w:szCs w:val="32"/>
        </w:rPr>
        <w:t>二、机构设置情况</w:t>
      </w:r>
    </w:p>
    <w:p w14:paraId="6162B6E8">
      <w:pPr>
        <w:ind w:firstLine="645"/>
        <w:rPr>
          <w:rFonts w:ascii="仿宋_GB2312" w:eastAsia="仿宋_GB2312"/>
          <w:sz w:val="32"/>
          <w:szCs w:val="32"/>
        </w:rPr>
      </w:pPr>
      <w:r>
        <w:rPr>
          <w:rFonts w:hint="eastAsia" w:ascii="仿宋_GB2312" w:eastAsia="仿宋_GB2312"/>
          <w:sz w:val="32"/>
          <w:szCs w:val="32"/>
        </w:rPr>
        <w:t>广西壮族自治区北部湾港防城港引航站为广西壮族自治区港航发展中心下设的直属独立法人单位，纳入决算单位1个，即广西壮族自治区北部湾港防城港引航站。设置以下职能科（室），即：办公室、财务科、引航调度科和安全技术科。</w:t>
      </w:r>
    </w:p>
    <w:p w14:paraId="0B702090">
      <w:pPr>
        <w:ind w:firstLine="645"/>
        <w:rPr>
          <w:rFonts w:ascii="仿宋_GB2312" w:eastAsia="仿宋_GB2312"/>
          <w:sz w:val="32"/>
          <w:szCs w:val="32"/>
        </w:rPr>
      </w:pPr>
    </w:p>
    <w:p w14:paraId="6DBC1D6A">
      <w:pPr>
        <w:spacing w:line="560" w:lineRule="exact"/>
        <w:jc w:val="center"/>
        <w:rPr>
          <w:rFonts w:ascii="黑体" w:hAnsi="黑体" w:eastAsia="黑体"/>
          <w:bCs/>
          <w:color w:val="000000"/>
          <w:sz w:val="32"/>
          <w:szCs w:val="32"/>
        </w:rPr>
      </w:pPr>
      <w:r>
        <w:rPr>
          <w:rFonts w:hint="eastAsia" w:ascii="黑体" w:eastAsia="黑体"/>
          <w:sz w:val="32"/>
          <w:szCs w:val="32"/>
        </w:rPr>
        <w:t>第二部分：</w:t>
      </w:r>
      <w:r>
        <w:rPr>
          <w:rFonts w:hint="eastAsia" w:ascii="黑体" w:hAnsi="黑体" w:eastAsia="黑体"/>
          <w:bCs/>
          <w:color w:val="000000"/>
          <w:sz w:val="32"/>
          <w:szCs w:val="32"/>
        </w:rPr>
        <w:t>广西壮族自治区北部湾港防城港引航站</w:t>
      </w:r>
    </w:p>
    <w:p w14:paraId="1BB0173A">
      <w:pPr>
        <w:spacing w:line="560" w:lineRule="exact"/>
        <w:jc w:val="center"/>
        <w:rPr>
          <w:rFonts w:ascii="黑体" w:eastAsia="黑体"/>
          <w:sz w:val="32"/>
          <w:szCs w:val="32"/>
        </w:rPr>
      </w:pPr>
      <w:r>
        <w:rPr>
          <w:rFonts w:hint="eastAsia" w:ascii="黑体" w:eastAsia="黑体"/>
          <w:sz w:val="32"/>
          <w:szCs w:val="32"/>
        </w:rPr>
        <w:t>2023年度部门决算报表</w:t>
      </w:r>
    </w:p>
    <w:p w14:paraId="5B6AD920">
      <w:pPr>
        <w:spacing w:line="560" w:lineRule="exact"/>
        <w:jc w:val="center"/>
        <w:rPr>
          <w:rFonts w:ascii="黑体" w:eastAsia="黑体"/>
          <w:sz w:val="32"/>
          <w:szCs w:val="32"/>
        </w:rPr>
      </w:pPr>
    </w:p>
    <w:p w14:paraId="72CB1B3F">
      <w:pPr>
        <w:ind w:firstLine="645"/>
        <w:rPr>
          <w:rFonts w:ascii="仿宋_GB2312" w:eastAsia="仿宋_GB2312"/>
          <w:sz w:val="32"/>
          <w:szCs w:val="32"/>
        </w:rPr>
      </w:pPr>
      <w:r>
        <w:rPr>
          <w:rFonts w:hint="eastAsia" w:ascii="仿宋_GB2312" w:eastAsia="仿宋_GB2312"/>
          <w:sz w:val="32"/>
          <w:szCs w:val="32"/>
        </w:rPr>
        <w:t>详见附件广西壮族自治区北部湾港防城港引航站2023年度部门决算公开附表</w:t>
      </w:r>
    </w:p>
    <w:p w14:paraId="64CDAE02">
      <w:pPr>
        <w:spacing w:line="560" w:lineRule="exact"/>
        <w:rPr>
          <w:rFonts w:ascii="宋体"/>
          <w:sz w:val="32"/>
          <w:szCs w:val="32"/>
        </w:rPr>
      </w:pPr>
    </w:p>
    <w:p w14:paraId="11D77E85"/>
    <w:p w14:paraId="6ADDD041"/>
    <w:p w14:paraId="64BF6272">
      <w:pPr>
        <w:spacing w:line="560" w:lineRule="exact"/>
        <w:jc w:val="center"/>
        <w:rPr>
          <w:rFonts w:ascii="黑体" w:eastAsia="黑体"/>
          <w:sz w:val="32"/>
          <w:szCs w:val="32"/>
        </w:rPr>
      </w:pPr>
      <w:r>
        <w:rPr>
          <w:rFonts w:hint="eastAsia" w:ascii="黑体" w:eastAsia="黑体"/>
          <w:sz w:val="32"/>
          <w:szCs w:val="32"/>
        </w:rPr>
        <w:t>第三部分：广西壮族自治区北部湾港防城港引航站</w:t>
      </w:r>
    </w:p>
    <w:p w14:paraId="32C6516E">
      <w:pPr>
        <w:spacing w:line="560" w:lineRule="exact"/>
        <w:jc w:val="center"/>
        <w:rPr>
          <w:rFonts w:ascii="黑体" w:eastAsia="黑体"/>
          <w:sz w:val="32"/>
          <w:szCs w:val="32"/>
        </w:rPr>
      </w:pPr>
      <w:r>
        <w:rPr>
          <w:rFonts w:hint="eastAsia" w:ascii="黑体" w:eastAsia="黑体"/>
          <w:sz w:val="32"/>
          <w:szCs w:val="32"/>
        </w:rPr>
        <w:t>2023年度部门决算情况说明</w:t>
      </w:r>
    </w:p>
    <w:p w14:paraId="11A52D55">
      <w:pPr>
        <w:spacing w:line="560" w:lineRule="exact"/>
        <w:jc w:val="center"/>
        <w:rPr>
          <w:rFonts w:ascii="黑体" w:eastAsia="黑体"/>
          <w:sz w:val="32"/>
          <w:szCs w:val="32"/>
        </w:rPr>
      </w:pPr>
    </w:p>
    <w:p w14:paraId="55877269">
      <w:pPr>
        <w:autoSpaceDE w:val="0"/>
        <w:autoSpaceDN w:val="0"/>
        <w:adjustRightInd w:val="0"/>
        <w:spacing w:line="560" w:lineRule="exact"/>
        <w:ind w:firstLine="640" w:firstLineChars="200"/>
        <w:jc w:val="left"/>
        <w:rPr>
          <w:rFonts w:ascii="黑体" w:eastAsia="黑体" w:cs="仿宋_GB2312"/>
          <w:kern w:val="0"/>
          <w:sz w:val="32"/>
          <w:szCs w:val="32"/>
        </w:rPr>
      </w:pPr>
      <w:r>
        <w:rPr>
          <w:rFonts w:hint="eastAsia" w:ascii="黑体" w:eastAsia="黑体" w:cs="仿宋_GB2312"/>
          <w:kern w:val="0"/>
          <w:sz w:val="32"/>
          <w:szCs w:val="32"/>
        </w:rPr>
        <w:t>一、</w:t>
      </w:r>
      <w:r>
        <w:rPr>
          <w:rFonts w:hint="eastAsia" w:ascii="黑体" w:eastAsia="黑体"/>
          <w:kern w:val="0"/>
          <w:sz w:val="32"/>
          <w:szCs w:val="32"/>
        </w:rPr>
        <w:t>2023</w:t>
      </w:r>
      <w:r>
        <w:rPr>
          <w:rFonts w:hint="eastAsia" w:ascii="黑体" w:eastAsia="黑体" w:cs="仿宋_GB2312"/>
          <w:kern w:val="0"/>
          <w:sz w:val="32"/>
          <w:szCs w:val="32"/>
        </w:rPr>
        <w:t>年度收入支出决算总体情况</w:t>
      </w:r>
    </w:p>
    <w:p w14:paraId="410BC047">
      <w:pPr>
        <w:autoSpaceDE w:val="0"/>
        <w:autoSpaceDN w:val="0"/>
        <w:adjustRightInd w:val="0"/>
        <w:spacing w:line="560" w:lineRule="exact"/>
        <w:ind w:firstLine="640" w:firstLineChars="200"/>
        <w:rPr>
          <w:rFonts w:ascii="仿宋_GB2312" w:eastAsia="仿宋_GB2312"/>
          <w:kern w:val="0"/>
          <w:sz w:val="32"/>
          <w:szCs w:val="32"/>
          <w:highlight w:val="none"/>
        </w:rPr>
      </w:pPr>
      <w:r>
        <w:rPr>
          <w:rFonts w:hint="eastAsia" w:ascii="仿宋_GB2312" w:eastAsia="仿宋_GB2312"/>
          <w:kern w:val="0"/>
          <w:sz w:val="32"/>
          <w:szCs w:val="32"/>
        </w:rPr>
        <w:t>（一）本部门2023年度总收入6941.93万元，其中本年收入5658.93万元，较2022年度决算数</w:t>
      </w:r>
      <w:r>
        <w:rPr>
          <w:rFonts w:hint="eastAsia" w:ascii="仿宋_GB2312" w:eastAsia="仿宋_GB2312"/>
          <w:kern w:val="0"/>
          <w:sz w:val="32"/>
          <w:szCs w:val="32"/>
          <w:highlight w:val="none"/>
        </w:rPr>
        <w:t>4688.08增加970.85万元，增长20.71%。收入具体情况如下。</w:t>
      </w:r>
    </w:p>
    <w:p w14:paraId="65DD4A09">
      <w:pPr>
        <w:autoSpaceDE w:val="0"/>
        <w:autoSpaceDN w:val="0"/>
        <w:adjustRightInd w:val="0"/>
        <w:spacing w:line="560" w:lineRule="exact"/>
        <w:ind w:firstLine="627" w:firstLineChars="196"/>
        <w:rPr>
          <w:rFonts w:ascii="仿宋_GB2312" w:eastAsia="仿宋_GB2312"/>
          <w:kern w:val="0"/>
          <w:sz w:val="32"/>
          <w:szCs w:val="32"/>
        </w:rPr>
      </w:pPr>
      <w:r>
        <w:rPr>
          <w:rFonts w:hint="eastAsia" w:ascii="仿宋_GB2312" w:eastAsia="仿宋_GB2312"/>
          <w:kern w:val="0"/>
          <w:sz w:val="32"/>
          <w:szCs w:val="32"/>
        </w:rPr>
        <w:t>1.事业收入5658.93万元，为事业单位开展业务活动取得的收入。较2022年度决算数4645.06增加1013.87万元，增长21.83 %，主要原因是2023年引航艘次和引航（移泊）费增加。</w:t>
      </w:r>
    </w:p>
    <w:p w14:paraId="5DEE6B99">
      <w:pPr>
        <w:autoSpaceDE w:val="0"/>
        <w:autoSpaceDN w:val="0"/>
        <w:adjustRightInd w:val="0"/>
        <w:spacing w:line="560" w:lineRule="exact"/>
        <w:ind w:firstLine="627" w:firstLineChars="196"/>
        <w:rPr>
          <w:rFonts w:ascii="仿宋_GB2312" w:eastAsia="仿宋_GB2312"/>
          <w:kern w:val="0"/>
          <w:sz w:val="32"/>
          <w:szCs w:val="32"/>
        </w:rPr>
      </w:pPr>
      <w:r>
        <w:rPr>
          <w:rFonts w:hint="eastAsia" w:ascii="仿宋_GB2312" w:eastAsia="仿宋_GB2312"/>
          <w:kern w:val="0"/>
          <w:sz w:val="32"/>
          <w:szCs w:val="32"/>
          <w:lang w:val="en-US" w:eastAsia="zh-CN"/>
        </w:rPr>
        <w:t>2</w:t>
      </w:r>
      <w:r>
        <w:rPr>
          <w:rFonts w:hint="eastAsia" w:ascii="仿宋_GB2312" w:eastAsia="仿宋_GB2312"/>
          <w:kern w:val="0"/>
          <w:sz w:val="32"/>
          <w:szCs w:val="32"/>
        </w:rPr>
        <w:t>.使用非财政拨款结余（含专用结余）1283万元，主要是所属事业单位在当年的“财政拨款收入”“事业收入”“经营收入”及“其他收入”不能保证其支出的情况下，使用以前年度积累的非财政拨款结余、</w:t>
      </w:r>
      <w:r>
        <w:rPr>
          <w:rFonts w:hint="eastAsia" w:ascii="仿宋_GB2312" w:eastAsia="仿宋_GB2312"/>
          <w:sz w:val="32"/>
          <w:szCs w:val="32"/>
        </w:rPr>
        <w:t>专用结余</w:t>
      </w:r>
      <w:r>
        <w:rPr>
          <w:rFonts w:hint="eastAsia" w:ascii="仿宋_GB2312" w:eastAsia="仿宋_GB2312"/>
          <w:kern w:val="0"/>
          <w:sz w:val="32"/>
          <w:szCs w:val="32"/>
        </w:rPr>
        <w:t>弥补本年度收支缺口的资金。较2022年度决算数1776.34万元减少493.34万元，下降</w:t>
      </w:r>
      <w:r>
        <w:rPr>
          <w:rFonts w:hint="eastAsia" w:ascii="仿宋_GB2312" w:eastAsia="仿宋_GB2312"/>
          <w:kern w:val="0"/>
          <w:sz w:val="32"/>
          <w:szCs w:val="32"/>
          <w:highlight w:val="none"/>
        </w:rPr>
        <w:t>27.77%，</w:t>
      </w:r>
      <w:r>
        <w:rPr>
          <w:rFonts w:hint="eastAsia" w:ascii="仿宋_GB2312" w:eastAsia="仿宋_GB2312"/>
          <w:kern w:val="0"/>
          <w:sz w:val="32"/>
          <w:szCs w:val="32"/>
        </w:rPr>
        <w:t>主要原因是</w:t>
      </w:r>
      <w:r>
        <w:rPr>
          <w:rFonts w:hint="eastAsia" w:ascii="仿宋_GB2312" w:hAnsi="黑体" w:eastAsia="仿宋_GB2312" w:cs="仿宋_GB2312"/>
          <w:kern w:val="0"/>
          <w:sz w:val="32"/>
          <w:szCs w:val="32"/>
        </w:rPr>
        <w:t>防城港港口引航服务中心项目竣工，完成结算工作</w:t>
      </w:r>
      <w:r>
        <w:rPr>
          <w:rFonts w:hint="eastAsia" w:ascii="仿宋_GB2312" w:eastAsia="仿宋_GB2312"/>
          <w:kern w:val="0"/>
          <w:sz w:val="32"/>
          <w:szCs w:val="32"/>
        </w:rPr>
        <w:t>。</w:t>
      </w:r>
    </w:p>
    <w:p w14:paraId="0BD38A81">
      <w:pPr>
        <w:autoSpaceDE w:val="0"/>
        <w:autoSpaceDN w:val="0"/>
        <w:adjustRightInd w:val="0"/>
        <w:spacing w:line="560" w:lineRule="exact"/>
        <w:ind w:firstLine="627" w:firstLineChars="196"/>
        <w:rPr>
          <w:rFonts w:ascii="仿宋_GB2312" w:eastAsia="仿宋_GB2312"/>
          <w:kern w:val="0"/>
          <w:sz w:val="32"/>
          <w:szCs w:val="32"/>
        </w:rPr>
      </w:pPr>
      <w:r>
        <w:rPr>
          <w:rFonts w:hint="eastAsia" w:ascii="仿宋_GB2312" w:eastAsia="仿宋_GB2312"/>
          <w:kern w:val="0"/>
          <w:sz w:val="32"/>
          <w:szCs w:val="32"/>
          <w:lang w:val="en-US" w:eastAsia="zh-CN"/>
        </w:rPr>
        <w:t>3</w:t>
      </w:r>
      <w:r>
        <w:rPr>
          <w:rFonts w:hint="eastAsia" w:ascii="仿宋_GB2312" w:eastAsia="仿宋_GB2312"/>
          <w:kern w:val="0"/>
          <w:sz w:val="32"/>
          <w:szCs w:val="32"/>
        </w:rPr>
        <w:t>.上年结转和结余0万元，为以前年度支出预算因客观条件变化未执行完毕、结转到本年度按有关规定继续使用的资金。</w:t>
      </w:r>
      <w:r>
        <w:rPr>
          <w:rFonts w:hint="eastAsia" w:ascii="仿宋_GB2312" w:eastAsia="仿宋_GB2312"/>
          <w:vanish w:val="0"/>
          <w:kern w:val="0"/>
          <w:sz w:val="32"/>
          <w:szCs w:val="32"/>
          <w:lang w:eastAsia="zh-CN"/>
        </w:rPr>
        <w:t>同上年持平</w:t>
      </w:r>
      <w:r>
        <w:rPr>
          <w:rFonts w:hint="eastAsia" w:ascii="仿宋_GB2312" w:eastAsia="仿宋_GB2312"/>
          <w:vanish w:val="0"/>
          <w:kern w:val="0"/>
          <w:sz w:val="32"/>
          <w:szCs w:val="32"/>
        </w:rPr>
        <w:t>。</w:t>
      </w:r>
      <w:bookmarkStart w:id="0" w:name="_GoBack"/>
      <w:bookmarkEnd w:id="0"/>
    </w:p>
    <w:p w14:paraId="488A1373">
      <w:pPr>
        <w:autoSpaceDE w:val="0"/>
        <w:autoSpaceDN w:val="0"/>
        <w:adjustRightInd w:val="0"/>
        <w:spacing w:line="560" w:lineRule="exact"/>
        <w:ind w:firstLine="627" w:firstLineChars="196"/>
        <w:rPr>
          <w:rFonts w:ascii="仿宋_GB2312" w:eastAsia="仿宋_GB2312"/>
          <w:kern w:val="0"/>
          <w:sz w:val="32"/>
          <w:szCs w:val="32"/>
        </w:rPr>
      </w:pPr>
      <w:r>
        <w:rPr>
          <w:rFonts w:hint="eastAsia" w:ascii="仿宋_GB2312" w:eastAsia="仿宋_GB2312"/>
          <w:kern w:val="0"/>
          <w:sz w:val="32"/>
          <w:szCs w:val="32"/>
        </w:rPr>
        <w:t>（二）本部门2023年度总支出6941.93万元，其中本年支出4396.13万元, 较2022年度决算数5401.89万元减少1005.76万元，下降18.62%。支出具体情况如下：</w:t>
      </w:r>
    </w:p>
    <w:p w14:paraId="4790036E">
      <w:pPr>
        <w:autoSpaceDE w:val="0"/>
        <w:autoSpaceDN w:val="0"/>
        <w:adjustRightInd w:val="0"/>
        <w:spacing w:line="560" w:lineRule="exact"/>
        <w:ind w:firstLine="627" w:firstLineChars="196"/>
        <w:rPr>
          <w:rFonts w:ascii="仿宋_GB2312" w:eastAsia="仿宋_GB2312"/>
          <w:kern w:val="0"/>
          <w:sz w:val="32"/>
          <w:szCs w:val="32"/>
        </w:rPr>
      </w:pPr>
      <w:r>
        <w:rPr>
          <w:rFonts w:hint="eastAsia" w:ascii="仿宋_GB2312" w:eastAsia="仿宋_GB2312"/>
          <w:bCs/>
          <w:kern w:val="0"/>
          <w:sz w:val="32"/>
          <w:szCs w:val="32"/>
        </w:rPr>
        <w:t>1</w:t>
      </w:r>
      <w:r>
        <w:rPr>
          <w:rFonts w:hint="eastAsia" w:ascii="仿宋_GB2312" w:eastAsia="仿宋_GB2312" w:cs="仿宋_GB2312"/>
          <w:kern w:val="0"/>
          <w:sz w:val="32"/>
          <w:szCs w:val="32"/>
        </w:rPr>
        <w:t>.交通运输支出4396.13万元，主要用于当年各项目经费支出，包括人员工资福利支出、防城港港口引航服务中心项目建设经费、防城港引航基地码头工程建设费、机构运行经费以及各项税金缴纳等，较2022年度决算数5401.89万元</w:t>
      </w:r>
      <w:r>
        <w:rPr>
          <w:rFonts w:hint="eastAsia" w:ascii="仿宋_GB2312" w:eastAsia="仿宋_GB2312"/>
          <w:kern w:val="0"/>
          <w:sz w:val="32"/>
          <w:szCs w:val="32"/>
        </w:rPr>
        <w:t>减少1005.76万元，下降18.62%</w:t>
      </w:r>
      <w:r>
        <w:rPr>
          <w:rFonts w:hint="eastAsia" w:ascii="仿宋_GB2312" w:eastAsia="仿宋_GB2312" w:cs="仿宋_GB2312"/>
          <w:kern w:val="0"/>
          <w:sz w:val="32"/>
          <w:szCs w:val="32"/>
        </w:rPr>
        <w:t>，主要原因是防城港港口引航服务中心项目竣工，完成结算工作。</w:t>
      </w:r>
    </w:p>
    <w:p w14:paraId="1B8001D4">
      <w:pPr>
        <w:autoSpaceDE w:val="0"/>
        <w:autoSpaceDN w:val="0"/>
        <w:adjustRightInd w:val="0"/>
        <w:spacing w:line="560" w:lineRule="exact"/>
        <w:ind w:firstLine="627" w:firstLineChars="196"/>
        <w:rPr>
          <w:rFonts w:ascii="仿宋_GB2312" w:eastAsia="仿宋_GB2312"/>
          <w:kern w:val="0"/>
          <w:sz w:val="32"/>
          <w:szCs w:val="32"/>
        </w:rPr>
      </w:pPr>
      <w:r>
        <w:rPr>
          <w:rFonts w:hint="eastAsia" w:ascii="仿宋_GB2312" w:eastAsia="仿宋_GB2312"/>
          <w:kern w:val="0"/>
          <w:sz w:val="32"/>
          <w:szCs w:val="32"/>
        </w:rPr>
        <w:t>2.结余分配 2545.80万元，为事业单位按规定提取的专用结余、缴纳所得税和转入非财政拨款结余等。较2022年度决算数1062.54万元增加1483.26万元，增长139.60%，主要原因是</w:t>
      </w:r>
      <w:r>
        <w:rPr>
          <w:rFonts w:hint="eastAsia" w:ascii="仿宋_GB2312" w:hAnsi="黑体" w:eastAsia="仿宋_GB2312" w:cs="仿宋_GB2312"/>
          <w:kern w:val="0"/>
          <w:sz w:val="32"/>
          <w:szCs w:val="32"/>
        </w:rPr>
        <w:t>防城港港口引航服务中心项目竣工，完成结算工作，增加</w:t>
      </w:r>
      <w:r>
        <w:rPr>
          <w:rFonts w:hint="eastAsia" w:ascii="仿宋_GB2312" w:eastAsia="仿宋_GB2312" w:cs="仿宋_GB2312"/>
          <w:kern w:val="0"/>
          <w:sz w:val="32"/>
          <w:szCs w:val="32"/>
        </w:rPr>
        <w:t>防城港引航基地码头工程建设费</w:t>
      </w:r>
      <w:r>
        <w:rPr>
          <w:rFonts w:hint="eastAsia" w:ascii="仿宋_GB2312" w:hAnsi="黑体" w:eastAsia="仿宋_GB2312" w:cs="仿宋_GB2312"/>
          <w:kern w:val="0"/>
          <w:sz w:val="32"/>
          <w:szCs w:val="32"/>
        </w:rPr>
        <w:t>。</w:t>
      </w:r>
    </w:p>
    <w:p w14:paraId="3CBD5E12">
      <w:pPr>
        <w:autoSpaceDE w:val="0"/>
        <w:autoSpaceDN w:val="0"/>
        <w:adjustRightInd w:val="0"/>
        <w:spacing w:line="560" w:lineRule="exact"/>
        <w:ind w:firstLine="627" w:firstLineChars="196"/>
        <w:rPr>
          <w:rFonts w:ascii="仿宋_GB2312" w:eastAsia="仿宋_GB2312"/>
          <w:kern w:val="0"/>
          <w:sz w:val="32"/>
          <w:szCs w:val="32"/>
        </w:rPr>
      </w:pPr>
      <w:r>
        <w:rPr>
          <w:rFonts w:hint="eastAsia" w:ascii="仿宋_GB2312" w:eastAsia="仿宋_GB2312"/>
          <w:kern w:val="0"/>
          <w:sz w:val="32"/>
          <w:szCs w:val="32"/>
        </w:rPr>
        <w:t>3.年末结转和结余0万元，为本年度或以前年度预算安排、因客观条件发生变化无法按原计划实施，需要延迟到以后年度按有关规定继续使用的资金。</w:t>
      </w:r>
      <w:r>
        <w:rPr>
          <w:rFonts w:hint="eastAsia" w:ascii="仿宋_GB2312" w:eastAsia="仿宋_GB2312"/>
          <w:vanish w:val="0"/>
          <w:kern w:val="0"/>
          <w:sz w:val="32"/>
          <w:szCs w:val="32"/>
          <w:lang w:eastAsia="zh-CN"/>
        </w:rPr>
        <w:t>同上年持平</w:t>
      </w:r>
      <w:r>
        <w:rPr>
          <w:rFonts w:hint="eastAsia" w:ascii="仿宋_GB2312" w:eastAsia="仿宋_GB2312"/>
          <w:vanish w:val="0"/>
          <w:kern w:val="0"/>
          <w:sz w:val="32"/>
          <w:szCs w:val="32"/>
        </w:rPr>
        <w:t>。</w:t>
      </w:r>
    </w:p>
    <w:p w14:paraId="2C661F52">
      <w:pPr>
        <w:autoSpaceDE w:val="0"/>
        <w:autoSpaceDN w:val="0"/>
        <w:adjustRightInd w:val="0"/>
        <w:spacing w:line="560" w:lineRule="exact"/>
        <w:ind w:firstLine="640" w:firstLineChars="200"/>
        <w:rPr>
          <w:rFonts w:ascii="黑体" w:eastAsia="黑体" w:cs="仿宋_GB2312"/>
          <w:kern w:val="0"/>
          <w:sz w:val="32"/>
          <w:szCs w:val="32"/>
        </w:rPr>
      </w:pPr>
      <w:r>
        <w:rPr>
          <w:rFonts w:hint="eastAsia" w:ascii="黑体" w:eastAsia="黑体" w:cs="仿宋_GB2312"/>
          <w:kern w:val="0"/>
          <w:sz w:val="32"/>
          <w:szCs w:val="32"/>
        </w:rPr>
        <w:t>二、</w:t>
      </w:r>
      <w:r>
        <w:rPr>
          <w:rFonts w:hint="eastAsia" w:ascii="黑体" w:eastAsia="黑体"/>
          <w:kern w:val="0"/>
          <w:sz w:val="32"/>
          <w:szCs w:val="32"/>
        </w:rPr>
        <w:t>2023</w:t>
      </w:r>
      <w:r>
        <w:rPr>
          <w:rFonts w:hint="eastAsia" w:ascii="黑体" w:eastAsia="黑体" w:cs="仿宋_GB2312"/>
          <w:kern w:val="0"/>
          <w:sz w:val="32"/>
          <w:szCs w:val="32"/>
        </w:rPr>
        <w:t>年度</w:t>
      </w:r>
      <w:r>
        <w:rPr>
          <w:rFonts w:hint="eastAsia" w:ascii="黑体" w:eastAsia="黑体"/>
          <w:sz w:val="32"/>
          <w:szCs w:val="32"/>
        </w:rPr>
        <w:t>一般</w:t>
      </w:r>
      <w:r>
        <w:rPr>
          <w:rFonts w:hint="eastAsia" w:ascii="黑体" w:eastAsia="黑体" w:cs="仿宋_GB2312"/>
          <w:kern w:val="0"/>
          <w:sz w:val="32"/>
          <w:szCs w:val="32"/>
        </w:rPr>
        <w:t>公共预算财政拨款支出决算情况</w:t>
      </w:r>
    </w:p>
    <w:p w14:paraId="06F809DA">
      <w:pPr>
        <w:autoSpaceDE w:val="0"/>
        <w:autoSpaceDN w:val="0"/>
        <w:adjustRightInd w:val="0"/>
        <w:spacing w:line="560" w:lineRule="exact"/>
        <w:ind w:firstLine="627" w:firstLineChars="196"/>
        <w:rPr>
          <w:rFonts w:ascii="仿宋_GB2312" w:eastAsia="仿宋_GB2312"/>
          <w:kern w:val="0"/>
          <w:sz w:val="32"/>
          <w:szCs w:val="32"/>
        </w:rPr>
      </w:pPr>
      <w:r>
        <w:rPr>
          <w:rFonts w:hint="eastAsia" w:ascii="仿宋_GB2312" w:hAnsi="黑体" w:eastAsia="仿宋_GB2312"/>
          <w:sz w:val="32"/>
          <w:szCs w:val="32"/>
        </w:rPr>
        <w:t>广西壮族自治区北部湾港防城港引航站</w:t>
      </w:r>
      <w:r>
        <w:rPr>
          <w:rFonts w:hint="eastAsia" w:ascii="仿宋_GB2312" w:eastAsia="仿宋_GB2312"/>
          <w:kern w:val="0"/>
          <w:sz w:val="32"/>
          <w:szCs w:val="32"/>
        </w:rPr>
        <w:t>2023年度没有</w:t>
      </w:r>
      <w:r>
        <w:rPr>
          <w:rFonts w:hint="eastAsia" w:ascii="仿宋_GB2312" w:eastAsia="仿宋_GB2312"/>
          <w:sz w:val="32"/>
          <w:szCs w:val="32"/>
        </w:rPr>
        <w:t>一般</w:t>
      </w:r>
      <w:r>
        <w:rPr>
          <w:rFonts w:hint="eastAsia" w:ascii="仿宋_GB2312" w:eastAsia="仿宋_GB2312"/>
          <w:kern w:val="0"/>
          <w:sz w:val="32"/>
          <w:szCs w:val="32"/>
        </w:rPr>
        <w:t>公共预算财政拨款支出，</w:t>
      </w:r>
      <w:r>
        <w:rPr>
          <w:rFonts w:hint="eastAsia" w:ascii="仿宋_GB2312" w:eastAsia="仿宋_GB2312"/>
          <w:bCs/>
          <w:kern w:val="0"/>
          <w:sz w:val="32"/>
          <w:szCs w:val="32"/>
        </w:rPr>
        <w:t>故本表无数据。</w:t>
      </w:r>
    </w:p>
    <w:p w14:paraId="601F1CC0">
      <w:pPr>
        <w:autoSpaceDE w:val="0"/>
        <w:autoSpaceDN w:val="0"/>
        <w:adjustRightInd w:val="0"/>
        <w:spacing w:line="560" w:lineRule="exact"/>
        <w:ind w:firstLine="640" w:firstLineChars="200"/>
        <w:rPr>
          <w:rFonts w:ascii="黑体" w:eastAsia="黑体" w:cs="仿宋_GB2312"/>
          <w:kern w:val="0"/>
          <w:sz w:val="32"/>
          <w:szCs w:val="32"/>
        </w:rPr>
      </w:pPr>
      <w:r>
        <w:rPr>
          <w:rFonts w:hint="eastAsia" w:ascii="黑体" w:eastAsia="黑体" w:cs="仿宋_GB2312"/>
          <w:kern w:val="0"/>
          <w:sz w:val="32"/>
          <w:szCs w:val="32"/>
        </w:rPr>
        <w:t>三、2023年度一般公共预算财政拨款基本支出决算情况说明</w:t>
      </w:r>
    </w:p>
    <w:p w14:paraId="625BF1BC">
      <w:pPr>
        <w:autoSpaceDE w:val="0"/>
        <w:autoSpaceDN w:val="0"/>
        <w:adjustRightInd w:val="0"/>
        <w:spacing w:line="560" w:lineRule="exact"/>
        <w:ind w:firstLine="627" w:firstLineChars="196"/>
        <w:rPr>
          <w:rFonts w:ascii="仿宋_GB2312" w:eastAsia="仿宋_GB2312"/>
          <w:kern w:val="0"/>
          <w:sz w:val="32"/>
          <w:szCs w:val="32"/>
        </w:rPr>
      </w:pPr>
      <w:r>
        <w:rPr>
          <w:rFonts w:hint="eastAsia" w:ascii="仿宋_GB2312" w:eastAsia="仿宋_GB2312"/>
          <w:bCs/>
          <w:kern w:val="0"/>
          <w:sz w:val="32"/>
          <w:szCs w:val="32"/>
        </w:rPr>
        <w:t>广西壮族自治区北部湾港防城港引航站2023年度没有一般公共预算财政拨款收入，也没有一般公共预算财政拨款安排的支出，故本表无数据。</w:t>
      </w:r>
    </w:p>
    <w:p w14:paraId="5D3187BC">
      <w:pPr>
        <w:autoSpaceDE w:val="0"/>
        <w:autoSpaceDN w:val="0"/>
        <w:adjustRightInd w:val="0"/>
        <w:spacing w:line="560" w:lineRule="exact"/>
        <w:ind w:firstLine="640" w:firstLineChars="200"/>
        <w:rPr>
          <w:rFonts w:ascii="黑体" w:eastAsia="黑体" w:cs="仿宋_GB2312"/>
          <w:kern w:val="0"/>
          <w:sz w:val="32"/>
          <w:szCs w:val="32"/>
        </w:rPr>
      </w:pPr>
      <w:r>
        <w:rPr>
          <w:rFonts w:hint="eastAsia" w:ascii="黑体" w:eastAsia="黑体" w:cs="仿宋_GB2312"/>
          <w:kern w:val="0"/>
          <w:sz w:val="32"/>
          <w:szCs w:val="32"/>
        </w:rPr>
        <w:t>四、2023年度政府性基金支出决算情况</w:t>
      </w:r>
    </w:p>
    <w:p w14:paraId="162B3A74">
      <w:pPr>
        <w:autoSpaceDE w:val="0"/>
        <w:autoSpaceDN w:val="0"/>
        <w:adjustRightInd w:val="0"/>
        <w:spacing w:line="560" w:lineRule="exact"/>
        <w:ind w:firstLine="627" w:firstLineChars="196"/>
        <w:rPr>
          <w:rFonts w:ascii="仿宋_GB2312" w:eastAsia="仿宋_GB2312"/>
          <w:bCs/>
          <w:kern w:val="0"/>
          <w:sz w:val="32"/>
          <w:szCs w:val="32"/>
        </w:rPr>
      </w:pPr>
      <w:r>
        <w:rPr>
          <w:rFonts w:hint="eastAsia" w:ascii="仿宋_GB2312" w:eastAsia="仿宋_GB2312"/>
          <w:bCs/>
          <w:kern w:val="0"/>
          <w:sz w:val="32"/>
          <w:szCs w:val="32"/>
        </w:rPr>
        <w:t>广西壮族自治区北部湾港防城港引航站2023年度没有政府性基金财政拨款收入，也没有政府性基金财政拨款安排的支出，故本表无数据。</w:t>
      </w:r>
    </w:p>
    <w:p w14:paraId="395AFA40">
      <w:pPr>
        <w:autoSpaceDE w:val="0"/>
        <w:autoSpaceDN w:val="0"/>
        <w:adjustRightInd w:val="0"/>
        <w:spacing w:line="560" w:lineRule="exact"/>
        <w:ind w:firstLine="640" w:firstLineChars="200"/>
        <w:rPr>
          <w:rFonts w:ascii="黑体" w:eastAsia="黑体" w:cs="仿宋_GB2312"/>
          <w:kern w:val="0"/>
          <w:sz w:val="32"/>
          <w:szCs w:val="32"/>
        </w:rPr>
      </w:pPr>
      <w:r>
        <w:rPr>
          <w:rFonts w:hint="eastAsia" w:ascii="黑体" w:eastAsia="黑体" w:cs="仿宋_GB2312"/>
          <w:kern w:val="0"/>
          <w:sz w:val="32"/>
          <w:szCs w:val="32"/>
        </w:rPr>
        <w:t>五、2023年度国有资本经营预算支出决算情况</w:t>
      </w:r>
    </w:p>
    <w:p w14:paraId="73FA3544">
      <w:pPr>
        <w:autoSpaceDE w:val="0"/>
        <w:autoSpaceDN w:val="0"/>
        <w:adjustRightInd w:val="0"/>
        <w:spacing w:line="560" w:lineRule="exact"/>
        <w:ind w:firstLine="627" w:firstLineChars="196"/>
        <w:rPr>
          <w:rFonts w:ascii="仿宋_GB2312" w:eastAsia="仿宋_GB2312"/>
          <w:bCs/>
          <w:kern w:val="0"/>
          <w:sz w:val="32"/>
          <w:szCs w:val="32"/>
        </w:rPr>
      </w:pPr>
      <w:r>
        <w:rPr>
          <w:rFonts w:hint="eastAsia" w:ascii="仿宋_GB2312" w:eastAsia="仿宋_GB2312"/>
          <w:bCs/>
          <w:kern w:val="0"/>
          <w:sz w:val="32"/>
          <w:szCs w:val="32"/>
        </w:rPr>
        <w:t>广西壮族自治区北部湾港防城港引航站2023年度没有国有资本经营预算财政拨款收入，也没有国有资本经营预算支出，故本表无数据。</w:t>
      </w:r>
    </w:p>
    <w:p w14:paraId="25A04024">
      <w:pPr>
        <w:numPr>
          <w:ilvl w:val="0"/>
          <w:numId w:val="1"/>
        </w:numPr>
        <w:autoSpaceDE w:val="0"/>
        <w:autoSpaceDN w:val="0"/>
        <w:adjustRightInd w:val="0"/>
        <w:spacing w:line="560" w:lineRule="exact"/>
        <w:ind w:firstLine="640" w:firstLineChars="200"/>
        <w:rPr>
          <w:rFonts w:ascii="黑体" w:eastAsia="黑体" w:cs="仿宋_GB2312"/>
          <w:kern w:val="0"/>
          <w:sz w:val="32"/>
          <w:szCs w:val="32"/>
        </w:rPr>
      </w:pPr>
      <w:r>
        <w:rPr>
          <w:rFonts w:hint="eastAsia" w:ascii="黑体" w:eastAsia="黑体" w:cs="仿宋_GB2312"/>
          <w:kern w:val="0"/>
          <w:sz w:val="32"/>
          <w:szCs w:val="32"/>
        </w:rPr>
        <w:t>财政拨款安排的“三公”经费支出决算情况说明</w:t>
      </w:r>
    </w:p>
    <w:p w14:paraId="6E96D3B1">
      <w:pPr>
        <w:autoSpaceDE w:val="0"/>
        <w:autoSpaceDN w:val="0"/>
        <w:adjustRightInd w:val="0"/>
        <w:spacing w:line="560" w:lineRule="exact"/>
        <w:ind w:firstLine="640" w:firstLineChars="200"/>
        <w:rPr>
          <w:rFonts w:ascii="黑体" w:eastAsia="黑体" w:cs="仿宋_GB2312"/>
          <w:kern w:val="0"/>
          <w:sz w:val="32"/>
          <w:szCs w:val="32"/>
        </w:rPr>
      </w:pPr>
      <w:r>
        <w:rPr>
          <w:rFonts w:hint="eastAsia" w:ascii="仿宋_GB2312" w:eastAsia="仿宋_GB2312"/>
          <w:bCs/>
          <w:kern w:val="0"/>
          <w:sz w:val="32"/>
          <w:szCs w:val="32"/>
        </w:rPr>
        <w:t>广西壮族自治区北部湾港防城港引航站2023年度没有财政拨款（含一般公共预算财政拨款、政府性基金财政拨款、国有资本经营预算财政拨款）收入，也没有财政拨款（含一般公共预算财政拨款、政府性基金财政拨款、国有资本经营预算财政拨款）安排的支出，故本表无数据。</w:t>
      </w:r>
    </w:p>
    <w:p w14:paraId="2D1A61F7">
      <w:pPr>
        <w:autoSpaceDE w:val="0"/>
        <w:autoSpaceDN w:val="0"/>
        <w:adjustRightInd w:val="0"/>
        <w:spacing w:line="560" w:lineRule="exact"/>
        <w:ind w:firstLine="627" w:firstLineChars="196"/>
        <w:rPr>
          <w:rFonts w:ascii="黑体" w:eastAsia="黑体" w:cs="仿宋_GB2312"/>
          <w:kern w:val="0"/>
          <w:sz w:val="32"/>
          <w:szCs w:val="32"/>
        </w:rPr>
      </w:pPr>
      <w:r>
        <w:rPr>
          <w:rFonts w:hint="eastAsia" w:ascii="黑体" w:eastAsia="黑体" w:cs="仿宋_GB2312"/>
          <w:kern w:val="0"/>
          <w:sz w:val="32"/>
          <w:szCs w:val="32"/>
        </w:rPr>
        <w:t>七、其他重要事项情况说明</w:t>
      </w:r>
    </w:p>
    <w:p w14:paraId="0B3F2BE0">
      <w:pPr>
        <w:autoSpaceDE w:val="0"/>
        <w:autoSpaceDN w:val="0"/>
        <w:adjustRightInd w:val="0"/>
        <w:spacing w:line="560" w:lineRule="exact"/>
        <w:ind w:firstLine="640" w:firstLineChars="200"/>
        <w:rPr>
          <w:rFonts w:ascii="楷体_GB2312" w:eastAsia="楷体_GB2312" w:cs="仿宋_GB2312"/>
          <w:kern w:val="0"/>
          <w:sz w:val="32"/>
          <w:szCs w:val="32"/>
        </w:rPr>
      </w:pPr>
      <w:r>
        <w:rPr>
          <w:rFonts w:hint="eastAsia" w:ascii="楷体_GB2312" w:eastAsia="楷体_GB2312" w:cs="仿宋_GB2312"/>
          <w:kern w:val="0"/>
          <w:sz w:val="32"/>
          <w:szCs w:val="32"/>
        </w:rPr>
        <w:t>（一）机关运行经费支出情况说明。</w:t>
      </w:r>
    </w:p>
    <w:p w14:paraId="3EB144BA">
      <w:pPr>
        <w:autoSpaceDE w:val="0"/>
        <w:autoSpaceDN w:val="0"/>
        <w:adjustRightInd w:val="0"/>
        <w:spacing w:line="560" w:lineRule="exact"/>
        <w:ind w:firstLine="640" w:firstLineChars="200"/>
        <w:rPr>
          <w:rFonts w:ascii="仿宋_GB2312" w:eastAsia="仿宋_GB2312"/>
          <w:bCs/>
          <w:kern w:val="0"/>
          <w:sz w:val="32"/>
          <w:szCs w:val="32"/>
        </w:rPr>
      </w:pPr>
      <w:r>
        <w:rPr>
          <w:rFonts w:hint="eastAsia" w:ascii="仿宋_GB2312" w:eastAsia="仿宋_GB2312"/>
          <w:bCs/>
          <w:kern w:val="0"/>
          <w:sz w:val="32"/>
          <w:szCs w:val="32"/>
        </w:rPr>
        <w:t>广西壮族自治区北部湾港防城港引航站为事业单位，无机关运行经费支出。</w:t>
      </w:r>
    </w:p>
    <w:p w14:paraId="2A3F401A">
      <w:pPr>
        <w:numPr>
          <w:ilvl w:val="0"/>
          <w:numId w:val="2"/>
        </w:numPr>
        <w:autoSpaceDE w:val="0"/>
        <w:autoSpaceDN w:val="0"/>
        <w:adjustRightInd w:val="0"/>
        <w:spacing w:line="560" w:lineRule="exact"/>
        <w:ind w:firstLine="640" w:firstLineChars="200"/>
        <w:jc w:val="left"/>
        <w:rPr>
          <w:rFonts w:ascii="楷体_GB2312" w:eastAsia="楷体_GB2312" w:cs="仿宋_GB2312"/>
          <w:kern w:val="0"/>
          <w:sz w:val="32"/>
          <w:szCs w:val="32"/>
        </w:rPr>
      </w:pPr>
      <w:r>
        <w:rPr>
          <w:rFonts w:hint="eastAsia" w:ascii="楷体_GB2312" w:eastAsia="楷体_GB2312" w:cs="仿宋_GB2312"/>
          <w:kern w:val="0"/>
          <w:sz w:val="32"/>
          <w:szCs w:val="32"/>
        </w:rPr>
        <w:t>政府采购支出情况说明。</w:t>
      </w:r>
    </w:p>
    <w:p w14:paraId="1A1BC3E8">
      <w:pPr>
        <w:autoSpaceDE w:val="0"/>
        <w:autoSpaceDN w:val="0"/>
        <w:adjustRightInd w:val="0"/>
        <w:spacing w:line="560" w:lineRule="exact"/>
        <w:ind w:left="420" w:leftChars="200" w:firstLine="640" w:firstLineChars="200"/>
        <w:jc w:val="left"/>
        <w:rPr>
          <w:rFonts w:ascii="仿宋_GB2312" w:eastAsia="仿宋_GB2312"/>
          <w:kern w:val="0"/>
          <w:sz w:val="32"/>
          <w:szCs w:val="32"/>
        </w:rPr>
      </w:pPr>
      <w:r>
        <w:rPr>
          <w:rFonts w:hint="eastAsia" w:ascii="仿宋_GB2312" w:eastAsia="仿宋_GB2312"/>
          <w:bCs/>
          <w:kern w:val="0"/>
          <w:sz w:val="32"/>
          <w:szCs w:val="32"/>
        </w:rPr>
        <w:t>广西壮族自治区北部湾港防城港引航站为公益</w:t>
      </w:r>
      <w:r>
        <w:rPr>
          <w:rFonts w:hint="eastAsia" w:ascii="仿宋_GB2312" w:eastAsia="仿宋_GB2312"/>
          <w:bCs/>
          <w:kern w:val="0"/>
          <w:sz w:val="32"/>
          <w:szCs w:val="32"/>
          <w:highlight w:val="none"/>
        </w:rPr>
        <w:t>二</w:t>
      </w:r>
      <w:r>
        <w:rPr>
          <w:rFonts w:hint="eastAsia" w:ascii="仿宋_GB2312" w:eastAsia="仿宋_GB2312"/>
          <w:bCs/>
          <w:kern w:val="0"/>
          <w:sz w:val="32"/>
          <w:szCs w:val="32"/>
        </w:rPr>
        <w:t>类事业单位（独立法人单位，全部收入来源于应缴纳流转税的服务性收入，与自治区财政厅无任何预算资金缴款、拨款关系），根据《自治区财政厅关于交通运输厅再次申请新增预算单位有关问题的复函》（桂财预函〔2017〕255号）批复引航站不作为自治区本级预算单位进行管理，但应在总预算中予以体现，根据该要求，自治区港航发展中心将引航站作为自治区港航发展中心本级的项目支出纳入自治区本级预算，每个引航站作为一个单独项目反映。因此，我站政府采购支出数据于每季度末上报给主管单位，由自治区港航发展中心做统计。</w:t>
      </w:r>
    </w:p>
    <w:p w14:paraId="302ADD22">
      <w:pPr>
        <w:autoSpaceDE w:val="0"/>
        <w:autoSpaceDN w:val="0"/>
        <w:adjustRightInd w:val="0"/>
        <w:spacing w:line="560" w:lineRule="exact"/>
        <w:ind w:firstLine="640" w:firstLineChars="200"/>
        <w:rPr>
          <w:rFonts w:ascii="楷体_GB2312" w:eastAsia="楷体_GB2312" w:cs="仿宋_GB2312"/>
          <w:kern w:val="0"/>
          <w:sz w:val="32"/>
          <w:szCs w:val="32"/>
        </w:rPr>
      </w:pPr>
      <w:r>
        <w:rPr>
          <w:rFonts w:hint="eastAsia" w:ascii="楷体_GB2312" w:eastAsia="楷体_GB2312" w:cs="仿宋_GB2312"/>
          <w:kern w:val="0"/>
          <w:sz w:val="32"/>
          <w:szCs w:val="32"/>
        </w:rPr>
        <w:t>（三）国有资产占用情况说明。</w:t>
      </w:r>
    </w:p>
    <w:p w14:paraId="729CD7DE">
      <w:pPr>
        <w:autoSpaceDE w:val="0"/>
        <w:autoSpaceDN w:val="0"/>
        <w:adjustRightIn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截至2023年12月31日，本部门共有车辆2辆，其中：副部（省）级领导干部用车0辆、机要通信用车0辆、应急保障用车0辆、执法执勤用车0辆、特种专业技术用车0辆、其他用车2辆，其他用车主要是用于办理引航相关事务等；单位价值100万元以上设备2台（套）。</w:t>
      </w:r>
    </w:p>
    <w:p w14:paraId="645565AD">
      <w:pPr>
        <w:autoSpaceDE w:val="0"/>
        <w:autoSpaceDN w:val="0"/>
        <w:adjustRightInd w:val="0"/>
        <w:spacing w:line="560" w:lineRule="exact"/>
        <w:ind w:firstLine="640" w:firstLineChars="200"/>
        <w:rPr>
          <w:rFonts w:ascii="楷体_GB2312" w:eastAsia="楷体_GB2312" w:cs="仿宋_GB2312"/>
          <w:kern w:val="0"/>
          <w:sz w:val="32"/>
          <w:szCs w:val="32"/>
        </w:rPr>
      </w:pPr>
      <w:r>
        <w:rPr>
          <w:rFonts w:hint="eastAsia" w:ascii="黑体" w:eastAsia="黑体"/>
          <w:kern w:val="0"/>
          <w:sz w:val="32"/>
          <w:szCs w:val="32"/>
        </w:rPr>
        <w:t>八、预算绩效管理工作开展情况。</w:t>
      </w:r>
    </w:p>
    <w:p w14:paraId="22E39D82">
      <w:pPr>
        <w:autoSpaceDE w:val="0"/>
        <w:autoSpaceDN w:val="0"/>
        <w:adjustRightIn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1.整体支出绩效自评结果。</w:t>
      </w:r>
    </w:p>
    <w:p w14:paraId="4336C149">
      <w:pPr>
        <w:autoSpaceDE w:val="0"/>
        <w:autoSpaceDN w:val="0"/>
        <w:adjustRightInd w:val="0"/>
        <w:spacing w:line="560" w:lineRule="exact"/>
        <w:ind w:firstLine="640" w:firstLineChars="200"/>
        <w:jc w:val="left"/>
        <w:rPr>
          <w:rFonts w:ascii="仿宋_GB2312" w:eastAsia="仿宋_GB2312" w:cs="仿宋_GB2312"/>
          <w:kern w:val="0"/>
          <w:sz w:val="32"/>
          <w:szCs w:val="32"/>
        </w:rPr>
      </w:pPr>
      <w:r>
        <w:rPr>
          <w:rFonts w:hint="eastAsia" w:ascii="仿宋_GB2312" w:eastAsia="仿宋_GB2312" w:cs="仿宋_GB2312"/>
          <w:kern w:val="0"/>
          <w:sz w:val="32"/>
          <w:szCs w:val="32"/>
        </w:rPr>
        <w:t>根据财政预算绩效管理要求，2023年我单位没有一般公共预算、政府性基金预算及国有资本经营预算安排的项目。</w:t>
      </w:r>
    </w:p>
    <w:p w14:paraId="13C7C64E">
      <w:pPr>
        <w:autoSpaceDE w:val="0"/>
        <w:autoSpaceDN w:val="0"/>
        <w:adjustRightIn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 xml:space="preserve"> 2.项目支出绩效自评结果。</w:t>
      </w:r>
    </w:p>
    <w:p w14:paraId="03C62363">
      <w:pPr>
        <w:autoSpaceDE w:val="0"/>
        <w:autoSpaceDN w:val="0"/>
        <w:adjustRightInd w:val="0"/>
        <w:spacing w:line="560" w:lineRule="exact"/>
        <w:ind w:firstLine="640" w:firstLineChars="200"/>
        <w:rPr>
          <w:rFonts w:ascii="仿宋_GB2312" w:eastAsia="仿宋_GB2312"/>
          <w:kern w:val="0"/>
          <w:sz w:val="32"/>
          <w:szCs w:val="32"/>
        </w:rPr>
      </w:pPr>
      <w:r>
        <w:rPr>
          <w:rFonts w:hint="eastAsia" w:ascii="仿宋_GB2312" w:eastAsia="仿宋_GB2312"/>
          <w:kern w:val="0"/>
          <w:sz w:val="32"/>
          <w:szCs w:val="32"/>
        </w:rPr>
        <w:t>广西壮族自治区北部湾港防城港引航站为公益二类事业单位（独立法人单位，全部收入来源于应缴纳流转税的服务性收入，与自治区财政厅无任何预算资金缴款、拨款关系），根据《自治区财政厅关于交通运输厅再次申请新增预算单位有关问题的复函》（桂财预函〔2017〕255号）批复引航站不作为自治区本级预算单位进行管理，但应在总预算中予以体现，根据该要求，广西壮族自治区港航发展中心将引航站作为自治区港航发展中心本级的项目支出纳入自治区本级预算，引航站作为一个单独项目反映。因此，广西壮族自治区北部湾港防城港引航站配合广西壮族自治区港航发展中心做好项目支出绩效自评工作,涉及项目的绩效评价结果在广西壮族自治区港航发展中心反映。</w:t>
      </w:r>
    </w:p>
    <w:p w14:paraId="64D6AA02">
      <w:pPr>
        <w:autoSpaceDE w:val="0"/>
        <w:autoSpaceDN w:val="0"/>
        <w:adjustRightInd w:val="0"/>
        <w:spacing w:line="560" w:lineRule="exact"/>
        <w:jc w:val="center"/>
        <w:rPr>
          <w:rFonts w:ascii="仿宋_GB2312" w:eastAsia="仿宋_GB2312"/>
          <w:b/>
          <w:bCs/>
          <w:kern w:val="0"/>
          <w:sz w:val="32"/>
          <w:szCs w:val="32"/>
        </w:rPr>
      </w:pPr>
    </w:p>
    <w:p w14:paraId="6DB42183">
      <w:pPr>
        <w:autoSpaceDE w:val="0"/>
        <w:autoSpaceDN w:val="0"/>
        <w:adjustRightInd w:val="0"/>
        <w:spacing w:line="560" w:lineRule="exact"/>
        <w:jc w:val="center"/>
        <w:rPr>
          <w:rFonts w:ascii="仿宋_GB2312" w:eastAsia="仿宋_GB2312"/>
          <w:b/>
          <w:bCs/>
          <w:kern w:val="0"/>
          <w:sz w:val="32"/>
          <w:szCs w:val="32"/>
        </w:rPr>
      </w:pPr>
    </w:p>
    <w:p w14:paraId="2290B0BD">
      <w:pPr>
        <w:autoSpaceDE w:val="0"/>
        <w:autoSpaceDN w:val="0"/>
        <w:adjustRightInd w:val="0"/>
        <w:spacing w:line="560" w:lineRule="exact"/>
        <w:jc w:val="center"/>
        <w:rPr>
          <w:rFonts w:ascii="仿宋_GB2312" w:eastAsia="仿宋_GB2312"/>
          <w:b/>
          <w:bCs/>
          <w:kern w:val="0"/>
          <w:sz w:val="32"/>
          <w:szCs w:val="32"/>
        </w:rPr>
      </w:pPr>
    </w:p>
    <w:p w14:paraId="1C3CA1CD">
      <w:pPr>
        <w:autoSpaceDE w:val="0"/>
        <w:autoSpaceDN w:val="0"/>
        <w:adjustRightInd w:val="0"/>
        <w:spacing w:line="560" w:lineRule="exact"/>
        <w:rPr>
          <w:rFonts w:ascii="仿宋_GB2312" w:eastAsia="仿宋_GB2312"/>
          <w:b/>
          <w:bCs/>
          <w:kern w:val="0"/>
          <w:sz w:val="32"/>
          <w:szCs w:val="32"/>
        </w:rPr>
      </w:pPr>
    </w:p>
    <w:p w14:paraId="4FFE7EA7">
      <w:pPr>
        <w:autoSpaceDE w:val="0"/>
        <w:autoSpaceDN w:val="0"/>
        <w:adjustRightInd w:val="0"/>
        <w:spacing w:line="560" w:lineRule="exact"/>
        <w:rPr>
          <w:rFonts w:ascii="仿宋_GB2312" w:eastAsia="仿宋_GB2312"/>
          <w:b/>
          <w:bCs/>
          <w:kern w:val="0"/>
          <w:sz w:val="32"/>
          <w:szCs w:val="32"/>
        </w:rPr>
      </w:pPr>
    </w:p>
    <w:p w14:paraId="05CB3CBC">
      <w:pPr>
        <w:autoSpaceDE w:val="0"/>
        <w:autoSpaceDN w:val="0"/>
        <w:adjustRightInd w:val="0"/>
        <w:spacing w:line="560" w:lineRule="exact"/>
        <w:rPr>
          <w:rFonts w:ascii="仿宋_GB2312" w:eastAsia="仿宋_GB2312"/>
          <w:b/>
          <w:bCs/>
          <w:kern w:val="0"/>
          <w:sz w:val="32"/>
          <w:szCs w:val="32"/>
        </w:rPr>
      </w:pPr>
    </w:p>
    <w:p w14:paraId="4057E9FC">
      <w:pPr>
        <w:autoSpaceDE w:val="0"/>
        <w:autoSpaceDN w:val="0"/>
        <w:adjustRightInd w:val="0"/>
        <w:spacing w:line="560" w:lineRule="exact"/>
        <w:rPr>
          <w:rFonts w:ascii="仿宋_GB2312" w:eastAsia="仿宋_GB2312"/>
          <w:b/>
          <w:bCs/>
          <w:kern w:val="0"/>
          <w:sz w:val="32"/>
          <w:szCs w:val="32"/>
        </w:rPr>
      </w:pPr>
    </w:p>
    <w:p w14:paraId="6482B7EA">
      <w:pPr>
        <w:autoSpaceDE w:val="0"/>
        <w:autoSpaceDN w:val="0"/>
        <w:adjustRightInd w:val="0"/>
        <w:spacing w:line="560" w:lineRule="exact"/>
        <w:jc w:val="center"/>
        <w:rPr>
          <w:rFonts w:ascii="黑体" w:eastAsia="黑体" w:cs="仿宋_GB2312"/>
          <w:kern w:val="0"/>
          <w:sz w:val="32"/>
          <w:szCs w:val="32"/>
        </w:rPr>
      </w:pPr>
      <w:r>
        <w:rPr>
          <w:rFonts w:hint="eastAsia" w:ascii="黑体" w:eastAsia="黑体" w:cs="仿宋_GB2312"/>
          <w:kern w:val="0"/>
          <w:sz w:val="32"/>
          <w:szCs w:val="32"/>
        </w:rPr>
        <w:t>第四部分  名词解释</w:t>
      </w:r>
    </w:p>
    <w:p w14:paraId="43598914">
      <w:pPr>
        <w:spacing w:line="560" w:lineRule="exact"/>
        <w:ind w:firstLine="640"/>
        <w:rPr>
          <w:rFonts w:ascii="仿宋_GB2312" w:eastAsia="仿宋_GB2312"/>
          <w:sz w:val="32"/>
          <w:szCs w:val="32"/>
        </w:rPr>
      </w:pPr>
      <w:r>
        <w:rPr>
          <w:rFonts w:hint="eastAsia" w:ascii="仿宋_GB2312" w:eastAsia="仿宋_GB2312"/>
          <w:sz w:val="32"/>
          <w:szCs w:val="32"/>
        </w:rPr>
        <w:t xml:space="preserve">一、财政拨款收入：指自治区财政部门当年拨付的资金。 </w:t>
      </w:r>
    </w:p>
    <w:p w14:paraId="127387E1">
      <w:pPr>
        <w:spacing w:line="560" w:lineRule="exact"/>
        <w:ind w:firstLine="640" w:firstLineChars="200"/>
        <w:rPr>
          <w:rFonts w:ascii="仿宋_GB2312" w:eastAsia="仿宋_GB2312"/>
          <w:sz w:val="32"/>
          <w:szCs w:val="32"/>
        </w:rPr>
      </w:pPr>
      <w:r>
        <w:rPr>
          <w:rFonts w:hint="eastAsia" w:ascii="仿宋_GB2312" w:eastAsia="仿宋_GB2312"/>
          <w:sz w:val="32"/>
          <w:szCs w:val="32"/>
        </w:rPr>
        <w:t>二、事业收入：指事业单位开展专业业务活动及辅助活动所取得的收入。</w:t>
      </w:r>
    </w:p>
    <w:p w14:paraId="0890EEED">
      <w:pPr>
        <w:spacing w:line="560" w:lineRule="exact"/>
        <w:ind w:firstLine="640" w:firstLineChars="200"/>
        <w:rPr>
          <w:rFonts w:ascii="仿宋_GB2312" w:eastAsia="仿宋_GB2312"/>
          <w:sz w:val="32"/>
          <w:szCs w:val="32"/>
        </w:rPr>
      </w:pPr>
      <w:r>
        <w:rPr>
          <w:rFonts w:hint="eastAsia" w:ascii="仿宋_GB2312" w:eastAsia="仿宋_GB2312"/>
          <w:sz w:val="32"/>
          <w:szCs w:val="32"/>
        </w:rPr>
        <w:t>三、经营收入：指事业单位在专业业务活动及其辅助活动之外开展非独立核算经营活动取得的收入。</w:t>
      </w:r>
    </w:p>
    <w:p w14:paraId="19322EAA">
      <w:pPr>
        <w:spacing w:line="560" w:lineRule="exact"/>
        <w:ind w:firstLine="640"/>
        <w:rPr>
          <w:rFonts w:ascii="仿宋_GB2312" w:eastAsia="仿宋_GB2312"/>
          <w:sz w:val="32"/>
          <w:szCs w:val="32"/>
        </w:rPr>
      </w:pPr>
      <w:r>
        <w:rPr>
          <w:rFonts w:hint="eastAsia" w:ascii="仿宋_GB2312" w:eastAsia="仿宋_GB2312"/>
          <w:sz w:val="32"/>
          <w:szCs w:val="32"/>
        </w:rPr>
        <w:t>四、其他收入：指除上述“财政拨款收入”“事业收入”“经营收入”等以外的收入。</w:t>
      </w:r>
    </w:p>
    <w:p w14:paraId="0B3B3D95">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五、使用非财政拨款结余（含专用结余）：指事业单位在当年的“财政拨款收入”“事业收入”“经营收入”“其他收入”不足以安排当年支出的情况下，使用非财政拨款结余、专用结余弥补本年度收支缺口的资金。 </w:t>
      </w:r>
    </w:p>
    <w:p w14:paraId="4911777D">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六、年初结转和结余：指以前年度尚未完成、结转到本年 按有关规定继续使用的资金。 </w:t>
      </w:r>
    </w:p>
    <w:p w14:paraId="7E6EC0B2">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七、结余分配：指事业单位按规定提取的职工福利基金、事业基金和缴纳的所得税，以及建设单位按规定应交回的基本建设竣工项目结余资金。 </w:t>
      </w:r>
    </w:p>
    <w:p w14:paraId="75A04E1A">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八、年末结转和结余：指本年度或以前年度预算安排、因客观条件发生变化无法按原计划实施，需要延迟到以后年度按有关规定继续使用的资金。 </w:t>
      </w:r>
    </w:p>
    <w:p w14:paraId="2CD84F5A">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九、基本支出：指为保障机构正常运转、完成日常工作任务而发生的人员支出和公用支出。 </w:t>
      </w:r>
    </w:p>
    <w:p w14:paraId="3B2B38C3">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十、项目支出：指在基本支出之外为完成特定行政任务和事业发展目标所发生的支出。 </w:t>
      </w:r>
    </w:p>
    <w:p w14:paraId="7E020B8E">
      <w:pPr>
        <w:spacing w:line="560" w:lineRule="exact"/>
        <w:ind w:firstLine="640"/>
        <w:rPr>
          <w:rFonts w:ascii="仿宋_GB2312" w:eastAsia="仿宋_GB2312"/>
          <w:sz w:val="32"/>
          <w:szCs w:val="32"/>
        </w:rPr>
      </w:pPr>
      <w:r>
        <w:rPr>
          <w:rFonts w:hint="eastAsia" w:ascii="仿宋_GB2312" w:eastAsia="仿宋_GB2312"/>
          <w:sz w:val="32"/>
          <w:szCs w:val="32"/>
        </w:rPr>
        <w:t>十一、经营支出：指事业单位在专业业务活动及其辅助活动之外开展非独立核算经营活动发生的支出。</w:t>
      </w:r>
    </w:p>
    <w:p w14:paraId="2729D00A">
      <w:pPr>
        <w:spacing w:line="560" w:lineRule="exact"/>
        <w:ind w:firstLine="640" w:firstLineChars="200"/>
        <w:rPr>
          <w:rFonts w:ascii="仿宋_GB2312" w:eastAsia="仿宋_GB2312"/>
          <w:sz w:val="32"/>
          <w:szCs w:val="32"/>
        </w:rPr>
      </w:pPr>
      <w:r>
        <w:rPr>
          <w:rFonts w:hint="eastAsia" w:ascii="仿宋_GB2312" w:eastAsia="仿宋_GB2312"/>
          <w:sz w:val="32"/>
          <w:szCs w:val="32"/>
        </w:rPr>
        <w:t xml:space="preserve">十二、“三公”经费：纳入自治区财政预决算管理的“三公”经费，是指自治区本级各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14:paraId="0CB12441">
      <w:pPr>
        <w:spacing w:line="560" w:lineRule="exact"/>
        <w:ind w:firstLine="640" w:firstLineChars="200"/>
      </w:pPr>
      <w:r>
        <w:rPr>
          <w:rFonts w:hint="eastAsia" w:ascii="仿宋_GB2312" w:eastAsia="仿宋_GB2312"/>
          <w:sz w:val="32"/>
          <w:szCs w:val="32"/>
        </w:rPr>
        <w:t>十三、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sectPr>
      <w:pgSz w:w="11907" w:h="16839"/>
      <w:pgMar w:top="1440" w:right="1531"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ArialUnicodeMS">
    <w:altName w:val="Segoe Print"/>
    <w:panose1 w:val="00000000000000000000"/>
    <w:charset w:val="00"/>
    <w:family w:val="auto"/>
    <w:pitch w:val="default"/>
    <w:sig w:usb0="00000000" w:usb1="00000000" w:usb2="00000000" w:usb3="00000000" w:csb0="00000000" w:csb1="00000000"/>
  </w:font>
  <w:font w:name="方正小标宋简体">
    <w:altName w:val="Arial Unicode MS"/>
    <w:panose1 w:val="00000000000000000000"/>
    <w:charset w:val="86"/>
    <w:family w:val="script"/>
    <w:pitch w:val="default"/>
    <w:sig w:usb0="00000000" w:usb1="00000000" w:usb2="00000012" w:usb3="00000000" w:csb0="00040001" w:csb1="00000000"/>
  </w:font>
  <w:font w:name="楷体_GB2312">
    <w:altName w:val="楷体"/>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Segoe Print">
    <w:panose1 w:val="02000600000000000000"/>
    <w:charset w:val="00"/>
    <w:family w:val="auto"/>
    <w:pitch w:val="default"/>
    <w:sig w:usb0="0000028F" w:usb1="00000000" w:usb2="00000000" w:usb3="00000000" w:csb0="2000009F" w:csb1="4701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FFA35"/>
    <w:multiLevelType w:val="singleLevel"/>
    <w:tmpl w:val="85DFFA35"/>
    <w:lvl w:ilvl="0" w:tentative="0">
      <w:start w:val="6"/>
      <w:numFmt w:val="chineseCounting"/>
      <w:suff w:val="nothing"/>
      <w:lvlText w:val="%1、"/>
      <w:lvlJc w:val="left"/>
      <w:rPr>
        <w:rFonts w:hint="eastAsia"/>
      </w:rPr>
    </w:lvl>
  </w:abstractNum>
  <w:abstractNum w:abstractNumId="1">
    <w:nsid w:val="2937241B"/>
    <w:multiLevelType w:val="singleLevel"/>
    <w:tmpl w:val="2937241B"/>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bordersDoNotSurroundHeader w:val="1"/>
  <w:bordersDoNotSurroundFooter w:val="1"/>
  <w:documentProtection w:enforcement="0"/>
  <w:defaultTabStop w:val="420"/>
  <w:drawingGridHorizontalSpacing w:val="105"/>
  <w:drawingGridVerticalSpacing w:val="156"/>
  <w:displayHorizontalDrawingGridEvery w:val="0"/>
  <w:characterSpacingControl w:val="compressPunctuation"/>
  <w:compat>
    <w:spaceForUL/>
    <w:balanceSingleByteDoubleByteWidth/>
    <w:ulTrailSpace/>
    <w:doNotExpandShiftReturn/>
    <w:adjustLineHeightInTable/>
    <w:useFELayout/>
    <w:useAltKinsokuLineBreakRules/>
    <w:compatSetting w:name="compatibilityMode" w:uri="http://schemas.microsoft.com/office/word" w:val="14"/>
  </w:compat>
  <w:docVars>
    <w:docVar w:name="commondata" w:val="eyJoZGlkIjoiZWJjMjZlYWNhMTc4NTEwNGRhZTQwODc0YjZmOWM5MjgifQ=="/>
  </w:docVars>
  <w:rsids>
    <w:rsidRoot w:val="00303EF7"/>
    <w:rsid w:val="00050C37"/>
    <w:rsid w:val="001B224D"/>
    <w:rsid w:val="00303EF7"/>
    <w:rsid w:val="004B35DD"/>
    <w:rsid w:val="00827EF7"/>
    <w:rsid w:val="00D86C23"/>
    <w:rsid w:val="037D56E7"/>
    <w:rsid w:val="03E07C1D"/>
    <w:rsid w:val="05D5702F"/>
    <w:rsid w:val="0E524C63"/>
    <w:rsid w:val="0E6342AF"/>
    <w:rsid w:val="0FFA7BE8"/>
    <w:rsid w:val="18A03899"/>
    <w:rsid w:val="20643C3A"/>
    <w:rsid w:val="23F7298C"/>
    <w:rsid w:val="256040C9"/>
    <w:rsid w:val="2F2F5EB1"/>
    <w:rsid w:val="30FC6F47"/>
    <w:rsid w:val="3411316B"/>
    <w:rsid w:val="34D06D46"/>
    <w:rsid w:val="3D2739F3"/>
    <w:rsid w:val="47021D0D"/>
    <w:rsid w:val="4721308F"/>
    <w:rsid w:val="514B01EB"/>
    <w:rsid w:val="54472D5C"/>
    <w:rsid w:val="58B66751"/>
    <w:rsid w:val="5939268C"/>
    <w:rsid w:val="5DBE7604"/>
    <w:rsid w:val="66CF0073"/>
    <w:rsid w:val="67256FD3"/>
    <w:rsid w:val="68487F80"/>
    <w:rsid w:val="69362744"/>
    <w:rsid w:val="6B0074AE"/>
    <w:rsid w:val="6D1B6366"/>
    <w:rsid w:val="6EA71A3F"/>
    <w:rsid w:val="6FB70357"/>
    <w:rsid w:val="761820DF"/>
    <w:rsid w:val="79FC3536"/>
    <w:rsid w:val="7A6B246A"/>
    <w:rsid w:val="7C2175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qFormat/>
    <w:uiPriority w:val="0"/>
    <w:pPr>
      <w:keepNext/>
      <w:keepLines/>
      <w:spacing w:before="340" w:after="330" w:line="578" w:lineRule="auto"/>
      <w:outlineLvl w:val="0"/>
    </w:pPr>
    <w:rPr>
      <w:b/>
      <w:kern w:val="44"/>
      <w:sz w:val="44"/>
    </w:rPr>
  </w:style>
  <w:style w:type="paragraph" w:styleId="3">
    <w:name w:val="heading 2"/>
    <w:basedOn w:val="1"/>
    <w:next w:val="1"/>
    <w:qFormat/>
    <w:uiPriority w:val="0"/>
    <w:pPr>
      <w:keepNext/>
      <w:keepLines/>
      <w:spacing w:before="260" w:after="260" w:line="415" w:lineRule="auto"/>
      <w:outlineLvl w:val="1"/>
    </w:pPr>
    <w:rPr>
      <w:rFonts w:ascii="Arial" w:hAnsi="Arial" w:eastAsia="黑体"/>
      <w:b/>
      <w:sz w:val="32"/>
    </w:rPr>
  </w:style>
  <w:style w:type="paragraph" w:styleId="4">
    <w:name w:val="heading 3"/>
    <w:basedOn w:val="1"/>
    <w:next w:val="1"/>
    <w:qFormat/>
    <w:uiPriority w:val="0"/>
    <w:pPr>
      <w:keepNext/>
      <w:keepLines/>
      <w:spacing w:before="260" w:after="260" w:line="415" w:lineRule="auto"/>
      <w:outlineLvl w:val="2"/>
    </w:pPr>
    <w:rPr>
      <w:b/>
      <w:sz w:val="32"/>
    </w:rPr>
  </w:style>
  <w:style w:type="character" w:default="1" w:styleId="6">
    <w:name w:val="Default Paragraph Font"/>
    <w:semiHidden/>
    <w:unhideWhenUsed/>
    <w:qFormat/>
    <w:uiPriority w:val="1"/>
  </w:style>
  <w:style w:type="table" w:default="1" w:styleId="5">
    <w:name w:val="Normal Table"/>
    <w:semiHidden/>
    <w:unhideWhenUsed/>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10</Pages>
  <Words>3801</Words>
  <Characters>4087</Characters>
  <Lines>30</Lines>
  <Paragraphs>8</Paragraphs>
  <TotalTime>40</TotalTime>
  <ScaleCrop>false</ScaleCrop>
  <LinksUpToDate>false</LinksUpToDate>
  <CharactersWithSpaces>4111</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2024-11-07T09:46:00Z</dcterms:created>
  <dc:creator>gxxc</dc:creator>
  <cp:lastModifiedBy>lemovo</cp:lastModifiedBy>
  <dcterms:modified xsi:type="dcterms:W3CDTF">2024-11-08T08:32:58Z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EF53D5E3C7464290A99D56360052C9C0_12</vt:lpwstr>
  </property>
</Properties>
</file>