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nts/font1.odttf" ContentType="application/vnd.openxmlformats-officedocument.obfuscatedFont"/>
  <Override PartName="/word/fonts/font2.odttf" ContentType="application/vnd.openxmlformats-officedocument.obfuscatedFont"/>
  <Override PartName="/word/fonts/font3.odttf" ContentType="application/vnd.openxmlformats-officedocument.obfuscatedFont"/>
  <Override PartName="/word/fonts/font4.odttf" ContentType="application/vnd.openxmlformats-officedocument.obfuscatedFont"/>
  <Override PartName="/word/footer1.xml" ContentType="application/vnd.openxmlformats-officedocument.wordprocessingml.footer+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14:paraId="0140E224">
      <w:pPr>
        <w:adjustRightInd w:val="0"/>
        <w:snapToGrid w:val="0"/>
        <w:spacing w:line="560" w:lineRule="exact"/>
        <w:ind w:right="-333" w:rightChars="-104"/>
        <w:jc w:val="center"/>
        <w:rPr>
          <w:rFonts w:hint="eastAsia" w:ascii="黑体" w:hAnsi="黑体" w:eastAsia="黑体" w:cs="黑体"/>
          <w:b/>
          <w:bCs/>
          <w:sz w:val="44"/>
          <w:szCs w:val="44"/>
          <w:lang w:val="en-US" w:eastAsia="zh-CN"/>
        </w:rPr>
      </w:pPr>
      <w:r>
        <w:rPr>
          <w:rFonts w:hint="eastAsia" w:ascii="黑体" w:hAnsi="黑体" w:eastAsia="黑体" w:cs="黑体"/>
          <w:b/>
          <w:bCs/>
          <w:sz w:val="44"/>
          <w:szCs w:val="44"/>
          <w:lang w:val="en-US" w:eastAsia="zh-CN"/>
        </w:rPr>
        <w:t>广西壮族自治区梧州航道养护中心</w:t>
      </w:r>
    </w:p>
    <w:p w14:paraId="585A9BF0">
      <w:pPr>
        <w:adjustRightInd w:val="0"/>
        <w:snapToGrid w:val="0"/>
        <w:spacing w:line="560" w:lineRule="exact"/>
        <w:ind w:right="-333" w:rightChars="-104"/>
        <w:jc w:val="center"/>
        <w:rPr>
          <w:rFonts w:hint="eastAsia" w:ascii="黑体" w:hAnsi="黑体" w:eastAsia="黑体" w:cs="黑体"/>
          <w:b/>
          <w:bCs/>
          <w:sz w:val="44"/>
          <w:szCs w:val="44"/>
          <w:lang w:eastAsia="zh-CN"/>
        </w:rPr>
      </w:pPr>
      <w:r>
        <w:rPr>
          <w:rFonts w:hint="eastAsia" w:ascii="黑体" w:hAnsi="黑体" w:eastAsia="黑体" w:cs="黑体"/>
          <w:b/>
          <w:bCs/>
          <w:sz w:val="44"/>
          <w:szCs w:val="44"/>
        </w:rPr>
        <w:t>202</w:t>
      </w:r>
      <w:r>
        <w:rPr>
          <w:rFonts w:hint="eastAsia" w:ascii="黑体" w:hAnsi="黑体" w:eastAsia="黑体" w:cs="黑体"/>
          <w:b/>
          <w:bCs/>
          <w:sz w:val="44"/>
          <w:szCs w:val="44"/>
          <w:lang w:val="en-US" w:eastAsia="zh-CN"/>
        </w:rPr>
        <w:t>5</w:t>
      </w:r>
      <w:r>
        <w:rPr>
          <w:rFonts w:hint="eastAsia" w:ascii="黑体" w:hAnsi="黑体" w:eastAsia="黑体" w:cs="黑体"/>
          <w:b/>
          <w:bCs/>
          <w:sz w:val="44"/>
          <w:szCs w:val="44"/>
        </w:rPr>
        <w:t>年</w:t>
      </w:r>
      <w:r>
        <w:rPr>
          <w:rFonts w:hint="eastAsia" w:ascii="黑体" w:hAnsi="黑体" w:eastAsia="黑体" w:cs="黑体"/>
          <w:b/>
          <w:bCs/>
          <w:sz w:val="44"/>
          <w:szCs w:val="44"/>
          <w:lang w:val="en-US" w:eastAsia="zh-CN"/>
        </w:rPr>
        <w:t>单位</w:t>
      </w:r>
      <w:r>
        <w:rPr>
          <w:rFonts w:hint="eastAsia" w:ascii="黑体" w:hAnsi="黑体" w:eastAsia="黑体" w:cs="黑体"/>
          <w:b/>
          <w:bCs/>
          <w:sz w:val="44"/>
          <w:szCs w:val="44"/>
        </w:rPr>
        <w:t>预算公开</w:t>
      </w:r>
    </w:p>
    <w:p w14:paraId="1CB67D0D">
      <w:pPr>
        <w:adjustRightInd w:val="0"/>
        <w:snapToGrid w:val="0"/>
        <w:spacing w:line="560" w:lineRule="exact"/>
        <w:ind w:right="-333" w:rightChars="-104"/>
        <w:jc w:val="center"/>
        <w:rPr>
          <w:rFonts w:hint="eastAsia" w:ascii="黑体" w:hAnsi="宋体" w:eastAsia="黑体"/>
          <w:bCs/>
          <w:szCs w:val="32"/>
        </w:rPr>
      </w:pPr>
    </w:p>
    <w:p w14:paraId="4C764AC9">
      <w:pPr>
        <w:adjustRightInd w:val="0"/>
        <w:snapToGrid w:val="0"/>
        <w:spacing w:line="560" w:lineRule="exact"/>
        <w:ind w:right="-333" w:rightChars="-104"/>
        <w:jc w:val="center"/>
        <w:rPr>
          <w:rFonts w:hint="eastAsia" w:ascii="黑体" w:hAnsi="宋体" w:eastAsia="黑体"/>
          <w:bCs/>
          <w:szCs w:val="32"/>
        </w:rPr>
      </w:pPr>
      <w:r>
        <w:rPr>
          <w:rFonts w:hint="eastAsia" w:ascii="黑体" w:hAnsi="宋体" w:eastAsia="黑体"/>
          <w:bCs/>
          <w:szCs w:val="32"/>
        </w:rPr>
        <w:t>目录</w:t>
      </w:r>
    </w:p>
    <w:p w14:paraId="354A2EE4">
      <w:pPr>
        <w:adjustRightInd w:val="0"/>
        <w:snapToGrid w:val="0"/>
        <w:spacing w:line="560" w:lineRule="exact"/>
        <w:ind w:right="-333" w:rightChars="-104" w:firstLine="640" w:firstLineChars="200"/>
        <w:rPr>
          <w:rFonts w:hint="eastAsia" w:ascii="黑体" w:hAnsi="宋体" w:eastAsia="黑体"/>
          <w:bCs/>
          <w:szCs w:val="32"/>
        </w:rPr>
      </w:pPr>
    </w:p>
    <w:p w14:paraId="79CC0C10">
      <w:pPr>
        <w:adjustRightInd w:val="0"/>
        <w:snapToGrid w:val="0"/>
        <w:spacing w:line="560" w:lineRule="exact"/>
        <w:ind w:right="-333" w:rightChars="-104" w:firstLine="640" w:firstLineChars="200"/>
        <w:rPr>
          <w:rFonts w:hint="eastAsia" w:ascii="黑体" w:hAnsi="宋体" w:eastAsia="黑体"/>
          <w:bCs/>
          <w:szCs w:val="32"/>
        </w:rPr>
      </w:pPr>
      <w:r>
        <w:rPr>
          <w:rFonts w:hint="eastAsia" w:ascii="黑体" w:hAnsi="宋体" w:eastAsia="黑体"/>
          <w:bCs/>
          <w:szCs w:val="32"/>
        </w:rPr>
        <w:t>第一部分：单位概况</w:t>
      </w:r>
    </w:p>
    <w:p w14:paraId="500B5D3B">
      <w:pPr>
        <w:pStyle w:val="3"/>
        <w:adjustRightInd w:val="0"/>
        <w:snapToGrid w:val="0"/>
        <w:spacing w:line="560" w:lineRule="exact"/>
        <w:ind w:firstLine="640" w:firstLineChars="200"/>
        <w:rPr>
          <w:rFonts w:hint="eastAsia" w:ascii="仿宋_GB2312" w:hAnsi="仿宋_GB2312" w:eastAsia="仿宋_GB2312" w:cs="仿宋_GB2312"/>
          <w:bCs/>
          <w:sz w:val="32"/>
          <w:szCs w:val="32"/>
          <w:lang w:val="en-US" w:eastAsia="zh-CN"/>
        </w:rPr>
      </w:pPr>
      <w:r>
        <w:rPr>
          <w:rFonts w:hint="eastAsia" w:ascii="仿宋_GB2312" w:hAnsi="仿宋_GB2312" w:eastAsia="仿宋_GB2312" w:cs="仿宋_GB2312"/>
          <w:bCs/>
          <w:sz w:val="32"/>
          <w:szCs w:val="32"/>
          <w:lang w:val="en-US" w:eastAsia="zh-CN"/>
        </w:rPr>
        <w:t>一、单位主要职能</w:t>
      </w:r>
    </w:p>
    <w:p w14:paraId="2EE2F391">
      <w:pPr>
        <w:pStyle w:val="3"/>
        <w:adjustRightInd w:val="0"/>
        <w:snapToGrid w:val="0"/>
        <w:spacing w:line="560" w:lineRule="exact"/>
        <w:ind w:firstLine="640" w:firstLineChars="200"/>
        <w:rPr>
          <w:rFonts w:hint="eastAsia" w:ascii="仿宋_GB2312" w:hAnsi="仿宋_GB2312" w:eastAsia="仿宋_GB2312" w:cs="仿宋_GB2312"/>
          <w:bCs/>
          <w:sz w:val="32"/>
          <w:szCs w:val="32"/>
          <w:lang w:val="en-US" w:eastAsia="zh-CN"/>
        </w:rPr>
      </w:pPr>
      <w:r>
        <w:rPr>
          <w:rFonts w:hint="eastAsia" w:ascii="仿宋_GB2312" w:hAnsi="仿宋_GB2312" w:eastAsia="仿宋_GB2312" w:cs="仿宋_GB2312"/>
          <w:bCs/>
          <w:sz w:val="32"/>
          <w:szCs w:val="32"/>
          <w:lang w:val="en-US" w:eastAsia="zh-CN"/>
        </w:rPr>
        <w:t>二、机构设置情况</w:t>
      </w:r>
      <w:bookmarkStart w:id="0" w:name="_GoBack"/>
      <w:bookmarkEnd w:id="0"/>
    </w:p>
    <w:p w14:paraId="55159E4D">
      <w:pPr>
        <w:adjustRightInd w:val="0"/>
        <w:snapToGrid w:val="0"/>
        <w:spacing w:line="560" w:lineRule="exact"/>
        <w:ind w:left="640" w:leftChars="200" w:right="-333" w:rightChars="-104" w:firstLine="0" w:firstLineChars="0"/>
        <w:rPr>
          <w:rFonts w:hint="eastAsia" w:ascii="黑体" w:hAnsi="宋体" w:eastAsia="黑体"/>
          <w:bCs/>
          <w:szCs w:val="32"/>
        </w:rPr>
      </w:pPr>
      <w:r>
        <w:rPr>
          <w:rFonts w:hint="eastAsia" w:ascii="黑体" w:hAnsi="宋体" w:eastAsia="黑体"/>
          <w:bCs/>
          <w:szCs w:val="32"/>
        </w:rPr>
        <w:t>第二部分：</w:t>
      </w:r>
      <w:r>
        <w:rPr>
          <w:rFonts w:hint="eastAsia" w:ascii="黑体" w:hAnsi="宋体" w:eastAsia="黑体"/>
          <w:bCs/>
          <w:szCs w:val="32"/>
          <w:lang w:val="en-US" w:eastAsia="zh-CN"/>
        </w:rPr>
        <w:t>广西壮族自治区梧州航道养护中心</w:t>
      </w:r>
      <w:r>
        <w:rPr>
          <w:rFonts w:hint="eastAsia" w:ascii="黑体" w:hAnsi="宋体" w:eastAsia="黑体"/>
          <w:bCs/>
          <w:szCs w:val="32"/>
        </w:rPr>
        <w:t>202</w:t>
      </w:r>
      <w:r>
        <w:rPr>
          <w:rFonts w:hint="eastAsia" w:ascii="黑体" w:hAnsi="宋体" w:eastAsia="黑体"/>
          <w:bCs/>
          <w:szCs w:val="32"/>
          <w:lang w:val="en-US" w:eastAsia="zh-CN"/>
        </w:rPr>
        <w:t>5</w:t>
      </w:r>
      <w:r>
        <w:rPr>
          <w:rFonts w:hint="eastAsia" w:ascii="黑体" w:hAnsi="宋体" w:eastAsia="黑体"/>
          <w:bCs/>
          <w:szCs w:val="32"/>
        </w:rPr>
        <w:t>年单位预算情况说明</w:t>
      </w:r>
    </w:p>
    <w:p w14:paraId="704DB04B">
      <w:pPr>
        <w:pStyle w:val="3"/>
        <w:adjustRightInd w:val="0"/>
        <w:snapToGrid w:val="0"/>
        <w:spacing w:line="560" w:lineRule="exact"/>
        <w:ind w:firstLine="640" w:firstLineChars="200"/>
        <w:rPr>
          <w:rFonts w:hint="eastAsia" w:ascii="仿宋_GB2312" w:hAnsi="仿宋_GB2312" w:eastAsia="仿宋_GB2312" w:cs="仿宋_GB2312"/>
          <w:bCs/>
          <w:sz w:val="32"/>
          <w:szCs w:val="32"/>
          <w:lang w:val="en-US" w:eastAsia="zh-CN"/>
        </w:rPr>
      </w:pPr>
      <w:r>
        <w:rPr>
          <w:rFonts w:hint="eastAsia" w:ascii="仿宋_GB2312" w:hAnsi="仿宋_GB2312" w:eastAsia="仿宋_GB2312" w:cs="仿宋_GB2312"/>
          <w:bCs/>
          <w:sz w:val="32"/>
          <w:szCs w:val="32"/>
          <w:lang w:val="en-US" w:eastAsia="zh-CN"/>
        </w:rPr>
        <w:t>一、单位预算收支增减变化情况说明</w:t>
      </w:r>
    </w:p>
    <w:p w14:paraId="627E4A49">
      <w:pPr>
        <w:pStyle w:val="3"/>
        <w:adjustRightInd w:val="0"/>
        <w:snapToGrid w:val="0"/>
        <w:spacing w:line="560" w:lineRule="exact"/>
        <w:ind w:firstLine="640" w:firstLineChars="200"/>
        <w:rPr>
          <w:rFonts w:hint="eastAsia" w:ascii="仿宋_GB2312" w:hAnsi="仿宋_GB2312" w:eastAsia="仿宋_GB2312" w:cs="仿宋_GB2312"/>
          <w:bCs/>
          <w:sz w:val="32"/>
          <w:szCs w:val="32"/>
          <w:lang w:val="en-US" w:eastAsia="zh-CN"/>
        </w:rPr>
      </w:pPr>
      <w:r>
        <w:rPr>
          <w:rFonts w:hint="eastAsia" w:ascii="仿宋_GB2312" w:hAnsi="仿宋_GB2312" w:eastAsia="仿宋_GB2312" w:cs="仿宋_GB2312"/>
          <w:bCs/>
          <w:sz w:val="32"/>
          <w:szCs w:val="32"/>
          <w:lang w:val="en-US" w:eastAsia="zh-CN"/>
        </w:rPr>
        <w:t>二、单位预算收入总体情况说明</w:t>
      </w:r>
    </w:p>
    <w:p w14:paraId="6D6BEDE7">
      <w:pPr>
        <w:pStyle w:val="3"/>
        <w:adjustRightInd w:val="0"/>
        <w:snapToGrid w:val="0"/>
        <w:spacing w:line="560" w:lineRule="exact"/>
        <w:ind w:firstLine="640" w:firstLineChars="200"/>
        <w:rPr>
          <w:rFonts w:hint="eastAsia" w:ascii="仿宋_GB2312" w:hAnsi="仿宋_GB2312" w:eastAsia="仿宋_GB2312" w:cs="仿宋_GB2312"/>
          <w:bCs/>
          <w:sz w:val="32"/>
          <w:szCs w:val="32"/>
          <w:lang w:val="en-US" w:eastAsia="zh-CN"/>
        </w:rPr>
      </w:pPr>
      <w:r>
        <w:rPr>
          <w:rFonts w:hint="eastAsia" w:ascii="仿宋_GB2312" w:hAnsi="仿宋_GB2312" w:eastAsia="仿宋_GB2312" w:cs="仿宋_GB2312"/>
          <w:bCs/>
          <w:sz w:val="32"/>
          <w:szCs w:val="32"/>
          <w:lang w:val="en-US" w:eastAsia="zh-CN"/>
        </w:rPr>
        <w:t>三、单位预算支出总体情况说明</w:t>
      </w:r>
    </w:p>
    <w:p w14:paraId="3FCB6098">
      <w:pPr>
        <w:pStyle w:val="3"/>
        <w:adjustRightInd w:val="0"/>
        <w:snapToGrid w:val="0"/>
        <w:spacing w:line="560" w:lineRule="exact"/>
        <w:ind w:firstLine="640" w:firstLineChars="200"/>
        <w:rPr>
          <w:rFonts w:hint="eastAsia" w:ascii="仿宋_GB2312" w:hAnsi="仿宋_GB2312" w:eastAsia="仿宋_GB2312" w:cs="仿宋_GB2312"/>
          <w:bCs/>
          <w:sz w:val="32"/>
          <w:szCs w:val="32"/>
          <w:lang w:val="en-US" w:eastAsia="zh-CN"/>
        </w:rPr>
      </w:pPr>
      <w:r>
        <w:rPr>
          <w:rFonts w:hint="eastAsia" w:ascii="仿宋_GB2312" w:hAnsi="仿宋_GB2312" w:eastAsia="仿宋_GB2312" w:cs="仿宋_GB2312"/>
          <w:bCs/>
          <w:sz w:val="32"/>
          <w:szCs w:val="32"/>
          <w:lang w:val="en-US" w:eastAsia="zh-CN"/>
        </w:rPr>
        <w:t>四、政府性基金预算支出情况说明</w:t>
      </w:r>
    </w:p>
    <w:p w14:paraId="3567897D">
      <w:pPr>
        <w:pStyle w:val="3"/>
        <w:adjustRightInd w:val="0"/>
        <w:snapToGrid w:val="0"/>
        <w:spacing w:line="560" w:lineRule="exact"/>
        <w:ind w:firstLine="640" w:firstLineChars="200"/>
        <w:rPr>
          <w:rFonts w:hint="eastAsia" w:ascii="仿宋_GB2312" w:hAnsi="仿宋_GB2312" w:eastAsia="仿宋_GB2312" w:cs="仿宋_GB2312"/>
          <w:bCs/>
          <w:sz w:val="32"/>
          <w:szCs w:val="32"/>
          <w:lang w:val="en-US" w:eastAsia="zh-CN"/>
        </w:rPr>
      </w:pPr>
      <w:r>
        <w:rPr>
          <w:rFonts w:hint="eastAsia" w:ascii="仿宋_GB2312" w:hAnsi="仿宋_GB2312" w:eastAsia="仿宋_GB2312" w:cs="仿宋_GB2312"/>
          <w:bCs/>
          <w:sz w:val="32"/>
          <w:szCs w:val="32"/>
          <w:lang w:val="en-US" w:eastAsia="zh-CN"/>
        </w:rPr>
        <w:t>五、国有资本经营预算支出情况说明</w:t>
      </w:r>
    </w:p>
    <w:p w14:paraId="20D381C5">
      <w:pPr>
        <w:pStyle w:val="3"/>
        <w:adjustRightInd w:val="0"/>
        <w:snapToGrid w:val="0"/>
        <w:spacing w:line="560" w:lineRule="exact"/>
        <w:ind w:firstLine="640" w:firstLineChars="200"/>
        <w:rPr>
          <w:rFonts w:hint="eastAsia" w:ascii="仿宋_GB2312" w:hAnsi="仿宋_GB2312" w:eastAsia="仿宋_GB2312" w:cs="仿宋_GB2312"/>
          <w:bCs/>
          <w:sz w:val="32"/>
          <w:szCs w:val="32"/>
          <w:lang w:val="en-US" w:eastAsia="zh-CN"/>
        </w:rPr>
      </w:pPr>
      <w:r>
        <w:rPr>
          <w:rFonts w:hint="eastAsia" w:ascii="仿宋_GB2312" w:hAnsi="仿宋_GB2312" w:eastAsia="仿宋_GB2312" w:cs="仿宋_GB2312"/>
          <w:bCs/>
          <w:sz w:val="32"/>
          <w:szCs w:val="32"/>
          <w:lang w:val="en-US" w:eastAsia="zh-CN"/>
        </w:rPr>
        <w:t>六、一般公共预算“三公”经费支出情况说明</w:t>
      </w:r>
    </w:p>
    <w:p w14:paraId="28D33B67">
      <w:pPr>
        <w:pStyle w:val="3"/>
        <w:adjustRightInd w:val="0"/>
        <w:snapToGrid w:val="0"/>
        <w:spacing w:line="560" w:lineRule="exact"/>
        <w:ind w:firstLine="640" w:firstLineChars="200"/>
        <w:rPr>
          <w:rFonts w:hint="eastAsia" w:ascii="仿宋_GB2312" w:hAnsi="仿宋_GB2312" w:eastAsia="仿宋_GB2312" w:cs="仿宋_GB2312"/>
          <w:bCs/>
          <w:sz w:val="32"/>
          <w:szCs w:val="32"/>
          <w:lang w:val="en-US" w:eastAsia="zh-CN"/>
        </w:rPr>
      </w:pPr>
      <w:r>
        <w:rPr>
          <w:rFonts w:hint="eastAsia" w:ascii="仿宋_GB2312" w:hAnsi="仿宋_GB2312" w:eastAsia="仿宋_GB2312" w:cs="仿宋_GB2312"/>
          <w:bCs/>
          <w:sz w:val="32"/>
          <w:szCs w:val="32"/>
          <w:lang w:val="en-US" w:eastAsia="zh-CN"/>
        </w:rPr>
        <w:t>七、事业单位相关运行经费安排情况说明</w:t>
      </w:r>
    </w:p>
    <w:p w14:paraId="69DF529E">
      <w:pPr>
        <w:pStyle w:val="3"/>
        <w:adjustRightInd w:val="0"/>
        <w:snapToGrid w:val="0"/>
        <w:spacing w:line="560" w:lineRule="exact"/>
        <w:ind w:firstLine="640" w:firstLineChars="200"/>
        <w:rPr>
          <w:rFonts w:hint="eastAsia" w:ascii="仿宋_GB2312" w:hAnsi="仿宋_GB2312" w:eastAsia="仿宋_GB2312" w:cs="仿宋_GB2312"/>
          <w:bCs/>
          <w:sz w:val="32"/>
          <w:szCs w:val="32"/>
          <w:lang w:val="en-US" w:eastAsia="zh-CN"/>
        </w:rPr>
      </w:pPr>
      <w:r>
        <w:rPr>
          <w:rFonts w:hint="eastAsia" w:ascii="仿宋_GB2312" w:hAnsi="仿宋_GB2312" w:eastAsia="仿宋_GB2312" w:cs="仿宋_GB2312"/>
          <w:bCs/>
          <w:sz w:val="32"/>
          <w:szCs w:val="32"/>
          <w:lang w:val="en-US" w:eastAsia="zh-CN"/>
        </w:rPr>
        <w:t>八、政府采购预算安排情况说明</w:t>
      </w:r>
    </w:p>
    <w:p w14:paraId="7C7F68AD">
      <w:pPr>
        <w:pStyle w:val="3"/>
        <w:adjustRightInd w:val="0"/>
        <w:snapToGrid w:val="0"/>
        <w:spacing w:line="560" w:lineRule="exact"/>
        <w:ind w:firstLine="640" w:firstLineChars="200"/>
        <w:rPr>
          <w:rFonts w:hint="eastAsia" w:ascii="仿宋_GB2312" w:hAnsi="仿宋_GB2312" w:eastAsia="仿宋_GB2312" w:cs="仿宋_GB2312"/>
          <w:bCs/>
          <w:sz w:val="32"/>
          <w:szCs w:val="32"/>
          <w:lang w:val="en-US" w:eastAsia="zh-CN"/>
        </w:rPr>
      </w:pPr>
      <w:r>
        <w:rPr>
          <w:rFonts w:hint="eastAsia" w:ascii="仿宋_GB2312" w:hAnsi="仿宋_GB2312" w:eastAsia="仿宋_GB2312" w:cs="仿宋_GB2312"/>
          <w:bCs/>
          <w:sz w:val="32"/>
          <w:szCs w:val="32"/>
          <w:lang w:val="en-US" w:eastAsia="zh-CN"/>
        </w:rPr>
        <w:t>九、国有资产占用情况说明</w:t>
      </w:r>
    </w:p>
    <w:p w14:paraId="746CC22B">
      <w:pPr>
        <w:pStyle w:val="3"/>
        <w:adjustRightInd w:val="0"/>
        <w:snapToGrid w:val="0"/>
        <w:spacing w:line="560" w:lineRule="exact"/>
        <w:ind w:firstLine="640" w:firstLineChars="200"/>
        <w:rPr>
          <w:rFonts w:hint="eastAsia" w:ascii="仿宋_GB2312" w:hAnsi="仿宋_GB2312" w:eastAsia="仿宋_GB2312" w:cs="仿宋_GB2312"/>
          <w:bCs/>
          <w:sz w:val="32"/>
          <w:szCs w:val="32"/>
          <w:lang w:val="en-US" w:eastAsia="zh-CN"/>
        </w:rPr>
      </w:pPr>
      <w:r>
        <w:rPr>
          <w:rFonts w:hint="eastAsia" w:ascii="仿宋_GB2312" w:hAnsi="仿宋_GB2312" w:eastAsia="仿宋_GB2312" w:cs="仿宋_GB2312"/>
          <w:bCs/>
          <w:sz w:val="32"/>
          <w:szCs w:val="32"/>
          <w:lang w:val="en-US" w:eastAsia="zh-CN"/>
        </w:rPr>
        <w:t>十、预算绩效目标情况说明</w:t>
      </w:r>
    </w:p>
    <w:p w14:paraId="7CB4E505">
      <w:pPr>
        <w:adjustRightInd w:val="0"/>
        <w:snapToGrid w:val="0"/>
        <w:spacing w:line="560" w:lineRule="exact"/>
        <w:ind w:right="-333" w:rightChars="-104" w:firstLine="640" w:firstLineChars="200"/>
        <w:rPr>
          <w:rFonts w:hint="eastAsia" w:ascii="黑体" w:hAnsi="宋体" w:eastAsia="黑体"/>
          <w:bCs/>
          <w:szCs w:val="32"/>
        </w:rPr>
      </w:pPr>
      <w:r>
        <w:rPr>
          <w:rFonts w:hint="eastAsia" w:ascii="黑体" w:eastAsia="黑体"/>
          <w:szCs w:val="32"/>
        </w:rPr>
        <w:t>第三部分：名词解释</w:t>
      </w:r>
    </w:p>
    <w:p w14:paraId="6A84C66F">
      <w:pPr>
        <w:adjustRightInd w:val="0"/>
        <w:snapToGrid w:val="0"/>
        <w:spacing w:line="560" w:lineRule="exact"/>
        <w:ind w:left="640" w:leftChars="200" w:right="-333" w:rightChars="-104" w:firstLine="0" w:firstLineChars="0"/>
        <w:rPr>
          <w:rFonts w:hint="eastAsia" w:ascii="黑体" w:hAnsi="宋体" w:eastAsia="黑体"/>
          <w:bCs/>
          <w:szCs w:val="32"/>
        </w:rPr>
      </w:pPr>
      <w:r>
        <w:rPr>
          <w:rFonts w:hint="eastAsia" w:ascii="黑体" w:hAnsi="宋体" w:eastAsia="黑体"/>
          <w:bCs/>
          <w:szCs w:val="32"/>
        </w:rPr>
        <w:t>第四部分：</w:t>
      </w:r>
      <w:r>
        <w:rPr>
          <w:rFonts w:hint="eastAsia" w:ascii="黑体" w:hAnsi="宋体" w:eastAsia="黑体"/>
          <w:bCs/>
          <w:szCs w:val="32"/>
          <w:lang w:val="en-US" w:eastAsia="zh-CN"/>
        </w:rPr>
        <w:t>广西壮族自治区梧州航道养护中心</w:t>
      </w:r>
      <w:r>
        <w:rPr>
          <w:rFonts w:hint="eastAsia" w:ascii="黑体" w:hAnsi="宋体" w:eastAsia="黑体"/>
          <w:szCs w:val="32"/>
        </w:rPr>
        <w:t>202</w:t>
      </w:r>
      <w:r>
        <w:rPr>
          <w:rFonts w:hint="eastAsia" w:ascii="黑体" w:hAnsi="宋体" w:eastAsia="黑体"/>
          <w:szCs w:val="32"/>
          <w:lang w:val="en-US" w:eastAsia="zh-CN"/>
        </w:rPr>
        <w:t>5</w:t>
      </w:r>
      <w:r>
        <w:rPr>
          <w:rFonts w:hint="eastAsia" w:ascii="黑体" w:hAnsi="宋体" w:eastAsia="黑体"/>
          <w:szCs w:val="32"/>
        </w:rPr>
        <w:t>年</w:t>
      </w:r>
      <w:r>
        <w:rPr>
          <w:rFonts w:hint="eastAsia" w:ascii="黑体" w:hAnsi="宋体" w:eastAsia="黑体"/>
          <w:szCs w:val="32"/>
          <w:lang w:val="en-US" w:eastAsia="zh-CN"/>
        </w:rPr>
        <w:t>单位</w:t>
      </w:r>
      <w:r>
        <w:rPr>
          <w:rFonts w:hint="eastAsia" w:ascii="黑体" w:eastAsia="黑体"/>
          <w:szCs w:val="32"/>
        </w:rPr>
        <w:t>预算公开报表</w:t>
      </w:r>
    </w:p>
    <w:p w14:paraId="70CE31E3">
      <w:pPr>
        <w:pStyle w:val="3"/>
        <w:adjustRightInd w:val="0"/>
        <w:snapToGrid w:val="0"/>
        <w:spacing w:line="560" w:lineRule="exact"/>
        <w:ind w:firstLine="640" w:firstLineChars="200"/>
        <w:rPr>
          <w:rFonts w:hint="eastAsia" w:ascii="仿宋_GB2312" w:hAnsi="仿宋_GB2312" w:eastAsia="仿宋_GB2312" w:cs="仿宋_GB2312"/>
          <w:bCs/>
          <w:sz w:val="32"/>
          <w:szCs w:val="32"/>
          <w:lang w:val="en-US" w:eastAsia="zh-CN"/>
        </w:rPr>
      </w:pPr>
      <w:r>
        <w:rPr>
          <w:rFonts w:hint="eastAsia" w:ascii="仿宋_GB2312" w:hAnsi="仿宋_GB2312" w:eastAsia="仿宋_GB2312" w:cs="仿宋_GB2312"/>
          <w:bCs/>
          <w:sz w:val="32"/>
          <w:szCs w:val="32"/>
          <w:lang w:val="en-US" w:eastAsia="zh-CN"/>
        </w:rPr>
        <w:t>一、单位收支总体情况表（预算公开01表）</w:t>
      </w:r>
    </w:p>
    <w:p w14:paraId="52BDB275">
      <w:pPr>
        <w:pStyle w:val="3"/>
        <w:adjustRightInd w:val="0"/>
        <w:snapToGrid w:val="0"/>
        <w:spacing w:line="560" w:lineRule="exact"/>
        <w:ind w:firstLine="640" w:firstLineChars="200"/>
        <w:rPr>
          <w:rFonts w:hint="eastAsia" w:ascii="仿宋_GB2312" w:hAnsi="仿宋_GB2312" w:eastAsia="仿宋_GB2312" w:cs="仿宋_GB2312"/>
          <w:bCs/>
          <w:sz w:val="32"/>
          <w:szCs w:val="32"/>
          <w:lang w:val="en-US" w:eastAsia="zh-CN"/>
        </w:rPr>
      </w:pPr>
      <w:r>
        <w:rPr>
          <w:rFonts w:hint="eastAsia" w:ascii="仿宋_GB2312" w:hAnsi="仿宋_GB2312" w:eastAsia="仿宋_GB2312" w:cs="仿宋_GB2312"/>
          <w:bCs/>
          <w:sz w:val="32"/>
          <w:szCs w:val="32"/>
          <w:lang w:val="en-US" w:eastAsia="zh-CN"/>
        </w:rPr>
        <w:t>二、单位收入总体情况表（预算公开02表）</w:t>
      </w:r>
    </w:p>
    <w:p w14:paraId="49E95064">
      <w:pPr>
        <w:pStyle w:val="3"/>
        <w:adjustRightInd w:val="0"/>
        <w:snapToGrid w:val="0"/>
        <w:spacing w:line="560" w:lineRule="exact"/>
        <w:ind w:firstLine="640" w:firstLineChars="200"/>
        <w:rPr>
          <w:rFonts w:hint="eastAsia" w:ascii="仿宋_GB2312" w:hAnsi="仿宋_GB2312" w:eastAsia="仿宋_GB2312" w:cs="仿宋_GB2312"/>
          <w:bCs/>
          <w:sz w:val="32"/>
          <w:szCs w:val="32"/>
          <w:lang w:val="en-US" w:eastAsia="zh-CN"/>
        </w:rPr>
      </w:pPr>
      <w:r>
        <w:rPr>
          <w:rFonts w:hint="eastAsia" w:ascii="仿宋_GB2312" w:hAnsi="仿宋_GB2312" w:eastAsia="仿宋_GB2312" w:cs="仿宋_GB2312"/>
          <w:bCs/>
          <w:sz w:val="32"/>
          <w:szCs w:val="32"/>
          <w:lang w:val="en-US" w:eastAsia="zh-CN"/>
        </w:rPr>
        <w:t>三、单位支出总体情况表（预算公开03表）</w:t>
      </w:r>
    </w:p>
    <w:p w14:paraId="4E2549FA">
      <w:pPr>
        <w:pStyle w:val="3"/>
        <w:adjustRightInd w:val="0"/>
        <w:snapToGrid w:val="0"/>
        <w:spacing w:line="560" w:lineRule="exact"/>
        <w:ind w:firstLine="640" w:firstLineChars="200"/>
        <w:rPr>
          <w:rFonts w:hint="eastAsia" w:ascii="仿宋_GB2312" w:hAnsi="仿宋_GB2312" w:eastAsia="仿宋_GB2312" w:cs="仿宋_GB2312"/>
          <w:bCs/>
          <w:sz w:val="32"/>
          <w:szCs w:val="32"/>
          <w:lang w:val="en-US" w:eastAsia="zh-CN"/>
        </w:rPr>
      </w:pPr>
      <w:r>
        <w:rPr>
          <w:rFonts w:hint="eastAsia" w:ascii="仿宋_GB2312" w:hAnsi="仿宋_GB2312" w:eastAsia="仿宋_GB2312" w:cs="仿宋_GB2312"/>
          <w:bCs/>
          <w:sz w:val="32"/>
          <w:szCs w:val="32"/>
          <w:lang w:val="en-US" w:eastAsia="zh-CN"/>
        </w:rPr>
        <w:t>四、财政拨款收支总体情况表（预算公开04表）</w:t>
      </w:r>
    </w:p>
    <w:p w14:paraId="7158EC6E">
      <w:pPr>
        <w:pStyle w:val="3"/>
        <w:adjustRightInd w:val="0"/>
        <w:snapToGrid w:val="0"/>
        <w:spacing w:line="560" w:lineRule="exact"/>
        <w:ind w:firstLine="640" w:firstLineChars="200"/>
        <w:rPr>
          <w:rFonts w:hint="eastAsia" w:ascii="仿宋_GB2312" w:hAnsi="仿宋_GB2312" w:eastAsia="仿宋_GB2312" w:cs="仿宋_GB2312"/>
          <w:bCs/>
          <w:sz w:val="32"/>
          <w:szCs w:val="32"/>
          <w:lang w:val="en-US" w:eastAsia="zh-CN"/>
        </w:rPr>
      </w:pPr>
      <w:r>
        <w:rPr>
          <w:rFonts w:hint="eastAsia" w:ascii="仿宋_GB2312" w:hAnsi="仿宋_GB2312" w:eastAsia="仿宋_GB2312" w:cs="仿宋_GB2312"/>
          <w:bCs/>
          <w:sz w:val="32"/>
          <w:szCs w:val="32"/>
          <w:lang w:val="en-US" w:eastAsia="zh-CN"/>
        </w:rPr>
        <w:t>五、一般公共预算支出情况表（预算公开05表）</w:t>
      </w:r>
    </w:p>
    <w:p w14:paraId="5AF5A6F2">
      <w:pPr>
        <w:pStyle w:val="3"/>
        <w:adjustRightInd w:val="0"/>
        <w:snapToGrid w:val="0"/>
        <w:spacing w:line="560" w:lineRule="exact"/>
        <w:ind w:firstLine="640" w:firstLineChars="200"/>
        <w:rPr>
          <w:rFonts w:hint="eastAsia" w:ascii="仿宋_GB2312" w:hAnsi="仿宋_GB2312" w:eastAsia="仿宋_GB2312" w:cs="仿宋_GB2312"/>
          <w:bCs/>
          <w:sz w:val="32"/>
          <w:szCs w:val="32"/>
          <w:lang w:val="en-US" w:eastAsia="zh-CN"/>
        </w:rPr>
      </w:pPr>
      <w:r>
        <w:rPr>
          <w:rFonts w:hint="eastAsia" w:ascii="仿宋_GB2312" w:hAnsi="仿宋_GB2312" w:eastAsia="仿宋_GB2312" w:cs="仿宋_GB2312"/>
          <w:bCs/>
          <w:sz w:val="32"/>
          <w:szCs w:val="32"/>
          <w:lang w:val="en-US" w:eastAsia="zh-CN"/>
        </w:rPr>
        <w:t>六、一般公共预算基本支出情况表（预算公开06表）</w:t>
      </w:r>
    </w:p>
    <w:p w14:paraId="2243AA4E">
      <w:pPr>
        <w:pStyle w:val="3"/>
        <w:adjustRightInd w:val="0"/>
        <w:snapToGrid w:val="0"/>
        <w:spacing w:line="560" w:lineRule="exact"/>
        <w:ind w:firstLine="640" w:firstLineChars="200"/>
        <w:rPr>
          <w:rFonts w:hint="eastAsia" w:ascii="仿宋_GB2312" w:hAnsi="仿宋_GB2312" w:eastAsia="仿宋_GB2312" w:cs="仿宋_GB2312"/>
          <w:bCs/>
          <w:sz w:val="32"/>
          <w:szCs w:val="32"/>
          <w:lang w:val="en-US" w:eastAsia="zh-CN"/>
        </w:rPr>
      </w:pPr>
      <w:r>
        <w:rPr>
          <w:rFonts w:hint="eastAsia" w:ascii="仿宋_GB2312" w:hAnsi="仿宋_GB2312" w:eastAsia="仿宋_GB2312" w:cs="仿宋_GB2312"/>
          <w:bCs/>
          <w:sz w:val="32"/>
          <w:szCs w:val="32"/>
          <w:lang w:val="en-US" w:eastAsia="zh-CN"/>
        </w:rPr>
        <w:t>七、财政拨款“三公”经费、会议费和培训费支出情况表（预算公开07表）</w:t>
      </w:r>
    </w:p>
    <w:p w14:paraId="329A612B">
      <w:pPr>
        <w:pStyle w:val="3"/>
        <w:adjustRightInd w:val="0"/>
        <w:snapToGrid w:val="0"/>
        <w:spacing w:line="560" w:lineRule="exact"/>
        <w:ind w:firstLine="640" w:firstLineChars="200"/>
        <w:rPr>
          <w:rFonts w:hint="eastAsia" w:ascii="仿宋_GB2312" w:hAnsi="仿宋_GB2312" w:eastAsia="仿宋_GB2312" w:cs="仿宋_GB2312"/>
          <w:bCs/>
          <w:sz w:val="32"/>
          <w:szCs w:val="32"/>
          <w:lang w:val="en-US" w:eastAsia="zh-CN"/>
        </w:rPr>
      </w:pPr>
      <w:r>
        <w:rPr>
          <w:rFonts w:hint="eastAsia" w:ascii="仿宋_GB2312" w:hAnsi="仿宋_GB2312" w:eastAsia="仿宋_GB2312" w:cs="仿宋_GB2312"/>
          <w:bCs/>
          <w:sz w:val="32"/>
          <w:szCs w:val="32"/>
          <w:lang w:val="en-US" w:eastAsia="zh-CN"/>
        </w:rPr>
        <w:t>八、政府性基金预算支出情况表（预算公开08表）</w:t>
      </w:r>
    </w:p>
    <w:p w14:paraId="03CF2DD5">
      <w:pPr>
        <w:pStyle w:val="3"/>
        <w:adjustRightInd w:val="0"/>
        <w:snapToGrid w:val="0"/>
        <w:spacing w:line="560" w:lineRule="exact"/>
        <w:ind w:firstLine="640" w:firstLineChars="200"/>
        <w:rPr>
          <w:rFonts w:hint="eastAsia" w:ascii="仿宋_GB2312" w:hAnsi="仿宋_GB2312" w:eastAsia="仿宋_GB2312" w:cs="仿宋_GB2312"/>
          <w:bCs/>
          <w:sz w:val="32"/>
          <w:szCs w:val="32"/>
          <w:lang w:val="en-US" w:eastAsia="zh-CN"/>
        </w:rPr>
      </w:pPr>
      <w:r>
        <w:rPr>
          <w:rFonts w:hint="eastAsia" w:ascii="仿宋_GB2312" w:hAnsi="仿宋_GB2312" w:eastAsia="仿宋_GB2312" w:cs="仿宋_GB2312"/>
          <w:bCs/>
          <w:sz w:val="32"/>
          <w:szCs w:val="32"/>
          <w:lang w:val="en-US" w:eastAsia="zh-CN"/>
        </w:rPr>
        <w:t>九、国有资本经营预算支出情况表（预算公开09表）</w:t>
      </w:r>
    </w:p>
    <w:p w14:paraId="778273F7">
      <w:pPr>
        <w:pStyle w:val="3"/>
        <w:adjustRightInd w:val="0"/>
        <w:snapToGrid w:val="0"/>
        <w:spacing w:line="560" w:lineRule="exact"/>
        <w:ind w:firstLine="640" w:firstLineChars="200"/>
        <w:rPr>
          <w:rFonts w:hint="eastAsia" w:ascii="仿宋_GB2312" w:hAnsi="仿宋_GB2312" w:eastAsia="仿宋_GB2312" w:cs="仿宋_GB2312"/>
          <w:bCs/>
          <w:sz w:val="32"/>
          <w:szCs w:val="32"/>
          <w:lang w:val="en-US" w:eastAsia="zh-CN"/>
        </w:rPr>
      </w:pPr>
      <w:r>
        <w:rPr>
          <w:rFonts w:hint="eastAsia" w:ascii="仿宋_GB2312" w:hAnsi="仿宋_GB2312" w:eastAsia="仿宋_GB2312" w:cs="仿宋_GB2312"/>
          <w:bCs/>
          <w:sz w:val="32"/>
          <w:szCs w:val="32"/>
          <w:lang w:val="en-US" w:eastAsia="zh-CN"/>
        </w:rPr>
        <w:t>十、自治区本级项目绩效目标公开表（预算公开10表）</w:t>
      </w:r>
    </w:p>
    <w:p w14:paraId="5A900BAA">
      <w:pPr>
        <w:pStyle w:val="3"/>
        <w:adjustRightInd w:val="0"/>
        <w:snapToGrid w:val="0"/>
        <w:spacing w:line="560" w:lineRule="exact"/>
        <w:ind w:firstLine="640" w:firstLineChars="200"/>
        <w:rPr>
          <w:rFonts w:hint="eastAsia" w:ascii="仿宋_GB2312" w:hAnsi="仿宋_GB2312" w:eastAsia="仿宋_GB2312" w:cs="仿宋_GB2312"/>
          <w:bCs/>
          <w:sz w:val="32"/>
          <w:szCs w:val="32"/>
          <w:lang w:val="en-US" w:eastAsia="zh-CN"/>
        </w:rPr>
      </w:pPr>
      <w:r>
        <w:rPr>
          <w:rFonts w:hint="eastAsia" w:ascii="仿宋_GB2312" w:hAnsi="仿宋_GB2312" w:eastAsia="仿宋_GB2312" w:cs="仿宋_GB2312"/>
          <w:bCs/>
          <w:sz w:val="32"/>
          <w:szCs w:val="32"/>
          <w:lang w:val="en-US" w:eastAsia="zh-CN"/>
        </w:rPr>
        <w:t>十一、自治区对下转移支付项目绩效目标公开表（预算公开11表）</w:t>
      </w:r>
    </w:p>
    <w:p w14:paraId="5371BB6D">
      <w:pPr>
        <w:pStyle w:val="3"/>
        <w:adjustRightInd w:val="0"/>
        <w:snapToGrid w:val="0"/>
        <w:spacing w:line="560" w:lineRule="exact"/>
        <w:ind w:firstLine="640" w:firstLineChars="200"/>
        <w:rPr>
          <w:rFonts w:hint="eastAsia" w:ascii="仿宋" w:hAnsi="仿宋" w:eastAsia="仿宋" w:cs="仿宋_GB2312"/>
          <w:bCs/>
          <w:sz w:val="32"/>
          <w:szCs w:val="32"/>
        </w:rPr>
      </w:pPr>
    </w:p>
    <w:p w14:paraId="03CC34F7">
      <w:pPr>
        <w:pStyle w:val="3"/>
        <w:adjustRightInd w:val="0"/>
        <w:snapToGrid w:val="0"/>
        <w:spacing w:line="560" w:lineRule="exact"/>
        <w:ind w:firstLine="640" w:firstLineChars="200"/>
        <w:rPr>
          <w:rFonts w:hint="eastAsia" w:ascii="仿宋" w:hAnsi="仿宋" w:eastAsia="仿宋" w:cs="仿宋_GB2312"/>
          <w:bCs/>
          <w:sz w:val="32"/>
          <w:szCs w:val="32"/>
        </w:rPr>
      </w:pPr>
    </w:p>
    <w:p w14:paraId="5DC50678">
      <w:pPr>
        <w:pStyle w:val="3"/>
        <w:adjustRightInd w:val="0"/>
        <w:snapToGrid w:val="0"/>
        <w:spacing w:line="560" w:lineRule="exact"/>
        <w:ind w:firstLine="640" w:firstLineChars="200"/>
        <w:rPr>
          <w:rFonts w:hint="eastAsia" w:ascii="仿宋" w:hAnsi="仿宋" w:eastAsia="仿宋" w:cs="仿宋_GB2312"/>
          <w:bCs/>
          <w:sz w:val="32"/>
          <w:szCs w:val="32"/>
        </w:rPr>
      </w:pPr>
    </w:p>
    <w:p w14:paraId="39CB1E90">
      <w:pPr>
        <w:pStyle w:val="3"/>
        <w:adjustRightInd w:val="0"/>
        <w:snapToGrid w:val="0"/>
        <w:spacing w:line="560" w:lineRule="exact"/>
        <w:ind w:firstLine="640" w:firstLineChars="200"/>
        <w:rPr>
          <w:rFonts w:hint="eastAsia" w:ascii="仿宋" w:hAnsi="仿宋" w:eastAsia="仿宋" w:cs="仿宋_GB2312"/>
          <w:bCs/>
          <w:sz w:val="32"/>
          <w:szCs w:val="32"/>
        </w:rPr>
      </w:pPr>
    </w:p>
    <w:p w14:paraId="030EE0C7">
      <w:pPr>
        <w:pStyle w:val="3"/>
        <w:adjustRightInd w:val="0"/>
        <w:snapToGrid w:val="0"/>
        <w:spacing w:line="560" w:lineRule="exact"/>
        <w:ind w:firstLine="640" w:firstLineChars="200"/>
        <w:rPr>
          <w:rFonts w:hint="eastAsia" w:ascii="仿宋" w:hAnsi="仿宋" w:eastAsia="仿宋" w:cs="仿宋_GB2312"/>
          <w:bCs/>
          <w:sz w:val="32"/>
          <w:szCs w:val="32"/>
        </w:rPr>
      </w:pPr>
    </w:p>
    <w:p w14:paraId="4DB81E95">
      <w:pPr>
        <w:pStyle w:val="3"/>
        <w:adjustRightInd w:val="0"/>
        <w:snapToGrid w:val="0"/>
        <w:spacing w:line="560" w:lineRule="exact"/>
        <w:ind w:firstLine="640" w:firstLineChars="200"/>
        <w:rPr>
          <w:rFonts w:hint="eastAsia" w:ascii="仿宋" w:hAnsi="仿宋" w:eastAsia="仿宋" w:cs="仿宋_GB2312"/>
          <w:bCs/>
          <w:sz w:val="32"/>
          <w:szCs w:val="32"/>
        </w:rPr>
      </w:pPr>
    </w:p>
    <w:p w14:paraId="0DB6394B">
      <w:pPr>
        <w:pStyle w:val="3"/>
        <w:adjustRightInd w:val="0"/>
        <w:snapToGrid w:val="0"/>
        <w:spacing w:line="560" w:lineRule="exact"/>
        <w:ind w:firstLine="640" w:firstLineChars="200"/>
        <w:rPr>
          <w:rFonts w:hint="eastAsia" w:ascii="仿宋" w:hAnsi="仿宋" w:eastAsia="仿宋" w:cs="仿宋_GB2312"/>
          <w:bCs/>
          <w:sz w:val="32"/>
          <w:szCs w:val="32"/>
        </w:rPr>
      </w:pPr>
    </w:p>
    <w:p w14:paraId="09FC8215">
      <w:pPr>
        <w:pStyle w:val="3"/>
        <w:adjustRightInd w:val="0"/>
        <w:snapToGrid w:val="0"/>
        <w:spacing w:line="560" w:lineRule="exact"/>
        <w:ind w:firstLine="640" w:firstLineChars="200"/>
        <w:rPr>
          <w:rFonts w:hint="eastAsia" w:ascii="仿宋" w:hAnsi="仿宋" w:eastAsia="仿宋" w:cs="仿宋_GB2312"/>
          <w:bCs/>
          <w:sz w:val="32"/>
          <w:szCs w:val="32"/>
        </w:rPr>
      </w:pPr>
    </w:p>
    <w:p w14:paraId="173A79A0">
      <w:pPr>
        <w:pStyle w:val="3"/>
        <w:adjustRightInd w:val="0"/>
        <w:snapToGrid w:val="0"/>
        <w:spacing w:line="560" w:lineRule="exact"/>
        <w:ind w:firstLine="640" w:firstLineChars="200"/>
        <w:rPr>
          <w:rFonts w:hint="eastAsia" w:ascii="仿宋" w:hAnsi="仿宋" w:eastAsia="仿宋" w:cs="仿宋_GB2312"/>
          <w:bCs/>
          <w:sz w:val="32"/>
          <w:szCs w:val="32"/>
        </w:rPr>
      </w:pPr>
    </w:p>
    <w:p w14:paraId="35776A2D">
      <w:pPr>
        <w:pStyle w:val="3"/>
        <w:adjustRightInd w:val="0"/>
        <w:snapToGrid w:val="0"/>
        <w:spacing w:line="560" w:lineRule="exact"/>
        <w:ind w:firstLine="640" w:firstLineChars="200"/>
        <w:rPr>
          <w:rFonts w:hint="eastAsia" w:ascii="仿宋" w:hAnsi="仿宋" w:eastAsia="仿宋" w:cs="仿宋_GB2312"/>
          <w:bCs/>
          <w:sz w:val="32"/>
          <w:szCs w:val="32"/>
        </w:rPr>
      </w:pPr>
    </w:p>
    <w:p w14:paraId="4AFECDF9">
      <w:pPr>
        <w:pStyle w:val="3"/>
        <w:adjustRightInd w:val="0"/>
        <w:snapToGrid w:val="0"/>
        <w:spacing w:line="560" w:lineRule="exact"/>
        <w:ind w:firstLine="640" w:firstLineChars="200"/>
        <w:rPr>
          <w:rFonts w:hint="eastAsia" w:ascii="仿宋" w:hAnsi="仿宋" w:eastAsia="仿宋" w:cs="仿宋_GB2312"/>
          <w:bCs/>
          <w:sz w:val="32"/>
          <w:szCs w:val="32"/>
        </w:rPr>
      </w:pPr>
    </w:p>
    <w:p w14:paraId="42783D2A">
      <w:pPr>
        <w:pStyle w:val="3"/>
        <w:adjustRightInd w:val="0"/>
        <w:snapToGrid w:val="0"/>
        <w:spacing w:line="560" w:lineRule="exact"/>
        <w:ind w:firstLine="640" w:firstLineChars="200"/>
        <w:rPr>
          <w:rFonts w:hint="eastAsia" w:ascii="仿宋" w:hAnsi="仿宋" w:eastAsia="仿宋" w:cs="仿宋_GB2312"/>
          <w:bCs/>
          <w:sz w:val="32"/>
          <w:szCs w:val="32"/>
        </w:rPr>
      </w:pPr>
    </w:p>
    <w:p w14:paraId="5B83DD9D">
      <w:pPr>
        <w:pStyle w:val="3"/>
        <w:adjustRightInd w:val="0"/>
        <w:snapToGrid w:val="0"/>
        <w:spacing w:line="560" w:lineRule="exact"/>
        <w:rPr>
          <w:rFonts w:hint="eastAsia" w:ascii="仿宋" w:hAnsi="仿宋" w:eastAsia="仿宋" w:cs="仿宋_GB2312"/>
          <w:bCs/>
          <w:sz w:val="32"/>
          <w:szCs w:val="32"/>
        </w:rPr>
      </w:pPr>
    </w:p>
    <w:p w14:paraId="25F0A80C">
      <w:pPr>
        <w:adjustRightInd w:val="0"/>
        <w:snapToGrid w:val="0"/>
        <w:spacing w:line="560" w:lineRule="exact"/>
        <w:ind w:right="-333" w:rightChars="-104" w:firstLine="640" w:firstLineChars="200"/>
        <w:rPr>
          <w:rFonts w:hint="eastAsia" w:ascii="黑体" w:hAnsi="宋体" w:eastAsia="黑体"/>
          <w:bCs/>
          <w:szCs w:val="32"/>
        </w:rPr>
      </w:pPr>
      <w:r>
        <w:rPr>
          <w:rFonts w:hint="eastAsia" w:ascii="黑体" w:hAnsi="宋体" w:eastAsia="黑体"/>
          <w:bCs/>
          <w:szCs w:val="32"/>
        </w:rPr>
        <w:t>第一部分：单位概况</w:t>
      </w:r>
    </w:p>
    <w:p w14:paraId="75A973D2">
      <w:pPr>
        <w:adjustRightInd w:val="0"/>
        <w:snapToGrid w:val="0"/>
        <w:spacing w:line="560" w:lineRule="exact"/>
        <w:ind w:right="-333" w:rightChars="-104" w:firstLine="640" w:firstLineChars="200"/>
        <w:rPr>
          <w:rFonts w:hint="eastAsia" w:ascii="黑体" w:hAnsi="宋体" w:eastAsia="黑体"/>
          <w:szCs w:val="32"/>
        </w:rPr>
      </w:pPr>
      <w:r>
        <w:rPr>
          <w:rFonts w:hint="eastAsia" w:ascii="黑体" w:hAnsi="宋体" w:eastAsia="黑体"/>
          <w:bCs/>
          <w:szCs w:val="32"/>
        </w:rPr>
        <w:t>一</w:t>
      </w:r>
      <w:r>
        <w:rPr>
          <w:rFonts w:hint="eastAsia" w:ascii="黑体" w:hAnsi="宋体" w:eastAsia="黑体"/>
          <w:szCs w:val="32"/>
        </w:rPr>
        <w:t>、单位主要职能</w:t>
      </w:r>
    </w:p>
    <w:p w14:paraId="1DD0D822">
      <w:pPr>
        <w:pStyle w:val="3"/>
        <w:adjustRightInd w:val="0"/>
        <w:snapToGrid w:val="0"/>
        <w:spacing w:line="560" w:lineRule="exact"/>
        <w:ind w:firstLine="640" w:firstLineChars="200"/>
        <w:rPr>
          <w:rFonts w:hint="eastAsia" w:ascii="仿宋_GB2312" w:hAnsi="仿宋_GB2312" w:eastAsia="仿宋_GB2312" w:cs="仿宋_GB2312"/>
          <w:bCs/>
          <w:sz w:val="32"/>
          <w:szCs w:val="32"/>
          <w:lang w:val="en-US" w:eastAsia="zh-CN"/>
        </w:rPr>
      </w:pPr>
      <w:r>
        <w:rPr>
          <w:rFonts w:hint="default" w:ascii="仿宋_GB2312" w:hAnsi="仿宋_GB2312" w:eastAsia="仿宋_GB2312" w:cs="仿宋_GB2312"/>
          <w:bCs/>
          <w:sz w:val="32"/>
          <w:szCs w:val="32"/>
          <w:lang w:val="en-US" w:eastAsia="zh-CN"/>
        </w:rPr>
        <w:t>2019年8月15日，中共广西壮族自治区委员会机构编制委员会办公室《自治区党委编办关于调整自治区交通运输厅所属事业单位机构编制事项的批复》（桂编办复〔2019〕114号），明确自治区梧州航道养护中心为副处级公益一类事业单位，隶属广西壮族自治区港航发展中心，为差额拨款事业单位</w:t>
      </w:r>
      <w:r>
        <w:rPr>
          <w:rFonts w:hint="eastAsia" w:ascii="仿宋_GB2312" w:hAnsi="仿宋_GB2312" w:eastAsia="仿宋_GB2312" w:cs="仿宋_GB2312"/>
          <w:bCs/>
          <w:sz w:val="32"/>
          <w:szCs w:val="32"/>
          <w:lang w:val="en-US" w:eastAsia="zh-CN"/>
        </w:rPr>
        <w:t>。</w:t>
      </w:r>
    </w:p>
    <w:p w14:paraId="554D4CDF">
      <w:pPr>
        <w:pStyle w:val="3"/>
        <w:adjustRightInd w:val="0"/>
        <w:snapToGrid w:val="0"/>
        <w:spacing w:line="560" w:lineRule="exact"/>
        <w:ind w:firstLine="640" w:firstLineChars="200"/>
        <w:rPr>
          <w:rFonts w:hint="default" w:ascii="仿宋_GB2312" w:hAnsi="仿宋_GB2312" w:eastAsia="仿宋_GB2312" w:cs="仿宋_GB2312"/>
          <w:bCs/>
          <w:sz w:val="32"/>
          <w:szCs w:val="32"/>
          <w:lang w:val="en-US" w:eastAsia="zh-CN"/>
        </w:rPr>
      </w:pPr>
      <w:r>
        <w:rPr>
          <w:rFonts w:hint="eastAsia" w:ascii="仿宋_GB2312" w:hAnsi="仿宋_GB2312" w:eastAsia="仿宋_GB2312" w:cs="仿宋_GB2312"/>
          <w:bCs/>
          <w:sz w:val="32"/>
          <w:szCs w:val="32"/>
          <w:lang w:val="en-US" w:eastAsia="zh-CN"/>
        </w:rPr>
        <w:t>广西壮族自治区</w:t>
      </w:r>
      <w:r>
        <w:rPr>
          <w:rFonts w:hint="default" w:ascii="仿宋_GB2312" w:hAnsi="仿宋_GB2312" w:eastAsia="仿宋_GB2312" w:cs="仿宋_GB2312"/>
          <w:bCs/>
          <w:sz w:val="32"/>
          <w:szCs w:val="32"/>
          <w:lang w:val="en-US" w:eastAsia="zh-CN"/>
        </w:rPr>
        <w:t>梧州航道养护中心</w:t>
      </w:r>
      <w:r>
        <w:rPr>
          <w:rFonts w:hint="eastAsia" w:ascii="仿宋_GB2312" w:hAnsi="仿宋_GB2312" w:eastAsia="仿宋_GB2312" w:cs="仿宋_GB2312"/>
          <w:bCs/>
          <w:sz w:val="32"/>
          <w:szCs w:val="32"/>
          <w:lang w:val="en-US" w:eastAsia="zh-CN"/>
        </w:rPr>
        <w:t>主要职能如下：</w:t>
      </w:r>
    </w:p>
    <w:p w14:paraId="120E9010">
      <w:pPr>
        <w:pStyle w:val="3"/>
        <w:adjustRightInd w:val="0"/>
        <w:snapToGrid w:val="0"/>
        <w:spacing w:line="560" w:lineRule="exact"/>
        <w:ind w:firstLine="640" w:firstLineChars="200"/>
        <w:rPr>
          <w:rFonts w:hint="default" w:ascii="仿宋_GB2312" w:hAnsi="仿宋_GB2312" w:eastAsia="仿宋_GB2312" w:cs="仿宋_GB2312"/>
          <w:bCs/>
          <w:sz w:val="32"/>
          <w:szCs w:val="32"/>
          <w:lang w:val="en-US" w:eastAsia="zh-CN"/>
        </w:rPr>
      </w:pPr>
      <w:r>
        <w:rPr>
          <w:rFonts w:hint="eastAsia" w:ascii="仿宋_GB2312" w:hAnsi="仿宋_GB2312" w:cs="仿宋_GB2312"/>
          <w:bCs/>
          <w:sz w:val="32"/>
          <w:szCs w:val="32"/>
          <w:lang w:val="en-US" w:eastAsia="zh-CN"/>
        </w:rPr>
        <w:t>（一）</w:t>
      </w:r>
      <w:r>
        <w:rPr>
          <w:rFonts w:hint="default" w:ascii="仿宋_GB2312" w:hAnsi="仿宋_GB2312" w:eastAsia="仿宋_GB2312" w:cs="仿宋_GB2312"/>
          <w:bCs/>
          <w:sz w:val="32"/>
          <w:szCs w:val="32"/>
          <w:lang w:val="en-US" w:eastAsia="zh-CN"/>
        </w:rPr>
        <w:t>负责承担辖区航道及航道设施的养护和应急处置工作</w:t>
      </w:r>
      <w:r>
        <w:rPr>
          <w:rFonts w:hint="eastAsia" w:ascii="仿宋_GB2312" w:hAnsi="仿宋_GB2312" w:cs="仿宋_GB2312"/>
          <w:bCs/>
          <w:sz w:val="32"/>
          <w:szCs w:val="32"/>
          <w:lang w:val="en-US" w:eastAsia="zh-CN"/>
        </w:rPr>
        <w:t>；</w:t>
      </w:r>
    </w:p>
    <w:p w14:paraId="495575D0">
      <w:pPr>
        <w:pStyle w:val="3"/>
        <w:adjustRightInd w:val="0"/>
        <w:snapToGrid w:val="0"/>
        <w:spacing w:line="560" w:lineRule="exact"/>
        <w:ind w:firstLine="640" w:firstLineChars="200"/>
        <w:rPr>
          <w:rFonts w:hint="default" w:ascii="仿宋_GB2312" w:hAnsi="仿宋_GB2312" w:eastAsia="仿宋_GB2312" w:cs="仿宋_GB2312"/>
          <w:bCs/>
          <w:sz w:val="32"/>
          <w:szCs w:val="32"/>
          <w:lang w:val="en-US" w:eastAsia="zh-CN"/>
        </w:rPr>
      </w:pPr>
      <w:r>
        <w:rPr>
          <w:rFonts w:hint="eastAsia" w:ascii="仿宋_GB2312" w:hAnsi="仿宋_GB2312" w:cs="仿宋_GB2312"/>
          <w:bCs/>
          <w:sz w:val="32"/>
          <w:szCs w:val="32"/>
          <w:lang w:val="en-US" w:eastAsia="zh-CN"/>
        </w:rPr>
        <w:t>（二）</w:t>
      </w:r>
      <w:r>
        <w:rPr>
          <w:rFonts w:hint="eastAsia" w:ascii="仿宋_GB2312" w:hAnsi="仿宋_GB2312" w:eastAsia="仿宋_GB2312" w:cs="仿宋_GB2312"/>
          <w:bCs/>
          <w:sz w:val="32"/>
          <w:szCs w:val="32"/>
          <w:lang w:val="en-US" w:eastAsia="zh-CN"/>
        </w:rPr>
        <w:t>承担辖区航道除军用航标和渔业航标以外的航标设置和维护工作</w:t>
      </w:r>
      <w:r>
        <w:rPr>
          <w:rFonts w:hint="eastAsia" w:ascii="仿宋_GB2312" w:hAnsi="仿宋_GB2312" w:cs="仿宋_GB2312"/>
          <w:bCs/>
          <w:sz w:val="32"/>
          <w:szCs w:val="32"/>
          <w:lang w:val="en-US" w:eastAsia="zh-CN"/>
        </w:rPr>
        <w:t>；</w:t>
      </w:r>
    </w:p>
    <w:p w14:paraId="74BB733B">
      <w:pPr>
        <w:pStyle w:val="3"/>
        <w:adjustRightInd w:val="0"/>
        <w:snapToGrid w:val="0"/>
        <w:spacing w:line="560" w:lineRule="exact"/>
        <w:ind w:firstLine="640" w:firstLineChars="200"/>
        <w:rPr>
          <w:rFonts w:hint="default" w:ascii="仿宋_GB2312" w:hAnsi="仿宋_GB2312" w:eastAsia="仿宋_GB2312" w:cs="仿宋_GB2312"/>
          <w:bCs/>
          <w:sz w:val="32"/>
          <w:szCs w:val="32"/>
          <w:lang w:val="en-US" w:eastAsia="zh-CN"/>
        </w:rPr>
      </w:pPr>
      <w:r>
        <w:rPr>
          <w:rFonts w:hint="eastAsia" w:ascii="仿宋_GB2312" w:hAnsi="仿宋_GB2312" w:eastAsia="仿宋_GB2312" w:cs="仿宋_GB2312"/>
          <w:bCs/>
          <w:sz w:val="32"/>
          <w:szCs w:val="32"/>
          <w:lang w:val="en-US" w:eastAsia="zh-CN"/>
        </w:rPr>
        <w:t>（三）承担辖区养护航道的信息收集和服务工作</w:t>
      </w:r>
      <w:r>
        <w:rPr>
          <w:rFonts w:hint="eastAsia" w:ascii="仿宋_GB2312" w:hAnsi="仿宋_GB2312" w:cs="仿宋_GB2312"/>
          <w:bCs/>
          <w:sz w:val="32"/>
          <w:szCs w:val="32"/>
          <w:lang w:val="en-US" w:eastAsia="zh-CN"/>
        </w:rPr>
        <w:t>；</w:t>
      </w:r>
    </w:p>
    <w:p w14:paraId="395CFB12">
      <w:pPr>
        <w:pStyle w:val="3"/>
        <w:adjustRightInd w:val="0"/>
        <w:snapToGrid w:val="0"/>
        <w:spacing w:line="560" w:lineRule="exact"/>
        <w:ind w:firstLine="640" w:firstLineChars="200"/>
        <w:rPr>
          <w:rFonts w:hint="default" w:ascii="仿宋_GB2312" w:hAnsi="仿宋_GB2312" w:eastAsia="仿宋_GB2312" w:cs="仿宋_GB2312"/>
          <w:bCs/>
          <w:sz w:val="32"/>
          <w:szCs w:val="32"/>
          <w:lang w:val="en-US" w:eastAsia="zh-CN"/>
        </w:rPr>
      </w:pPr>
      <w:r>
        <w:rPr>
          <w:rFonts w:hint="eastAsia" w:ascii="仿宋_GB2312" w:hAnsi="仿宋_GB2312" w:eastAsia="仿宋_GB2312" w:cs="仿宋_GB2312"/>
          <w:bCs/>
          <w:sz w:val="32"/>
          <w:szCs w:val="32"/>
          <w:lang w:val="en-US" w:eastAsia="zh-CN"/>
        </w:rPr>
        <w:t>（四）承担辖区船闸运行的具体协调调度工作。</w:t>
      </w:r>
    </w:p>
    <w:p w14:paraId="117F931D">
      <w:pPr>
        <w:spacing w:line="560" w:lineRule="exact"/>
        <w:ind w:firstLine="640" w:firstLineChars="200"/>
        <w:rPr>
          <w:rFonts w:hint="eastAsia" w:ascii="黑体" w:hAnsi="宋体" w:eastAsia="黑体"/>
          <w:color w:val="auto"/>
          <w:szCs w:val="32"/>
        </w:rPr>
      </w:pPr>
      <w:r>
        <w:rPr>
          <w:rFonts w:hint="eastAsia" w:ascii="黑体" w:hAnsi="宋体" w:eastAsia="黑体"/>
          <w:color w:val="auto"/>
          <w:szCs w:val="32"/>
        </w:rPr>
        <w:t>二、机构设置情况</w:t>
      </w:r>
    </w:p>
    <w:p w14:paraId="0AD2F55B">
      <w:pPr>
        <w:pStyle w:val="3"/>
        <w:adjustRightInd w:val="0"/>
        <w:snapToGrid w:val="0"/>
        <w:spacing w:line="560" w:lineRule="exact"/>
        <w:ind w:firstLine="640" w:firstLineChars="200"/>
        <w:rPr>
          <w:rFonts w:hint="eastAsia" w:ascii="仿宋_GB2312" w:hAnsi="仿宋_GB2312" w:eastAsia="仿宋_GB2312" w:cs="仿宋_GB2312"/>
          <w:bCs/>
          <w:sz w:val="32"/>
          <w:szCs w:val="32"/>
          <w:lang w:val="en-US" w:eastAsia="zh-CN"/>
        </w:rPr>
      </w:pPr>
      <w:r>
        <w:rPr>
          <w:rFonts w:hint="eastAsia" w:ascii="仿宋_GB2312" w:hAnsi="仿宋_GB2312" w:eastAsia="仿宋_GB2312" w:cs="仿宋_GB2312"/>
          <w:bCs/>
          <w:sz w:val="32"/>
          <w:szCs w:val="32"/>
          <w:lang w:val="en-US" w:eastAsia="zh-CN"/>
        </w:rPr>
        <w:t>（一）自治区</w:t>
      </w:r>
      <w:r>
        <w:rPr>
          <w:rFonts w:hint="default" w:ascii="仿宋_GB2312" w:hAnsi="仿宋_GB2312" w:eastAsia="仿宋_GB2312" w:cs="仿宋_GB2312"/>
          <w:bCs/>
          <w:sz w:val="32"/>
          <w:szCs w:val="32"/>
          <w:lang w:val="en-US" w:eastAsia="zh-CN"/>
        </w:rPr>
        <w:t>梧州航道养护中心</w:t>
      </w:r>
      <w:r>
        <w:rPr>
          <w:rFonts w:hint="eastAsia" w:ascii="仿宋_GB2312" w:hAnsi="仿宋_GB2312" w:eastAsia="仿宋_GB2312" w:cs="仿宋_GB2312"/>
          <w:bCs/>
          <w:sz w:val="32"/>
          <w:szCs w:val="32"/>
          <w:lang w:val="en-US" w:eastAsia="zh-CN"/>
        </w:rPr>
        <w:t>内设机构设置情况</w:t>
      </w:r>
    </w:p>
    <w:p w14:paraId="3B94A41E">
      <w:pPr>
        <w:pStyle w:val="3"/>
        <w:adjustRightInd w:val="0"/>
        <w:snapToGrid w:val="0"/>
        <w:spacing w:line="560" w:lineRule="exact"/>
        <w:ind w:firstLine="640" w:firstLineChars="200"/>
        <w:rPr>
          <w:rFonts w:hint="eastAsia" w:ascii="仿宋_GB2312" w:hAnsi="仿宋_GB2312" w:eastAsia="仿宋_GB2312" w:cs="仿宋_GB2312"/>
          <w:bCs/>
          <w:sz w:val="32"/>
          <w:szCs w:val="32"/>
          <w:lang w:val="en-US" w:eastAsia="zh-CN"/>
        </w:rPr>
      </w:pPr>
      <w:r>
        <w:rPr>
          <w:rFonts w:hint="default" w:ascii="仿宋_GB2312" w:hAnsi="仿宋_GB2312" w:eastAsia="仿宋_GB2312" w:cs="仿宋_GB2312"/>
          <w:bCs/>
          <w:sz w:val="32"/>
          <w:szCs w:val="32"/>
          <w:lang w:val="en-US" w:eastAsia="zh-CN"/>
        </w:rPr>
        <w:t>广西壮族自治区梧州航道养护中心为自治区直属事业机构，无下属基层预算单位。机关内设10个职能部门，即：办公室、</w:t>
      </w:r>
      <w:r>
        <w:rPr>
          <w:rFonts w:hint="eastAsia" w:ascii="仿宋_GB2312" w:hAnsi="仿宋_GB2312" w:eastAsia="仿宋_GB2312" w:cs="仿宋_GB2312"/>
          <w:bCs/>
          <w:sz w:val="32"/>
          <w:szCs w:val="32"/>
          <w:lang w:val="en-US" w:eastAsia="zh-CN"/>
        </w:rPr>
        <w:t>党委办公室</w:t>
      </w:r>
      <w:r>
        <w:rPr>
          <w:rFonts w:hint="default" w:ascii="仿宋_GB2312" w:hAnsi="仿宋_GB2312" w:eastAsia="仿宋_GB2312" w:cs="仿宋_GB2312"/>
          <w:bCs/>
          <w:sz w:val="32"/>
          <w:szCs w:val="32"/>
          <w:lang w:val="en-US" w:eastAsia="zh-CN"/>
        </w:rPr>
        <w:t>(监察室)、人事科、财务审计科、航道管理科、航标管理科、设备管理科（增挂安全管理科）、科技信息管理科、船闸监督科、离退休人员工作科（工会）。设置直属机构6个，分别为：广西壮族自治区梧州航道养护中心航道疏浚处、广西壮族自治区梧州航道养护中心测绘处、广西壮族自治区梧州航道养护中心桂平分中心、广西壮族自治区梧州航道养护中心藤县分中心、广西壮族自治区梧州航道养护中心昭平分中心、广西壮族自治区梧州航道养护中心梧州航道站（副科建制）。</w:t>
      </w:r>
    </w:p>
    <w:p w14:paraId="14AC5339">
      <w:pPr>
        <w:pStyle w:val="3"/>
        <w:adjustRightInd w:val="0"/>
        <w:snapToGrid w:val="0"/>
        <w:spacing w:line="560" w:lineRule="exact"/>
        <w:ind w:firstLine="640" w:firstLineChars="200"/>
        <w:rPr>
          <w:rFonts w:hint="default" w:ascii="仿宋_GB2312" w:hAnsi="仿宋_GB2312" w:eastAsia="仿宋_GB2312" w:cs="仿宋_GB2312"/>
          <w:bCs/>
          <w:sz w:val="32"/>
          <w:szCs w:val="32"/>
          <w:lang w:val="en-US" w:eastAsia="zh-CN"/>
        </w:rPr>
      </w:pPr>
      <w:r>
        <w:rPr>
          <w:rFonts w:hint="default" w:ascii="仿宋_GB2312" w:hAnsi="仿宋_GB2312" w:eastAsia="仿宋_GB2312" w:cs="仿宋_GB2312"/>
          <w:bCs/>
          <w:sz w:val="32"/>
          <w:szCs w:val="32"/>
          <w:lang w:val="en-US" w:eastAsia="zh-CN"/>
        </w:rPr>
        <w:t>1.办公室</w:t>
      </w:r>
      <w:r>
        <w:rPr>
          <w:rFonts w:hint="eastAsia" w:ascii="仿宋_GB2312" w:hAnsi="仿宋_GB2312" w:eastAsia="仿宋_GB2312" w:cs="仿宋_GB2312"/>
          <w:bCs/>
          <w:sz w:val="32"/>
          <w:szCs w:val="32"/>
          <w:lang w:val="en-US" w:eastAsia="zh-CN"/>
        </w:rPr>
        <w:t>。</w:t>
      </w:r>
      <w:r>
        <w:rPr>
          <w:rFonts w:hint="default" w:ascii="仿宋_GB2312" w:hAnsi="仿宋_GB2312" w:eastAsia="仿宋_GB2312" w:cs="仿宋_GB2312"/>
          <w:bCs/>
          <w:sz w:val="32"/>
          <w:szCs w:val="32"/>
          <w:lang w:val="en-US" w:eastAsia="zh-CN"/>
        </w:rPr>
        <w:t>组织协调机关日常工作。负责上级和本</w:t>
      </w:r>
      <w:r>
        <w:rPr>
          <w:rFonts w:hint="eastAsia" w:ascii="仿宋_GB2312" w:hAnsi="仿宋_GB2312" w:eastAsia="仿宋_GB2312" w:cs="仿宋_GB2312"/>
          <w:bCs/>
          <w:sz w:val="32"/>
          <w:szCs w:val="32"/>
          <w:lang w:val="en-US" w:eastAsia="zh-CN"/>
        </w:rPr>
        <w:t>中心</w:t>
      </w:r>
      <w:r>
        <w:rPr>
          <w:rFonts w:hint="default" w:ascii="仿宋_GB2312" w:hAnsi="仿宋_GB2312" w:eastAsia="仿宋_GB2312" w:cs="仿宋_GB2312"/>
          <w:bCs/>
          <w:sz w:val="32"/>
          <w:szCs w:val="32"/>
          <w:lang w:val="en-US" w:eastAsia="zh-CN"/>
        </w:rPr>
        <w:t>重要决策、批示</w:t>
      </w:r>
      <w:r>
        <w:rPr>
          <w:rFonts w:hint="eastAsia" w:ascii="仿宋_GB2312" w:hAnsi="仿宋_GB2312" w:eastAsia="仿宋_GB2312" w:cs="仿宋_GB2312"/>
          <w:bCs/>
          <w:sz w:val="32"/>
          <w:szCs w:val="32"/>
          <w:lang w:val="en-US" w:eastAsia="zh-CN"/>
        </w:rPr>
        <w:t>的督查督办；承担公文处理、会议组织、机要保密、档案史志、政务信息、宣传和机关绩效考评等工作；负责中心机关后勤服务管理和办公用品的政府采购工作；承担公用设施、综治、环境清洁、房改、户籍、物业管理等工作。</w:t>
      </w:r>
    </w:p>
    <w:p w14:paraId="33E99CBA">
      <w:pPr>
        <w:pStyle w:val="3"/>
        <w:adjustRightInd w:val="0"/>
        <w:snapToGrid w:val="0"/>
        <w:spacing w:line="560" w:lineRule="exact"/>
        <w:ind w:firstLine="640" w:firstLineChars="200"/>
        <w:rPr>
          <w:rFonts w:hint="eastAsia" w:ascii="仿宋_GB2312" w:hAnsi="仿宋_GB2312" w:eastAsia="仿宋_GB2312" w:cs="仿宋_GB2312"/>
          <w:bCs/>
          <w:sz w:val="32"/>
          <w:szCs w:val="32"/>
          <w:lang w:val="en-US" w:eastAsia="zh-CN"/>
        </w:rPr>
      </w:pPr>
      <w:r>
        <w:rPr>
          <w:rFonts w:hint="eastAsia" w:ascii="仿宋_GB2312" w:hAnsi="仿宋_GB2312" w:eastAsia="仿宋_GB2312" w:cs="仿宋_GB2312"/>
          <w:bCs/>
          <w:sz w:val="32"/>
          <w:szCs w:val="32"/>
          <w:lang w:val="en-US" w:eastAsia="zh-CN"/>
        </w:rPr>
        <w:t>2.</w:t>
      </w:r>
      <w:r>
        <w:rPr>
          <w:rFonts w:hint="default" w:ascii="仿宋_GB2312" w:hAnsi="仿宋_GB2312" w:eastAsia="仿宋_GB2312" w:cs="仿宋_GB2312"/>
          <w:bCs/>
          <w:sz w:val="32"/>
          <w:szCs w:val="32"/>
          <w:lang w:val="en-US" w:eastAsia="zh-CN"/>
        </w:rPr>
        <w:t>党办(监察室)</w:t>
      </w:r>
      <w:r>
        <w:rPr>
          <w:rFonts w:hint="eastAsia" w:ascii="仿宋_GB2312" w:hAnsi="仿宋_GB2312" w:eastAsia="仿宋_GB2312" w:cs="仿宋_GB2312"/>
          <w:bCs/>
          <w:sz w:val="32"/>
          <w:szCs w:val="32"/>
          <w:lang w:val="en-US" w:eastAsia="zh-CN"/>
        </w:rPr>
        <w:t>。负责党建、党风廉政建设、纪检、监察工作；负责思想政治工作；负责本中心精神文明建设、双拥优抚、创先争优工作；负责行风及作风效能建设；负责信访和维稳等工作。</w:t>
      </w:r>
    </w:p>
    <w:p w14:paraId="02E93D37">
      <w:pPr>
        <w:pStyle w:val="3"/>
        <w:adjustRightInd w:val="0"/>
        <w:snapToGrid w:val="0"/>
        <w:spacing w:line="560" w:lineRule="exact"/>
        <w:ind w:firstLine="640" w:firstLineChars="200"/>
        <w:rPr>
          <w:rFonts w:hint="eastAsia" w:ascii="仿宋_GB2312" w:hAnsi="仿宋_GB2312" w:eastAsia="仿宋_GB2312" w:cs="仿宋_GB2312"/>
          <w:bCs/>
          <w:sz w:val="32"/>
          <w:szCs w:val="32"/>
          <w:lang w:val="en-US" w:eastAsia="zh-CN"/>
        </w:rPr>
      </w:pPr>
      <w:r>
        <w:rPr>
          <w:rFonts w:hint="eastAsia" w:ascii="仿宋_GB2312" w:hAnsi="仿宋_GB2312" w:eastAsia="仿宋_GB2312" w:cs="仿宋_GB2312"/>
          <w:bCs/>
          <w:sz w:val="32"/>
          <w:szCs w:val="32"/>
          <w:lang w:val="en-US" w:eastAsia="zh-CN"/>
        </w:rPr>
        <w:t>3.人事科。负责直属单位领导班子建设；承担本中心人事、劳动工资、岗位绩效考核、社会保障、机构编制、教育培训（含普法）以及专业技术职务、工人技术等级审核管理等工作。</w:t>
      </w:r>
    </w:p>
    <w:p w14:paraId="5673586B">
      <w:pPr>
        <w:pStyle w:val="3"/>
        <w:adjustRightInd w:val="0"/>
        <w:snapToGrid w:val="0"/>
        <w:spacing w:line="560" w:lineRule="exact"/>
        <w:ind w:firstLine="640" w:firstLineChars="200"/>
        <w:rPr>
          <w:rFonts w:hint="eastAsia" w:ascii="仿宋_GB2312" w:hAnsi="仿宋_GB2312" w:eastAsia="仿宋_GB2312" w:cs="仿宋_GB2312"/>
          <w:bCs/>
          <w:sz w:val="32"/>
          <w:szCs w:val="32"/>
          <w:lang w:val="en-US" w:eastAsia="zh-CN"/>
        </w:rPr>
      </w:pPr>
      <w:r>
        <w:rPr>
          <w:rFonts w:hint="default" w:ascii="仿宋_GB2312" w:hAnsi="仿宋_GB2312" w:eastAsia="仿宋_GB2312" w:cs="仿宋_GB2312"/>
          <w:bCs/>
          <w:sz w:val="32"/>
          <w:szCs w:val="32"/>
          <w:lang w:val="en-US" w:eastAsia="zh-CN"/>
        </w:rPr>
        <w:t>4.财务审计科</w:t>
      </w:r>
      <w:r>
        <w:rPr>
          <w:rFonts w:hint="eastAsia" w:ascii="仿宋_GB2312" w:hAnsi="仿宋_GB2312" w:eastAsia="仿宋_GB2312" w:cs="仿宋_GB2312"/>
          <w:bCs/>
          <w:sz w:val="32"/>
          <w:szCs w:val="32"/>
          <w:lang w:val="en-US" w:eastAsia="zh-CN"/>
        </w:rPr>
        <w:t>。负责年度部门预算、财务决算编报和执行；承担财务管理、会计核算各项工作；指导直属单位的财务收支结算和会计电算化工作；负责本中心政府非税收入征缴、专项资金和国有资产的管理；牵头本中心政府采购相关工作；负责内部审计等工作。</w:t>
      </w:r>
    </w:p>
    <w:p w14:paraId="011536ED">
      <w:pPr>
        <w:pStyle w:val="3"/>
        <w:adjustRightInd w:val="0"/>
        <w:snapToGrid w:val="0"/>
        <w:spacing w:line="560" w:lineRule="exact"/>
        <w:ind w:firstLine="640" w:firstLineChars="200"/>
        <w:rPr>
          <w:rFonts w:hint="eastAsia" w:ascii="仿宋_GB2312" w:hAnsi="仿宋_GB2312" w:eastAsia="仿宋_GB2312" w:cs="仿宋_GB2312"/>
          <w:bCs/>
          <w:sz w:val="32"/>
          <w:szCs w:val="32"/>
          <w:lang w:val="en-US" w:eastAsia="zh-CN"/>
        </w:rPr>
      </w:pPr>
      <w:r>
        <w:rPr>
          <w:rFonts w:hint="default" w:ascii="仿宋_GB2312" w:hAnsi="仿宋_GB2312" w:eastAsia="仿宋_GB2312" w:cs="仿宋_GB2312"/>
          <w:bCs/>
          <w:sz w:val="32"/>
          <w:szCs w:val="32"/>
          <w:lang w:val="en-US" w:eastAsia="zh-CN"/>
        </w:rPr>
        <w:t>5.航道管理科</w:t>
      </w:r>
      <w:r>
        <w:rPr>
          <w:rFonts w:hint="eastAsia" w:ascii="仿宋_GB2312" w:hAnsi="仿宋_GB2312" w:eastAsia="仿宋_GB2312" w:cs="仿宋_GB2312"/>
          <w:bCs/>
          <w:sz w:val="32"/>
          <w:szCs w:val="32"/>
          <w:lang w:val="en-US" w:eastAsia="zh-CN"/>
        </w:rPr>
        <w:t>。</w:t>
      </w:r>
      <w:r>
        <w:rPr>
          <w:rFonts w:hint="default" w:ascii="仿宋_GB2312" w:hAnsi="仿宋_GB2312" w:eastAsia="仿宋_GB2312" w:cs="仿宋_GB2312"/>
          <w:bCs/>
          <w:sz w:val="32"/>
          <w:szCs w:val="32"/>
          <w:lang w:val="en-US" w:eastAsia="zh-CN"/>
        </w:rPr>
        <w:t>负责拟订辖区航标维护发展规划、技术标准、配布方案和年</w:t>
      </w:r>
      <w:r>
        <w:rPr>
          <w:rFonts w:hint="eastAsia" w:ascii="仿宋_GB2312" w:hAnsi="仿宋_GB2312" w:eastAsia="仿宋_GB2312" w:cs="仿宋_GB2312"/>
          <w:bCs/>
          <w:sz w:val="32"/>
          <w:szCs w:val="32"/>
          <w:lang w:val="en-US" w:eastAsia="zh-CN"/>
        </w:rPr>
        <w:t>度计划；组织实施辖区航标配布、遥控遥测和维护保养管理工作；负责航道监控中心的日常运行管理工作；负责专用航标设置、撤除、位置移动和其他状况改变审批和检查验收；负责实施分中心、航道站站房维修及绿化、美化；负责发布水位通告，起草与航标管理有关的航道通告；根据授权承办有关助航标志代理设置、维护事项；指导直属单位和辖区各市交通运输主管部门航标维护管理业务。</w:t>
      </w:r>
    </w:p>
    <w:p w14:paraId="543BA1F4">
      <w:pPr>
        <w:pStyle w:val="3"/>
        <w:adjustRightInd w:val="0"/>
        <w:snapToGrid w:val="0"/>
        <w:spacing w:line="560" w:lineRule="exact"/>
        <w:ind w:firstLine="640" w:firstLineChars="200"/>
        <w:rPr>
          <w:rFonts w:hint="default" w:ascii="仿宋_GB2312" w:hAnsi="仿宋_GB2312" w:eastAsia="仿宋_GB2312" w:cs="仿宋_GB2312"/>
          <w:bCs/>
          <w:sz w:val="32"/>
          <w:szCs w:val="32"/>
          <w:lang w:val="en-US" w:eastAsia="zh-CN"/>
        </w:rPr>
      </w:pPr>
      <w:r>
        <w:rPr>
          <w:rFonts w:hint="default" w:ascii="仿宋_GB2312" w:hAnsi="仿宋_GB2312" w:eastAsia="仿宋_GB2312" w:cs="仿宋_GB2312"/>
          <w:bCs/>
          <w:sz w:val="32"/>
          <w:szCs w:val="32"/>
          <w:lang w:val="en-US" w:eastAsia="zh-CN"/>
        </w:rPr>
        <w:t>6.航标管理科</w:t>
      </w:r>
      <w:r>
        <w:rPr>
          <w:rFonts w:hint="eastAsia" w:ascii="仿宋_GB2312" w:hAnsi="仿宋_GB2312" w:eastAsia="仿宋_GB2312" w:cs="仿宋_GB2312"/>
          <w:bCs/>
          <w:sz w:val="32"/>
          <w:szCs w:val="32"/>
          <w:lang w:val="en-US" w:eastAsia="zh-CN"/>
        </w:rPr>
        <w:t>。负责拟订辖区航道养护发展规划、技术标准和测量规划以及年度航道养护和测量计划；组织开展辖区航道和航道设施养护管理、航道和水文资料收集等工作；负责或参与航道通航条件影响评价审核；负责航道整治设计审查和工程验收工作；负责本中心基础设施建设、航道专项养护和应急抢通工作；负责起草与航道施工有关的航道通告；负责技术档案管理工作；指导直属单位航道养护、航道测量管理和辖区各市交通运输主管部门地方航道养护</w:t>
      </w:r>
      <w:r>
        <w:rPr>
          <w:rFonts w:hint="default" w:ascii="仿宋_GB2312" w:hAnsi="仿宋_GB2312" w:eastAsia="仿宋_GB2312" w:cs="仿宋_GB2312"/>
          <w:bCs/>
          <w:sz w:val="32"/>
          <w:szCs w:val="32"/>
          <w:lang w:val="en-US" w:eastAsia="zh-CN"/>
        </w:rPr>
        <w:t>管理业务。</w:t>
      </w:r>
    </w:p>
    <w:p w14:paraId="07C29E56">
      <w:pPr>
        <w:pStyle w:val="3"/>
        <w:adjustRightInd w:val="0"/>
        <w:snapToGrid w:val="0"/>
        <w:spacing w:line="560" w:lineRule="exact"/>
        <w:ind w:firstLine="640" w:firstLineChars="200"/>
        <w:rPr>
          <w:rFonts w:hint="default" w:ascii="仿宋_GB2312" w:hAnsi="仿宋_GB2312" w:eastAsia="仿宋_GB2312" w:cs="仿宋_GB2312"/>
          <w:bCs/>
          <w:sz w:val="32"/>
          <w:szCs w:val="32"/>
          <w:lang w:val="en-US" w:eastAsia="zh-CN"/>
        </w:rPr>
      </w:pPr>
      <w:r>
        <w:rPr>
          <w:rFonts w:hint="default" w:ascii="仿宋_GB2312" w:hAnsi="仿宋_GB2312" w:eastAsia="仿宋_GB2312" w:cs="仿宋_GB2312"/>
          <w:bCs/>
          <w:sz w:val="32"/>
          <w:szCs w:val="32"/>
          <w:lang w:val="en-US" w:eastAsia="zh-CN"/>
        </w:rPr>
        <w:t>7.设备管理科（增挂安全管理科）</w:t>
      </w:r>
      <w:r>
        <w:rPr>
          <w:rFonts w:hint="eastAsia" w:ascii="仿宋_GB2312" w:hAnsi="仿宋_GB2312" w:eastAsia="仿宋_GB2312" w:cs="仿宋_GB2312"/>
          <w:bCs/>
          <w:sz w:val="32"/>
          <w:szCs w:val="32"/>
          <w:lang w:val="en-US" w:eastAsia="zh-CN"/>
        </w:rPr>
        <w:t>。</w:t>
      </w:r>
      <w:r>
        <w:rPr>
          <w:rFonts w:hint="default" w:ascii="仿宋_GB2312" w:hAnsi="仿宋_GB2312" w:eastAsia="仿宋_GB2312" w:cs="仿宋_GB2312"/>
          <w:bCs/>
          <w:sz w:val="32"/>
          <w:szCs w:val="32"/>
          <w:lang w:val="en-US" w:eastAsia="zh-CN"/>
        </w:rPr>
        <w:t>负责拟订船舶设备管理制度、年度维修保养和更新改造</w:t>
      </w:r>
      <w:r>
        <w:rPr>
          <w:rFonts w:hint="eastAsia" w:ascii="仿宋_GB2312" w:hAnsi="仿宋_GB2312" w:eastAsia="仿宋_GB2312" w:cs="仿宋_GB2312"/>
          <w:bCs/>
          <w:sz w:val="32"/>
          <w:szCs w:val="32"/>
          <w:lang w:val="en-US" w:eastAsia="zh-CN"/>
        </w:rPr>
        <w:t>计划并组织实施；负责安全和应急管理，牵头拟订本中心安全生产制度、各项安全预案和应急预案；承担安全生产宣传教育、责任落实、检查考评、事故调查工作；组织开展防汛抗旱、应急抢险、消防工作；指导直属单位船舶设备管理和安全生产工作；负责办公设备、车辆、船舶等机械电子设备的政府采购及管理工作。</w:t>
      </w:r>
    </w:p>
    <w:p w14:paraId="65E2BF9A">
      <w:pPr>
        <w:pStyle w:val="3"/>
        <w:adjustRightInd w:val="0"/>
        <w:snapToGrid w:val="0"/>
        <w:spacing w:line="560" w:lineRule="exact"/>
        <w:ind w:firstLine="640" w:firstLineChars="200"/>
        <w:rPr>
          <w:rFonts w:hint="eastAsia" w:ascii="仿宋_GB2312" w:hAnsi="仿宋_GB2312" w:eastAsia="仿宋_GB2312" w:cs="仿宋_GB2312"/>
          <w:bCs/>
          <w:sz w:val="32"/>
          <w:szCs w:val="32"/>
          <w:lang w:val="en-US" w:eastAsia="zh-CN"/>
        </w:rPr>
      </w:pPr>
      <w:r>
        <w:rPr>
          <w:rFonts w:hint="default" w:ascii="仿宋_GB2312" w:hAnsi="仿宋_GB2312" w:eastAsia="仿宋_GB2312" w:cs="仿宋_GB2312"/>
          <w:bCs/>
          <w:sz w:val="32"/>
          <w:szCs w:val="32"/>
          <w:lang w:val="en-US" w:eastAsia="zh-CN"/>
        </w:rPr>
        <w:t>8.船闸监督科</w:t>
      </w:r>
      <w:r>
        <w:rPr>
          <w:rFonts w:hint="eastAsia" w:ascii="仿宋_GB2312" w:hAnsi="仿宋_GB2312" w:eastAsia="仿宋_GB2312" w:cs="仿宋_GB2312"/>
          <w:bCs/>
          <w:sz w:val="32"/>
          <w:szCs w:val="32"/>
          <w:lang w:val="en-US" w:eastAsia="zh-CN"/>
        </w:rPr>
        <w:t>。负责对辖区船闸运行和维修养护进行协调；协调船闸业主制定船闸运行方案和船闸运行相关规定；参与船闸通航突发事件的应急处理；负责发布与船闸通航有关的航道通告。</w:t>
      </w:r>
    </w:p>
    <w:p w14:paraId="65EBB71E">
      <w:pPr>
        <w:pStyle w:val="3"/>
        <w:adjustRightInd w:val="0"/>
        <w:snapToGrid w:val="0"/>
        <w:spacing w:line="560" w:lineRule="exact"/>
        <w:ind w:firstLine="640" w:firstLineChars="200"/>
        <w:rPr>
          <w:rFonts w:hint="default" w:ascii="仿宋_GB2312" w:hAnsi="仿宋_GB2312" w:eastAsia="仿宋_GB2312" w:cs="仿宋_GB2312"/>
          <w:bCs/>
          <w:sz w:val="32"/>
          <w:szCs w:val="32"/>
          <w:lang w:val="en-US" w:eastAsia="zh-CN"/>
        </w:rPr>
      </w:pPr>
      <w:r>
        <w:rPr>
          <w:rFonts w:hint="eastAsia" w:ascii="仿宋_GB2312" w:hAnsi="仿宋_GB2312" w:eastAsia="仿宋_GB2312" w:cs="仿宋_GB2312"/>
          <w:bCs/>
          <w:sz w:val="32"/>
          <w:szCs w:val="32"/>
          <w:lang w:val="en-US" w:eastAsia="zh-CN"/>
        </w:rPr>
        <w:t>9.</w:t>
      </w:r>
      <w:r>
        <w:rPr>
          <w:rFonts w:hint="default" w:ascii="仿宋_GB2312" w:hAnsi="仿宋_GB2312" w:eastAsia="仿宋_GB2312" w:cs="仿宋_GB2312"/>
          <w:bCs/>
          <w:sz w:val="32"/>
          <w:szCs w:val="32"/>
          <w:lang w:val="en-US" w:eastAsia="zh-CN"/>
        </w:rPr>
        <w:t>科技信息管理科</w:t>
      </w:r>
      <w:r>
        <w:rPr>
          <w:rFonts w:hint="eastAsia" w:ascii="仿宋_GB2312" w:hAnsi="仿宋_GB2312" w:eastAsia="仿宋_GB2312" w:cs="仿宋_GB2312"/>
          <w:bCs/>
          <w:sz w:val="32"/>
          <w:szCs w:val="32"/>
          <w:lang w:val="en-US" w:eastAsia="zh-CN"/>
        </w:rPr>
        <w:t>。</w:t>
      </w:r>
      <w:r>
        <w:rPr>
          <w:rFonts w:hint="default" w:ascii="仿宋_GB2312" w:hAnsi="仿宋_GB2312" w:eastAsia="仿宋_GB2312" w:cs="仿宋_GB2312"/>
          <w:bCs/>
          <w:sz w:val="32"/>
          <w:szCs w:val="32"/>
          <w:lang w:val="en-US" w:eastAsia="zh-CN"/>
        </w:rPr>
        <w:t>负责拟订科技信息发展规划和年度工作计划；承担科研</w:t>
      </w:r>
      <w:r>
        <w:rPr>
          <w:rFonts w:hint="eastAsia" w:ascii="仿宋_GB2312" w:hAnsi="仿宋_GB2312" w:eastAsia="仿宋_GB2312" w:cs="仿宋_GB2312"/>
          <w:bCs/>
          <w:sz w:val="32"/>
          <w:szCs w:val="32"/>
          <w:lang w:val="en-US" w:eastAsia="zh-CN"/>
        </w:rPr>
        <w:t>项目立项申报和实施管理工作；负责新技术、新材料的研究、引进、推广和应用以及节能减排工作；负责信息化建设；承担本中心计算机网络系统及其软硬件的日常维护和网络安全管理；指导直属单位信息化管理工作。</w:t>
      </w:r>
    </w:p>
    <w:p w14:paraId="0444FAF4">
      <w:pPr>
        <w:pStyle w:val="3"/>
        <w:adjustRightInd w:val="0"/>
        <w:snapToGrid w:val="0"/>
        <w:spacing w:line="560" w:lineRule="exact"/>
        <w:ind w:firstLine="640" w:firstLineChars="200"/>
        <w:rPr>
          <w:rFonts w:hint="eastAsia" w:ascii="仿宋_GB2312" w:hAnsi="仿宋_GB2312" w:eastAsia="仿宋_GB2312" w:cs="仿宋_GB2312"/>
          <w:bCs/>
          <w:sz w:val="32"/>
          <w:szCs w:val="32"/>
          <w:lang w:val="en-US" w:eastAsia="zh-CN"/>
        </w:rPr>
      </w:pPr>
      <w:r>
        <w:rPr>
          <w:rFonts w:hint="default" w:ascii="仿宋_GB2312" w:hAnsi="仿宋_GB2312" w:eastAsia="仿宋_GB2312" w:cs="仿宋_GB2312"/>
          <w:bCs/>
          <w:sz w:val="32"/>
          <w:szCs w:val="32"/>
          <w:lang w:val="en-US" w:eastAsia="zh-CN"/>
        </w:rPr>
        <w:t>1</w:t>
      </w:r>
      <w:r>
        <w:rPr>
          <w:rFonts w:hint="eastAsia" w:ascii="仿宋_GB2312" w:hAnsi="仿宋_GB2312" w:eastAsia="仿宋_GB2312" w:cs="仿宋_GB2312"/>
          <w:bCs/>
          <w:sz w:val="32"/>
          <w:szCs w:val="32"/>
          <w:lang w:val="en-US" w:eastAsia="zh-CN"/>
        </w:rPr>
        <w:t>0</w:t>
      </w:r>
      <w:r>
        <w:rPr>
          <w:rFonts w:hint="default" w:ascii="仿宋_GB2312" w:hAnsi="仿宋_GB2312" w:eastAsia="仿宋_GB2312" w:cs="仿宋_GB2312"/>
          <w:bCs/>
          <w:sz w:val="32"/>
          <w:szCs w:val="32"/>
          <w:lang w:val="en-US" w:eastAsia="zh-CN"/>
        </w:rPr>
        <w:t>.离退休人员工作科（工会）</w:t>
      </w:r>
      <w:r>
        <w:rPr>
          <w:rFonts w:hint="eastAsia" w:ascii="仿宋_GB2312" w:hAnsi="仿宋_GB2312" w:eastAsia="仿宋_GB2312" w:cs="仿宋_GB2312"/>
          <w:bCs/>
          <w:sz w:val="32"/>
          <w:szCs w:val="32"/>
          <w:lang w:val="en-US" w:eastAsia="zh-CN"/>
        </w:rPr>
        <w:t>。负责离退休人员的日常管理服务工作；承担计划生育、卫生保健、职工遗属、孤寡老人、丧葬管理等工作；负责工会日常工作。</w:t>
      </w:r>
    </w:p>
    <w:p w14:paraId="588C9B9F">
      <w:pPr>
        <w:pStyle w:val="3"/>
        <w:adjustRightInd w:val="0"/>
        <w:snapToGrid w:val="0"/>
        <w:spacing w:line="560" w:lineRule="exact"/>
        <w:ind w:firstLine="640" w:firstLineChars="200"/>
        <w:rPr>
          <w:rFonts w:hint="eastAsia" w:ascii="仿宋_GB2312" w:hAnsi="仿宋_GB2312" w:eastAsia="仿宋_GB2312" w:cs="仿宋_GB2312"/>
          <w:bCs/>
          <w:sz w:val="32"/>
          <w:szCs w:val="32"/>
          <w:lang w:val="en-US" w:eastAsia="zh-CN"/>
        </w:rPr>
      </w:pPr>
      <w:r>
        <w:rPr>
          <w:rFonts w:hint="eastAsia" w:ascii="仿宋_GB2312" w:hAnsi="仿宋_GB2312" w:eastAsia="仿宋_GB2312" w:cs="仿宋_GB2312"/>
          <w:bCs/>
          <w:sz w:val="32"/>
          <w:szCs w:val="32"/>
          <w:lang w:val="en-US" w:eastAsia="zh-CN"/>
        </w:rPr>
        <w:t>（二）6个</w:t>
      </w:r>
      <w:r>
        <w:rPr>
          <w:rFonts w:hint="default" w:ascii="仿宋_GB2312" w:hAnsi="仿宋_GB2312" w:eastAsia="仿宋_GB2312" w:cs="仿宋_GB2312"/>
          <w:bCs/>
          <w:sz w:val="32"/>
          <w:szCs w:val="32"/>
          <w:lang w:val="en-US" w:eastAsia="zh-CN"/>
        </w:rPr>
        <w:t>直属机构</w:t>
      </w:r>
      <w:r>
        <w:rPr>
          <w:rFonts w:hint="eastAsia" w:ascii="仿宋_GB2312" w:hAnsi="仿宋_GB2312" w:eastAsia="仿宋_GB2312" w:cs="仿宋_GB2312"/>
          <w:bCs/>
          <w:sz w:val="32"/>
          <w:szCs w:val="32"/>
          <w:lang w:val="en-US" w:eastAsia="zh-CN"/>
        </w:rPr>
        <w:t>设置情况。</w:t>
      </w:r>
    </w:p>
    <w:p w14:paraId="4EB0E53A">
      <w:pPr>
        <w:pStyle w:val="3"/>
        <w:adjustRightInd w:val="0"/>
        <w:snapToGrid w:val="0"/>
        <w:spacing w:line="560" w:lineRule="exact"/>
        <w:ind w:firstLine="640" w:firstLineChars="200"/>
        <w:rPr>
          <w:rFonts w:hint="eastAsia" w:ascii="仿宋_GB2312" w:hAnsi="仿宋_GB2312" w:eastAsia="仿宋_GB2312" w:cs="仿宋_GB2312"/>
          <w:bCs/>
          <w:sz w:val="32"/>
          <w:szCs w:val="32"/>
          <w:lang w:val="en-US" w:eastAsia="zh-CN"/>
        </w:rPr>
      </w:pPr>
      <w:r>
        <w:rPr>
          <w:rFonts w:hint="eastAsia" w:ascii="仿宋_GB2312" w:hAnsi="仿宋_GB2312" w:eastAsia="仿宋_GB2312" w:cs="仿宋_GB2312"/>
          <w:bCs/>
          <w:sz w:val="32"/>
          <w:szCs w:val="32"/>
          <w:lang w:val="en-US" w:eastAsia="zh-CN"/>
        </w:rPr>
        <w:t>1.单位数量、名称和性质</w:t>
      </w:r>
    </w:p>
    <w:p w14:paraId="2D40890E">
      <w:pPr>
        <w:pStyle w:val="3"/>
        <w:adjustRightInd w:val="0"/>
        <w:snapToGrid w:val="0"/>
        <w:spacing w:line="560" w:lineRule="exact"/>
        <w:ind w:firstLine="640" w:firstLineChars="200"/>
        <w:rPr>
          <w:rFonts w:hint="eastAsia" w:ascii="仿宋_GB2312" w:hAnsi="仿宋_GB2312" w:eastAsia="仿宋_GB2312" w:cs="仿宋_GB2312"/>
          <w:bCs/>
          <w:sz w:val="32"/>
          <w:szCs w:val="32"/>
          <w:lang w:val="en-US" w:eastAsia="zh-CN"/>
        </w:rPr>
      </w:pPr>
      <w:r>
        <w:rPr>
          <w:rFonts w:hint="eastAsia" w:ascii="仿宋_GB2312" w:hAnsi="仿宋_GB2312" w:eastAsia="仿宋_GB2312" w:cs="仿宋_GB2312"/>
          <w:bCs/>
          <w:sz w:val="32"/>
          <w:szCs w:val="32"/>
          <w:lang w:val="en-US" w:eastAsia="zh-CN"/>
        </w:rPr>
        <w:t>自治区梧州航道养护中心</w:t>
      </w:r>
      <w:r>
        <w:rPr>
          <w:rFonts w:hint="default" w:ascii="仿宋_GB2312" w:hAnsi="仿宋_GB2312" w:eastAsia="仿宋_GB2312" w:cs="仿宋_GB2312"/>
          <w:bCs/>
          <w:sz w:val="32"/>
          <w:szCs w:val="32"/>
          <w:lang w:val="en-US" w:eastAsia="zh-CN"/>
        </w:rPr>
        <w:t>直属机构</w:t>
      </w:r>
      <w:r>
        <w:rPr>
          <w:rFonts w:hint="eastAsia" w:ascii="仿宋_GB2312" w:hAnsi="仿宋_GB2312" w:eastAsia="仿宋_GB2312" w:cs="仿宋_GB2312"/>
          <w:bCs/>
          <w:sz w:val="32"/>
          <w:szCs w:val="32"/>
          <w:lang w:val="en-US" w:eastAsia="zh-CN"/>
        </w:rPr>
        <w:t>共6个，其中：</w:t>
      </w:r>
      <w:r>
        <w:rPr>
          <w:rFonts w:hint="default" w:ascii="仿宋_GB2312" w:hAnsi="仿宋_GB2312" w:eastAsia="仿宋_GB2312" w:cs="仿宋_GB2312"/>
          <w:bCs/>
          <w:sz w:val="32"/>
          <w:szCs w:val="32"/>
          <w:lang w:val="en-US" w:eastAsia="zh-CN"/>
        </w:rPr>
        <w:t>广西壮族自治区梧州航道养护中心航道疏浚处、广西壮族自治区梧州航道养护中心测绘处、广西壮族自治区梧州航道养护中心桂平分中心、广西壮族自治区梧州航道养护中心藤县分中心、广西壮族自治区梧州航道养护中心昭平分中心、广西壮族自治区梧州航道养护中心梧州航道站</w:t>
      </w:r>
      <w:r>
        <w:rPr>
          <w:rFonts w:hint="eastAsia" w:ascii="仿宋_GB2312" w:hAnsi="仿宋_GB2312" w:eastAsia="仿宋_GB2312" w:cs="仿宋_GB2312"/>
          <w:bCs/>
          <w:sz w:val="32"/>
          <w:szCs w:val="32"/>
          <w:lang w:val="en-US" w:eastAsia="zh-CN"/>
        </w:rPr>
        <w:t>。</w:t>
      </w:r>
    </w:p>
    <w:p w14:paraId="68A1C20A">
      <w:pPr>
        <w:pStyle w:val="3"/>
        <w:adjustRightInd w:val="0"/>
        <w:snapToGrid w:val="0"/>
        <w:spacing w:line="560" w:lineRule="exact"/>
        <w:ind w:firstLine="640" w:firstLineChars="200"/>
        <w:rPr>
          <w:rFonts w:hint="eastAsia" w:ascii="仿宋_GB2312" w:hAnsi="仿宋_GB2312" w:eastAsia="仿宋_GB2312" w:cs="仿宋_GB2312"/>
          <w:bCs/>
          <w:sz w:val="32"/>
          <w:szCs w:val="32"/>
          <w:lang w:val="en-US" w:eastAsia="zh-CN"/>
        </w:rPr>
      </w:pPr>
      <w:r>
        <w:rPr>
          <w:rFonts w:hint="eastAsia" w:ascii="仿宋_GB2312" w:hAnsi="仿宋_GB2312" w:eastAsia="仿宋_GB2312" w:cs="仿宋_GB2312"/>
          <w:bCs/>
          <w:sz w:val="32"/>
          <w:szCs w:val="32"/>
          <w:lang w:val="en-US" w:eastAsia="zh-CN"/>
        </w:rPr>
        <w:t>各直属机构负责辖区航道航标及航道设施的维护管理工作，完成年度维护计划目标；负责辖区航道检测、水位观测、助航标志布设和巡查、航道相关技术资料收集和上报工作；负责辖区安全生产管理、公有房屋及配套设施管理；承担辖区航道管理工作船舶、信息化设备的日常管理和维护保养工作，推广应用航道信息化系统，开展遥控遥测系统监控；参与航道维护（整治）工程、站房维修工程、航标维护工程的施工监管和接管工作；检查指导直属航道站航道航标等业务工作；承办梧州航道养护中心其他规定或交办的事项。</w:t>
      </w:r>
    </w:p>
    <w:p w14:paraId="58EAC3C4">
      <w:pPr>
        <w:tabs>
          <w:tab w:val="center" w:pos="4475"/>
        </w:tabs>
        <w:spacing w:line="560" w:lineRule="exact"/>
        <w:ind w:firstLine="645"/>
        <w:rPr>
          <w:rFonts w:hint="eastAsia" w:ascii="仿宋_GB2312" w:hAnsi="仿宋_GB2312" w:eastAsia="仿宋_GB2312" w:cs="仿宋_GB2312"/>
          <w:szCs w:val="32"/>
          <w:highlight w:val="none"/>
        </w:rPr>
      </w:pPr>
      <w:r>
        <w:rPr>
          <w:rFonts w:hint="eastAsia" w:ascii="黑体" w:eastAsia="黑体"/>
          <w:szCs w:val="32"/>
        </w:rPr>
        <w:t>第二部分：</w:t>
      </w:r>
      <w:r>
        <w:rPr>
          <w:rFonts w:hint="eastAsia" w:ascii="黑体" w:eastAsia="黑体"/>
          <w:szCs w:val="32"/>
          <w:lang w:val="en-US" w:eastAsia="zh-CN"/>
        </w:rPr>
        <w:t>广西壮族自治区梧州航道养护中心</w:t>
      </w:r>
      <w:r>
        <w:rPr>
          <w:rFonts w:hint="eastAsia" w:ascii="黑体" w:hAnsi="宋体" w:eastAsia="黑体"/>
          <w:szCs w:val="32"/>
        </w:rPr>
        <w:t>202</w:t>
      </w:r>
      <w:r>
        <w:rPr>
          <w:rFonts w:hint="eastAsia" w:ascii="黑体" w:hAnsi="宋体" w:eastAsia="黑体"/>
          <w:szCs w:val="32"/>
          <w:lang w:val="en-US" w:eastAsia="zh-CN"/>
        </w:rPr>
        <w:t>5</w:t>
      </w:r>
      <w:r>
        <w:rPr>
          <w:rFonts w:hint="eastAsia" w:ascii="黑体" w:hAnsi="宋体" w:eastAsia="黑体"/>
          <w:szCs w:val="32"/>
        </w:rPr>
        <w:t>年</w:t>
      </w:r>
      <w:r>
        <w:rPr>
          <w:rFonts w:hint="eastAsia" w:ascii="黑体" w:hAnsi="宋体" w:eastAsia="黑体"/>
          <w:szCs w:val="32"/>
          <w:lang w:val="en-US" w:eastAsia="zh-CN"/>
        </w:rPr>
        <w:t>单位</w:t>
      </w:r>
      <w:r>
        <w:rPr>
          <w:rFonts w:hint="eastAsia" w:ascii="黑体" w:eastAsia="黑体"/>
          <w:szCs w:val="32"/>
        </w:rPr>
        <w:t>预算情况说明</w:t>
      </w:r>
    </w:p>
    <w:p w14:paraId="24179EEC">
      <w:pPr>
        <w:tabs>
          <w:tab w:val="center" w:pos="4475"/>
        </w:tabs>
        <w:spacing w:line="560" w:lineRule="exact"/>
        <w:ind w:firstLine="645"/>
        <w:rPr>
          <w:rFonts w:hint="eastAsia" w:ascii="黑体" w:eastAsia="黑体"/>
          <w:szCs w:val="32"/>
        </w:rPr>
      </w:pPr>
      <w:r>
        <w:rPr>
          <w:rFonts w:hint="eastAsia" w:ascii="黑体" w:eastAsia="黑体"/>
          <w:szCs w:val="32"/>
        </w:rPr>
        <w:t>一、单位</w:t>
      </w:r>
      <w:r>
        <w:rPr>
          <w:rFonts w:hint="eastAsia" w:ascii="黑体" w:eastAsia="黑体"/>
          <w:szCs w:val="32"/>
          <w:lang w:eastAsia="zh-CN"/>
        </w:rPr>
        <w:t>预算</w:t>
      </w:r>
      <w:r>
        <w:rPr>
          <w:rFonts w:hint="eastAsia" w:ascii="黑体" w:eastAsia="黑体"/>
          <w:szCs w:val="32"/>
        </w:rPr>
        <w:t>收支</w:t>
      </w:r>
      <w:r>
        <w:rPr>
          <w:rFonts w:hint="eastAsia" w:ascii="黑体" w:eastAsia="黑体"/>
          <w:szCs w:val="32"/>
          <w:lang w:eastAsia="zh-CN"/>
        </w:rPr>
        <w:t>增减变化</w:t>
      </w:r>
      <w:r>
        <w:rPr>
          <w:rFonts w:hint="eastAsia" w:ascii="黑体" w:eastAsia="黑体"/>
          <w:szCs w:val="32"/>
        </w:rPr>
        <w:t>情况说明</w:t>
      </w:r>
    </w:p>
    <w:p w14:paraId="5422525A">
      <w:pPr>
        <w:pStyle w:val="3"/>
        <w:adjustRightInd w:val="0"/>
        <w:snapToGrid w:val="0"/>
        <w:spacing w:line="560" w:lineRule="exact"/>
        <w:ind w:firstLine="640" w:firstLineChars="200"/>
        <w:rPr>
          <w:rFonts w:hint="eastAsia" w:ascii="仿宋_GB2312" w:hAnsi="仿宋_GB2312" w:eastAsia="仿宋_GB2312" w:cs="仿宋_GB2312"/>
          <w:bCs/>
          <w:sz w:val="32"/>
          <w:szCs w:val="32"/>
          <w:lang w:val="en-US" w:eastAsia="zh-CN"/>
        </w:rPr>
      </w:pPr>
      <w:r>
        <w:rPr>
          <w:rFonts w:hint="eastAsia" w:ascii="仿宋_GB2312" w:hAnsi="仿宋_GB2312" w:eastAsia="仿宋_GB2312" w:cs="仿宋_GB2312"/>
          <w:bCs/>
          <w:sz w:val="32"/>
          <w:szCs w:val="32"/>
          <w:lang w:val="en-US" w:eastAsia="zh-CN"/>
        </w:rPr>
        <w:t>我单位总收入5,234.76万元，总支出5,234.76万元（不含财政拨款上年未列支结转收支数）。总收入较上年减少1,085.32万元，下降17.17％，主要原因：一是2025年减少一般公共预算收入1,113.76万元；二是减少单位资金收入108.22万元;三是2025年上年结余结转较上年增加136.67元。总支出较上年减少1,085.32万元，下降17.17％，主要原因:一是基本支出减少420.95万元，其中在职人员经费减少424.73万元、公用经费增加3.77万元；二是项目支出预算减少664.37万元，其中全区航道航标维护业务经费项目减少223.87万元，专用、办公设备购置及维护支出项目减少48.07万元，机构运行管理经费项目减少115.93万元，政策性增支项目——贵港至梧州航道渔业资源保护项目减少280万元。</w:t>
      </w:r>
    </w:p>
    <w:p w14:paraId="738716D6">
      <w:pPr>
        <w:tabs>
          <w:tab w:val="center" w:pos="4475"/>
        </w:tabs>
        <w:spacing w:line="560" w:lineRule="exact"/>
        <w:ind w:firstLine="645"/>
        <w:rPr>
          <w:rFonts w:hint="eastAsia" w:ascii="黑体" w:eastAsia="黑体"/>
          <w:szCs w:val="32"/>
        </w:rPr>
      </w:pPr>
      <w:r>
        <w:rPr>
          <w:rFonts w:hint="eastAsia" w:ascii="黑体" w:eastAsia="黑体"/>
          <w:szCs w:val="32"/>
        </w:rPr>
        <w:t>二、单位</w:t>
      </w:r>
      <w:r>
        <w:rPr>
          <w:rFonts w:hint="eastAsia" w:ascii="黑体" w:eastAsia="黑体"/>
          <w:szCs w:val="32"/>
          <w:lang w:eastAsia="zh-CN"/>
        </w:rPr>
        <w:t>预算</w:t>
      </w:r>
      <w:r>
        <w:rPr>
          <w:rFonts w:hint="eastAsia" w:ascii="黑体" w:eastAsia="黑体"/>
          <w:szCs w:val="32"/>
        </w:rPr>
        <w:t>收入总体情况说明</w:t>
      </w:r>
    </w:p>
    <w:p w14:paraId="0700FB32">
      <w:pPr>
        <w:pStyle w:val="3"/>
        <w:adjustRightInd w:val="0"/>
        <w:snapToGrid w:val="0"/>
        <w:spacing w:line="560" w:lineRule="exact"/>
        <w:ind w:firstLine="640" w:firstLineChars="200"/>
        <w:rPr>
          <w:rFonts w:hint="eastAsia" w:ascii="仿宋_GB2312" w:hAnsi="仿宋_GB2312" w:eastAsia="仿宋_GB2312" w:cs="仿宋_GB2312"/>
          <w:bCs/>
          <w:sz w:val="32"/>
          <w:szCs w:val="32"/>
          <w:lang w:val="en-US" w:eastAsia="zh-CN"/>
        </w:rPr>
      </w:pPr>
      <w:r>
        <w:rPr>
          <w:rFonts w:hint="eastAsia" w:ascii="仿宋_GB2312" w:hAnsi="仿宋_GB2312" w:eastAsia="仿宋_GB2312" w:cs="仿宋_GB2312"/>
          <w:bCs/>
          <w:sz w:val="32"/>
          <w:szCs w:val="32"/>
          <w:lang w:val="en-US" w:eastAsia="zh-CN"/>
        </w:rPr>
        <w:t>我单位总收入5,234.76万元，较上年减少1,085.32万元，下降17.17％。主要原因：一是2025年减少一般公共预算收入1,113.76万元；二是减少单位资金收入108.22万元；三是2025年上年结余结转较上年增加136.67元。单位收入主要包括：一般公共预算收入4,606.89万元，占总收入88%；单位资金收入248.78万元，占总收入4.75%；上年结转结余379.10万元，占总收入7.24%。</w:t>
      </w:r>
    </w:p>
    <w:p w14:paraId="3094E2B1">
      <w:pPr>
        <w:tabs>
          <w:tab w:val="center" w:pos="4475"/>
        </w:tabs>
        <w:spacing w:line="560" w:lineRule="exact"/>
        <w:ind w:firstLine="645"/>
        <w:rPr>
          <w:rFonts w:hint="eastAsia" w:ascii="黑体" w:eastAsia="黑体"/>
          <w:szCs w:val="32"/>
        </w:rPr>
      </w:pPr>
      <w:r>
        <w:rPr>
          <w:rFonts w:hint="eastAsia" w:ascii="黑体" w:eastAsia="黑体"/>
          <w:szCs w:val="32"/>
        </w:rPr>
        <w:t>三、单位</w:t>
      </w:r>
      <w:r>
        <w:rPr>
          <w:rFonts w:hint="eastAsia" w:ascii="黑体" w:eastAsia="黑体"/>
          <w:szCs w:val="32"/>
          <w:lang w:eastAsia="zh-CN"/>
        </w:rPr>
        <w:t>预算</w:t>
      </w:r>
      <w:r>
        <w:rPr>
          <w:rFonts w:hint="eastAsia" w:ascii="黑体" w:eastAsia="黑体"/>
          <w:szCs w:val="32"/>
        </w:rPr>
        <w:t>支出总体情况说明</w:t>
      </w:r>
    </w:p>
    <w:p w14:paraId="7015DE6D">
      <w:pPr>
        <w:pStyle w:val="3"/>
        <w:adjustRightInd w:val="0"/>
        <w:snapToGrid w:val="0"/>
        <w:spacing w:line="560" w:lineRule="exact"/>
        <w:ind w:firstLine="640" w:firstLineChars="200"/>
        <w:rPr>
          <w:rFonts w:hint="eastAsia" w:ascii="仿宋_GB2312" w:hAnsi="仿宋_GB2312" w:eastAsia="仿宋_GB2312" w:cs="仿宋_GB2312"/>
          <w:bCs/>
          <w:sz w:val="32"/>
          <w:szCs w:val="32"/>
          <w:lang w:val="en-US" w:eastAsia="zh-CN"/>
        </w:rPr>
      </w:pPr>
      <w:r>
        <w:rPr>
          <w:rFonts w:hint="eastAsia" w:ascii="仿宋_GB2312" w:hAnsi="仿宋_GB2312" w:eastAsia="仿宋_GB2312" w:cs="仿宋_GB2312"/>
          <w:bCs/>
          <w:sz w:val="32"/>
          <w:szCs w:val="32"/>
          <w:lang w:val="en-US" w:eastAsia="zh-CN"/>
        </w:rPr>
        <w:t>我单位总支出5,234.76万元，较上年减少1,085.32万元，下降17.17％。主要原因:一是基本支出减少420.95万元，其中在职人员经费减少424.73万元、公用经费增加3.77万元；二是项目支出预算减少664.37万元，其中全区航道航标维护业务经费项目减少223.87万元、专用、办公设备购置及维护支出项目减少48.07万元、机构运行管理经费项目减少115.93万元、政策性增支项目——贵港至梧州航道渔业资源保护项目减少280万元。单位支出主要包括：基本支出4,124.77万元，占本年支出预算78.80％；项目支出1,110万元，占本年支出预算21.20％。按支出功能分类科目划分，共分为4类，其中：社会保障和就业类科目支出660.11万元，占本年支出预算12.61％；卫生健康支出类科目支出171.23万元，占本年支出预算3.27％；交通运输支出类科目支出4,143.33万元，占本年支出预算79.15％；住房保障支出类科目支出260.09万元，占本年支出预算4.97％。</w:t>
      </w:r>
    </w:p>
    <w:p w14:paraId="534E9B0E">
      <w:pPr>
        <w:numPr>
          <w:ilvl w:val="0"/>
          <w:numId w:val="1"/>
        </w:numPr>
        <w:tabs>
          <w:tab w:val="center" w:pos="4475"/>
        </w:tabs>
        <w:spacing w:line="560" w:lineRule="exact"/>
        <w:ind w:firstLine="645"/>
        <w:rPr>
          <w:rFonts w:hint="eastAsia" w:ascii="黑体" w:eastAsia="黑体"/>
          <w:szCs w:val="32"/>
          <w:lang w:val="en-US" w:eastAsia="zh-CN"/>
        </w:rPr>
      </w:pPr>
      <w:r>
        <w:rPr>
          <w:rFonts w:hint="eastAsia" w:ascii="黑体" w:eastAsia="黑体"/>
          <w:szCs w:val="32"/>
          <w:lang w:val="en-US" w:eastAsia="zh-CN"/>
        </w:rPr>
        <w:t>政府性基金预算支出情况说明</w:t>
      </w:r>
    </w:p>
    <w:p w14:paraId="162355E2">
      <w:pPr>
        <w:pStyle w:val="3"/>
        <w:adjustRightInd w:val="0"/>
        <w:snapToGrid w:val="0"/>
        <w:spacing w:line="560" w:lineRule="exact"/>
        <w:ind w:firstLine="640" w:firstLineChars="200"/>
        <w:rPr>
          <w:rFonts w:hint="eastAsia" w:ascii="仿宋_GB2312" w:hAnsi="仿宋_GB2312" w:eastAsia="仿宋_GB2312" w:cs="仿宋_GB2312"/>
          <w:bCs/>
          <w:sz w:val="32"/>
          <w:szCs w:val="32"/>
          <w:lang w:val="en-US" w:eastAsia="zh-CN"/>
        </w:rPr>
      </w:pPr>
      <w:r>
        <w:rPr>
          <w:rFonts w:hint="eastAsia" w:ascii="仿宋_GB2312" w:hAnsi="仿宋_GB2312" w:eastAsia="仿宋_GB2312" w:cs="仿宋_GB2312"/>
          <w:bCs/>
          <w:sz w:val="32"/>
          <w:szCs w:val="32"/>
          <w:lang w:val="en-US" w:eastAsia="zh-CN"/>
        </w:rPr>
        <w:t>我单位2025年无政府性基金预算。</w:t>
      </w:r>
    </w:p>
    <w:p w14:paraId="1E0C1041">
      <w:pPr>
        <w:numPr>
          <w:ilvl w:val="0"/>
          <w:numId w:val="1"/>
        </w:numPr>
        <w:tabs>
          <w:tab w:val="center" w:pos="4475"/>
        </w:tabs>
        <w:spacing w:line="560" w:lineRule="exact"/>
        <w:ind w:firstLine="645"/>
        <w:rPr>
          <w:rFonts w:hint="eastAsia" w:ascii="黑体" w:eastAsia="黑体"/>
          <w:szCs w:val="32"/>
        </w:rPr>
      </w:pPr>
      <w:r>
        <w:rPr>
          <w:rFonts w:hint="eastAsia" w:ascii="黑体" w:eastAsia="黑体"/>
          <w:szCs w:val="32"/>
          <w:lang w:val="en-US" w:eastAsia="zh-CN"/>
        </w:rPr>
        <w:t>国有资本经营预算支出情况说明</w:t>
      </w:r>
    </w:p>
    <w:p w14:paraId="78C4581B">
      <w:pPr>
        <w:pStyle w:val="3"/>
        <w:adjustRightInd w:val="0"/>
        <w:snapToGrid w:val="0"/>
        <w:spacing w:line="560" w:lineRule="exact"/>
        <w:ind w:firstLine="640" w:firstLineChars="200"/>
        <w:rPr>
          <w:rFonts w:hint="eastAsia" w:ascii="仿宋_GB2312" w:hAnsi="仿宋_GB2312" w:eastAsia="仿宋_GB2312" w:cs="仿宋_GB2312"/>
          <w:bCs/>
          <w:sz w:val="32"/>
          <w:szCs w:val="32"/>
          <w:lang w:val="en-US" w:eastAsia="zh-CN"/>
        </w:rPr>
      </w:pPr>
      <w:r>
        <w:rPr>
          <w:rFonts w:hint="eastAsia" w:ascii="仿宋_GB2312" w:hAnsi="仿宋_GB2312" w:eastAsia="仿宋_GB2312" w:cs="仿宋_GB2312"/>
          <w:bCs/>
          <w:sz w:val="32"/>
          <w:szCs w:val="32"/>
          <w:lang w:val="en-US" w:eastAsia="zh-CN"/>
        </w:rPr>
        <w:t>我单位2025年无国有资本经营预算。</w:t>
      </w:r>
    </w:p>
    <w:p w14:paraId="3F8D7E56">
      <w:pPr>
        <w:numPr>
          <w:ilvl w:val="0"/>
          <w:numId w:val="1"/>
        </w:numPr>
        <w:tabs>
          <w:tab w:val="center" w:pos="4475"/>
        </w:tabs>
        <w:spacing w:line="560" w:lineRule="exact"/>
        <w:ind w:firstLine="645"/>
        <w:rPr>
          <w:rFonts w:hint="eastAsia" w:ascii="黑体" w:eastAsia="黑体"/>
          <w:szCs w:val="32"/>
        </w:rPr>
      </w:pPr>
      <w:r>
        <w:rPr>
          <w:rFonts w:hint="eastAsia" w:ascii="黑体" w:eastAsia="黑体"/>
          <w:szCs w:val="32"/>
          <w:lang w:val="en-US" w:eastAsia="zh-CN"/>
        </w:rPr>
        <w:t>一般公共预算“三公”经费支出情况说明</w:t>
      </w:r>
    </w:p>
    <w:p w14:paraId="1CDEF014">
      <w:pPr>
        <w:pStyle w:val="3"/>
        <w:adjustRightInd w:val="0"/>
        <w:snapToGrid w:val="0"/>
        <w:spacing w:line="560" w:lineRule="exact"/>
        <w:ind w:firstLine="640" w:firstLineChars="200"/>
        <w:rPr>
          <w:rFonts w:hint="eastAsia" w:ascii="仿宋_GB2312" w:hAnsi="仿宋_GB2312" w:eastAsia="仿宋_GB2312" w:cs="仿宋_GB2312"/>
          <w:bCs/>
          <w:sz w:val="32"/>
          <w:szCs w:val="32"/>
          <w:lang w:val="en-US" w:eastAsia="zh-CN"/>
        </w:rPr>
      </w:pPr>
      <w:r>
        <w:rPr>
          <w:rFonts w:hint="eastAsia" w:ascii="仿宋_GB2312" w:hAnsi="仿宋_GB2312" w:eastAsia="仿宋_GB2312" w:cs="仿宋_GB2312"/>
          <w:bCs/>
          <w:sz w:val="32"/>
          <w:szCs w:val="32"/>
          <w:lang w:val="en-US" w:eastAsia="zh-CN"/>
        </w:rPr>
        <w:t>我单位2025年一般公共预算安排的“三公”经费支出预算25.74万元，同口径比2024年增加2.39万元，增长10.24%，具体如下：</w:t>
      </w:r>
    </w:p>
    <w:p w14:paraId="2E4B35FD">
      <w:pPr>
        <w:pStyle w:val="3"/>
        <w:adjustRightInd w:val="0"/>
        <w:snapToGrid w:val="0"/>
        <w:spacing w:line="560" w:lineRule="exact"/>
        <w:ind w:firstLine="640" w:firstLineChars="200"/>
        <w:rPr>
          <w:rFonts w:hint="eastAsia" w:ascii="仿宋_GB2312" w:hAnsi="仿宋_GB2312" w:eastAsia="仿宋_GB2312" w:cs="仿宋_GB2312"/>
          <w:bCs/>
          <w:sz w:val="32"/>
          <w:szCs w:val="32"/>
          <w:lang w:val="en-US" w:eastAsia="zh-CN"/>
        </w:rPr>
      </w:pPr>
      <w:r>
        <w:rPr>
          <w:rFonts w:hint="eastAsia" w:ascii="仿宋_GB2312" w:hAnsi="仿宋_GB2312" w:cs="仿宋_GB2312"/>
          <w:bCs/>
          <w:sz w:val="32"/>
          <w:szCs w:val="32"/>
          <w:lang w:val="en-US" w:eastAsia="zh-CN"/>
        </w:rPr>
        <w:t>（一）</w:t>
      </w:r>
      <w:r>
        <w:rPr>
          <w:rFonts w:hint="eastAsia" w:ascii="仿宋_GB2312" w:hAnsi="仿宋_GB2312" w:eastAsia="仿宋_GB2312" w:cs="仿宋_GB2312"/>
          <w:bCs/>
          <w:sz w:val="32"/>
          <w:szCs w:val="32"/>
          <w:lang w:val="en-US" w:eastAsia="zh-CN"/>
        </w:rPr>
        <w:t>因公出国（境）费2025年预算安排0万元，与上年持平。</w:t>
      </w:r>
    </w:p>
    <w:p w14:paraId="0BD8A5EA">
      <w:pPr>
        <w:pStyle w:val="3"/>
        <w:adjustRightInd w:val="0"/>
        <w:snapToGrid w:val="0"/>
        <w:spacing w:line="560" w:lineRule="exact"/>
        <w:ind w:firstLine="640" w:firstLineChars="200"/>
        <w:rPr>
          <w:rFonts w:hint="eastAsia" w:ascii="仿宋_GB2312" w:hAnsi="仿宋_GB2312" w:eastAsia="仿宋_GB2312" w:cs="仿宋_GB2312"/>
          <w:bCs/>
          <w:sz w:val="32"/>
          <w:szCs w:val="32"/>
          <w:lang w:val="en-US" w:eastAsia="zh-CN"/>
        </w:rPr>
      </w:pPr>
      <w:r>
        <w:rPr>
          <w:rFonts w:hint="eastAsia" w:ascii="仿宋_GB2312" w:hAnsi="仿宋_GB2312" w:eastAsia="仿宋_GB2312" w:cs="仿宋_GB2312"/>
          <w:bCs/>
          <w:sz w:val="32"/>
          <w:szCs w:val="32"/>
          <w:lang w:val="en-US" w:eastAsia="zh-CN"/>
        </w:rPr>
        <w:t>（二）公务接待费2025年预算安排2.26万元，同比减少0.12万元，下降5.04%。减少的主要原因是按照“过紧日子”要求压减公务接待费。</w:t>
      </w:r>
    </w:p>
    <w:p w14:paraId="3948BA76">
      <w:pPr>
        <w:pStyle w:val="3"/>
        <w:adjustRightInd w:val="0"/>
        <w:snapToGrid w:val="0"/>
        <w:spacing w:line="560" w:lineRule="exact"/>
        <w:ind w:firstLine="640" w:firstLineChars="200"/>
        <w:rPr>
          <w:rFonts w:hint="eastAsia" w:ascii="仿宋_GB2312" w:hAnsi="仿宋_GB2312" w:eastAsia="仿宋_GB2312" w:cs="仿宋_GB2312"/>
          <w:bCs/>
          <w:sz w:val="32"/>
          <w:szCs w:val="32"/>
          <w:lang w:val="en-US" w:eastAsia="zh-CN"/>
        </w:rPr>
      </w:pPr>
      <w:r>
        <w:rPr>
          <w:rFonts w:hint="eastAsia" w:ascii="仿宋_GB2312" w:hAnsi="仿宋_GB2312" w:eastAsia="仿宋_GB2312" w:cs="仿宋_GB2312"/>
          <w:bCs/>
          <w:sz w:val="32"/>
          <w:szCs w:val="32"/>
          <w:lang w:val="en-US" w:eastAsia="zh-CN"/>
        </w:rPr>
        <w:t>（三）公务用车购置及运行费2025年预算安排23.48万元，比上年增加2.51万元，增长11.97%，其中：公务用车购置费0万元，同比增加0万元。公务用车运行维护费23.48万元，同比增加2.51万元，增长11.97%，增长原因为2025年纳入公务用车运行维护预算的在编车辆较2024年增加一辆。</w:t>
      </w:r>
    </w:p>
    <w:p w14:paraId="31EF9632">
      <w:pPr>
        <w:numPr>
          <w:ilvl w:val="0"/>
          <w:numId w:val="1"/>
        </w:numPr>
        <w:tabs>
          <w:tab w:val="center" w:pos="4475"/>
        </w:tabs>
        <w:spacing w:line="560" w:lineRule="exact"/>
        <w:ind w:firstLine="645"/>
        <w:rPr>
          <w:rFonts w:hint="eastAsia" w:ascii="黑体" w:eastAsia="黑体"/>
          <w:szCs w:val="32"/>
        </w:rPr>
      </w:pPr>
      <w:r>
        <w:rPr>
          <w:rFonts w:hint="eastAsia" w:ascii="黑体" w:eastAsia="黑体"/>
          <w:szCs w:val="32"/>
          <w:lang w:val="en-US" w:eastAsia="zh-CN"/>
        </w:rPr>
        <w:t>事业单位相关运行经费安排情况说明</w:t>
      </w:r>
    </w:p>
    <w:p w14:paraId="45841F83">
      <w:pPr>
        <w:pStyle w:val="3"/>
        <w:adjustRightInd w:val="0"/>
        <w:snapToGrid w:val="0"/>
        <w:spacing w:line="560" w:lineRule="exact"/>
        <w:ind w:firstLine="640" w:firstLineChars="200"/>
        <w:rPr>
          <w:rFonts w:hint="eastAsia" w:ascii="仿宋_GB2312" w:hAnsi="仿宋_GB2312" w:eastAsia="仿宋_GB2312" w:cs="仿宋_GB2312"/>
          <w:bCs/>
          <w:sz w:val="32"/>
          <w:szCs w:val="32"/>
          <w:lang w:val="en-US" w:eastAsia="zh-CN"/>
        </w:rPr>
      </w:pPr>
      <w:r>
        <w:rPr>
          <w:rFonts w:hint="eastAsia" w:ascii="仿宋_GB2312" w:hAnsi="仿宋_GB2312" w:eastAsia="仿宋_GB2312" w:cs="仿宋_GB2312"/>
          <w:bCs/>
          <w:sz w:val="32"/>
          <w:szCs w:val="32"/>
          <w:lang w:val="en-US" w:eastAsia="zh-CN"/>
        </w:rPr>
        <w:t>我单位事业单位相关运行经费主要包括：办公及印刷费、办公用房水电费、邮电费、差旅费、会议费、维修（护）费、福利费、工会经费、公务用车运行维护费及其他费用。我单位2025年事业单位相关运行经费预算396.16万元，</w:t>
      </w:r>
      <w:r>
        <w:rPr>
          <w:rFonts w:hint="eastAsia" w:ascii="仿宋_GB2312" w:hAnsi="仿宋_GB2312" w:cs="仿宋_GB2312"/>
          <w:bCs/>
          <w:sz w:val="32"/>
          <w:szCs w:val="32"/>
          <w:lang w:val="en-US" w:eastAsia="zh-CN"/>
        </w:rPr>
        <w:t>较</w:t>
      </w:r>
      <w:r>
        <w:rPr>
          <w:rFonts w:hint="eastAsia" w:ascii="仿宋_GB2312" w:hAnsi="仿宋_GB2312" w:eastAsia="仿宋_GB2312" w:cs="仿宋_GB2312"/>
          <w:bCs/>
          <w:sz w:val="32"/>
          <w:szCs w:val="32"/>
          <w:lang w:val="en-US" w:eastAsia="zh-CN"/>
        </w:rPr>
        <w:t>2024年392.39万元增加3.77万元，增长1%。增长的主要原因：一是纳入2025年梧州航道养护中心部门预算的在职人员实有数与离退休实有人数较上年增加，导致食堂运转经费和离退休人员公用经费增加；二是公务用车运行维护费较上年增加2.51万元，增长11.97%，增长原因为2025年纳入公务用车运行维护预算的在编车辆较2024年增加一辆。</w:t>
      </w:r>
    </w:p>
    <w:p w14:paraId="04E1DED9">
      <w:pPr>
        <w:tabs>
          <w:tab w:val="center" w:pos="4475"/>
        </w:tabs>
        <w:spacing w:line="560" w:lineRule="exact"/>
        <w:ind w:firstLine="645"/>
        <w:rPr>
          <w:rFonts w:hint="eastAsia" w:ascii="楷体_GB2312" w:hAnsi="楷体_GB2312" w:eastAsia="楷体_GB2312" w:cs="楷体_GB2312"/>
          <w:kern w:val="0"/>
        </w:rPr>
      </w:pPr>
      <w:r>
        <w:rPr>
          <w:rFonts w:hint="eastAsia" w:ascii="黑体" w:hAnsi="黑体" w:eastAsia="黑体" w:cs="黑体"/>
          <w:szCs w:val="32"/>
          <w:highlight w:val="none"/>
          <w:lang w:val="en-US" w:eastAsia="zh-CN"/>
        </w:rPr>
        <w:t>八</w:t>
      </w:r>
      <w:r>
        <w:rPr>
          <w:rFonts w:hint="eastAsia" w:ascii="黑体" w:hAnsi="黑体" w:eastAsia="黑体" w:cs="黑体"/>
          <w:szCs w:val="32"/>
          <w:highlight w:val="none"/>
          <w:lang w:eastAsia="zh-CN"/>
        </w:rPr>
        <w:t>、</w:t>
      </w:r>
      <w:r>
        <w:rPr>
          <w:rFonts w:hint="eastAsia" w:ascii="黑体" w:hAnsi="黑体" w:eastAsia="黑体" w:cs="黑体"/>
          <w:kern w:val="0"/>
          <w:highlight w:val="none"/>
        </w:rPr>
        <w:t>政府</w:t>
      </w:r>
      <w:r>
        <w:rPr>
          <w:rFonts w:hint="eastAsia" w:ascii="黑体" w:hAnsi="黑体" w:eastAsia="黑体" w:cs="黑体"/>
          <w:kern w:val="0"/>
        </w:rPr>
        <w:t>采购预算安排情况说明</w:t>
      </w:r>
    </w:p>
    <w:p w14:paraId="1AE85BD9">
      <w:pPr>
        <w:pStyle w:val="3"/>
        <w:adjustRightInd w:val="0"/>
        <w:snapToGrid w:val="0"/>
        <w:spacing w:line="560" w:lineRule="exact"/>
        <w:ind w:firstLine="640" w:firstLineChars="200"/>
        <w:rPr>
          <w:rFonts w:hint="eastAsia" w:ascii="仿宋_GB2312" w:hAnsi="仿宋_GB2312" w:eastAsia="仿宋_GB2312" w:cs="仿宋_GB2312"/>
          <w:bCs/>
          <w:sz w:val="32"/>
          <w:szCs w:val="32"/>
          <w:lang w:val="en-US" w:eastAsia="zh-CN"/>
        </w:rPr>
      </w:pPr>
      <w:r>
        <w:rPr>
          <w:rFonts w:hint="eastAsia" w:ascii="仿宋_GB2312" w:hAnsi="仿宋_GB2312" w:eastAsia="仿宋_GB2312" w:cs="仿宋_GB2312"/>
          <w:bCs/>
          <w:sz w:val="32"/>
          <w:szCs w:val="32"/>
          <w:lang w:val="en-US" w:eastAsia="zh-CN"/>
        </w:rPr>
        <w:t>我单位2025年政府采购预算总金额504.09万元，同比减少272.56万元，下降35.09％。下降原因：弥补一线技术岗位不足的劳务外包岗位数量减少及航道疏浚清障工程减少。其中：货物类采购2.90万元，占政府采购预算0.58％；工程类采购0万元，占政府采购预算0％；服务类采购501.19万元，占政府采购预算99.42％。</w:t>
      </w:r>
    </w:p>
    <w:p w14:paraId="21039C3E">
      <w:pPr>
        <w:tabs>
          <w:tab w:val="center" w:pos="4475"/>
        </w:tabs>
        <w:spacing w:line="560" w:lineRule="exact"/>
        <w:ind w:firstLine="645"/>
        <w:rPr>
          <w:rFonts w:hint="eastAsia" w:ascii="楷体_GB2312" w:hAnsi="楷体_GB2312" w:eastAsia="楷体_GB2312" w:cs="楷体_GB2312"/>
          <w:kern w:val="0"/>
          <w:lang w:eastAsia="zh-CN"/>
        </w:rPr>
      </w:pPr>
      <w:r>
        <w:rPr>
          <w:rFonts w:hint="eastAsia" w:ascii="黑体" w:hAnsi="黑体" w:eastAsia="黑体" w:cs="黑体"/>
          <w:kern w:val="0"/>
          <w:lang w:val="en-US" w:eastAsia="zh-CN"/>
        </w:rPr>
        <w:t>九</w:t>
      </w:r>
      <w:r>
        <w:rPr>
          <w:rFonts w:hint="eastAsia" w:ascii="黑体" w:hAnsi="黑体" w:eastAsia="黑体" w:cs="黑体"/>
          <w:kern w:val="0"/>
          <w:lang w:eastAsia="zh-CN"/>
        </w:rPr>
        <w:t>、</w:t>
      </w:r>
      <w:r>
        <w:rPr>
          <w:rFonts w:hint="eastAsia" w:ascii="黑体" w:hAnsi="黑体" w:eastAsia="黑体" w:cs="黑体"/>
          <w:kern w:val="0"/>
        </w:rPr>
        <w:t>国有资产占用情况说明</w:t>
      </w:r>
    </w:p>
    <w:p w14:paraId="58ECD675">
      <w:pPr>
        <w:pStyle w:val="3"/>
        <w:adjustRightInd w:val="0"/>
        <w:snapToGrid w:val="0"/>
        <w:spacing w:line="560" w:lineRule="exact"/>
        <w:ind w:firstLine="640" w:firstLineChars="200"/>
        <w:rPr>
          <w:rFonts w:hint="eastAsia" w:ascii="仿宋_GB2312" w:hAnsi="仿宋_GB2312" w:eastAsia="仿宋_GB2312" w:cs="仿宋_GB2312"/>
          <w:bCs/>
          <w:sz w:val="32"/>
          <w:szCs w:val="32"/>
          <w:lang w:val="en-US" w:eastAsia="zh-CN"/>
        </w:rPr>
      </w:pPr>
      <w:r>
        <w:rPr>
          <w:rFonts w:hint="eastAsia" w:ascii="仿宋_GB2312" w:hAnsi="仿宋_GB2312" w:eastAsia="仿宋_GB2312" w:cs="仿宋_GB2312"/>
          <w:bCs/>
          <w:sz w:val="32"/>
          <w:szCs w:val="32"/>
          <w:lang w:val="en-US" w:eastAsia="zh-CN"/>
        </w:rPr>
        <w:t>我单位2025年纳入行政事业单位房屋账面面积36,055.63m²，其中办公用房面积9,649.32m²，占房屋的26.76%；业务用房面积14,199.50m²，占39.38%；其他用房面积12,206.81m²，占33.86%。从使用状况分析：在用28,453.04m²，占78.91%，出租出借890.90m²，占2.47%，闲置3,512.41m²，占9.74%，待处置3,199.28m²，占8.88%。</w:t>
      </w:r>
    </w:p>
    <w:p w14:paraId="31279D38">
      <w:pPr>
        <w:pStyle w:val="3"/>
        <w:adjustRightInd w:val="0"/>
        <w:snapToGrid w:val="0"/>
        <w:spacing w:line="560" w:lineRule="exact"/>
        <w:ind w:firstLine="640" w:firstLineChars="200"/>
        <w:rPr>
          <w:rFonts w:hint="eastAsia" w:ascii="仿宋_GB2312" w:hAnsi="仿宋_GB2312" w:eastAsia="仿宋_GB2312" w:cs="仿宋_GB2312"/>
          <w:bCs/>
          <w:sz w:val="32"/>
          <w:szCs w:val="32"/>
          <w:lang w:val="en-US" w:eastAsia="zh-CN"/>
        </w:rPr>
      </w:pPr>
      <w:r>
        <w:rPr>
          <w:rFonts w:hint="eastAsia" w:ascii="仿宋_GB2312" w:hAnsi="仿宋_GB2312" w:eastAsia="仿宋_GB2312" w:cs="仿宋_GB2312"/>
          <w:bCs/>
          <w:sz w:val="32"/>
          <w:szCs w:val="32"/>
          <w:lang w:val="en-US" w:eastAsia="zh-CN"/>
        </w:rPr>
        <w:t>我单位2025年预算车辆编制9个，实有车辆8辆，其中：按照车辆用途分类，实有一般业务用车7辆，离退休人员生活用车1辆。按照车辆类型分类，实有轿车（公务）5辆、旅行越野车（公务）3辆。</w:t>
      </w:r>
    </w:p>
    <w:p w14:paraId="633524B6">
      <w:pPr>
        <w:tabs>
          <w:tab w:val="center" w:pos="4475"/>
        </w:tabs>
        <w:spacing w:line="560" w:lineRule="exact"/>
        <w:ind w:firstLine="645"/>
        <w:rPr>
          <w:rFonts w:hint="eastAsia" w:ascii="楷体_GB2312" w:hAnsi="楷体_GB2312" w:eastAsia="楷体_GB2312" w:cs="楷体_GB2312"/>
          <w:szCs w:val="32"/>
        </w:rPr>
      </w:pPr>
      <w:r>
        <w:rPr>
          <w:rFonts w:hint="eastAsia" w:ascii="黑体" w:hAnsi="黑体" w:eastAsia="黑体" w:cs="黑体"/>
          <w:szCs w:val="32"/>
          <w:lang w:val="en-US" w:eastAsia="zh-CN"/>
        </w:rPr>
        <w:t>十</w:t>
      </w:r>
      <w:r>
        <w:rPr>
          <w:rFonts w:hint="eastAsia" w:ascii="黑体" w:hAnsi="黑体" w:eastAsia="黑体" w:cs="黑体"/>
          <w:szCs w:val="32"/>
          <w:lang w:eastAsia="zh-CN"/>
        </w:rPr>
        <w:t>、</w:t>
      </w:r>
      <w:r>
        <w:rPr>
          <w:rFonts w:hint="eastAsia" w:ascii="黑体" w:hAnsi="黑体" w:eastAsia="黑体" w:cs="黑体"/>
          <w:szCs w:val="32"/>
        </w:rPr>
        <w:t>预算绩效目标情况说明</w:t>
      </w:r>
    </w:p>
    <w:p w14:paraId="659F6028">
      <w:pPr>
        <w:pStyle w:val="3"/>
        <w:adjustRightInd w:val="0"/>
        <w:snapToGrid w:val="0"/>
        <w:spacing w:line="560" w:lineRule="exact"/>
        <w:ind w:firstLine="640" w:firstLineChars="200"/>
        <w:rPr>
          <w:rFonts w:hint="eastAsia" w:ascii="仿宋_GB2312" w:hAnsi="仿宋_GB2312" w:eastAsia="仿宋_GB2312" w:cs="仿宋_GB2312"/>
          <w:bCs/>
          <w:sz w:val="32"/>
          <w:szCs w:val="32"/>
          <w:lang w:val="en-US" w:eastAsia="zh-CN"/>
        </w:rPr>
      </w:pPr>
      <w:r>
        <w:rPr>
          <w:rFonts w:hint="eastAsia" w:ascii="仿宋_GB2312" w:hAnsi="仿宋_GB2312" w:eastAsia="仿宋_GB2312" w:cs="仿宋_GB2312"/>
          <w:bCs/>
          <w:sz w:val="32"/>
          <w:szCs w:val="32"/>
          <w:lang w:val="en-US" w:eastAsia="zh-CN"/>
        </w:rPr>
        <w:t>（一）我单位2025年所有项目支出全面实施绩效目标管理，涉及自治区本级项目7个，预算资金1,110万元。绩效目标情况详见报表（敏感涉密项目除外）。</w:t>
      </w:r>
    </w:p>
    <w:p w14:paraId="0C809A6B">
      <w:pPr>
        <w:pStyle w:val="3"/>
        <w:adjustRightInd w:val="0"/>
        <w:snapToGrid w:val="0"/>
        <w:spacing w:line="560" w:lineRule="exact"/>
        <w:ind w:firstLine="640" w:firstLineChars="200"/>
        <w:rPr>
          <w:rFonts w:hint="eastAsia" w:ascii="仿宋_GB2312" w:hAnsi="仿宋_GB2312" w:eastAsia="仿宋_GB2312" w:cs="仿宋_GB2312"/>
          <w:bCs/>
          <w:sz w:val="32"/>
          <w:szCs w:val="32"/>
          <w:lang w:val="en-US" w:eastAsia="zh-CN"/>
        </w:rPr>
      </w:pPr>
      <w:r>
        <w:rPr>
          <w:rFonts w:hint="eastAsia" w:ascii="仿宋_GB2312" w:hAnsi="仿宋_GB2312" w:eastAsia="仿宋_GB2312" w:cs="仿宋_GB2312"/>
          <w:bCs/>
          <w:sz w:val="32"/>
          <w:szCs w:val="32"/>
          <w:lang w:val="en-US" w:eastAsia="zh-CN"/>
        </w:rPr>
        <w:t>（二）重点项目预算绩效目标说明。</w:t>
      </w:r>
    </w:p>
    <w:tbl>
      <w:tblPr>
        <w:tblStyle w:val="7"/>
        <w:tblW w:w="0" w:type="auto"/>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1768"/>
        <w:gridCol w:w="1550"/>
        <w:gridCol w:w="5204"/>
      </w:tblGrid>
      <w:tr w14:paraId="3F4B378E">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1768" w:type="dxa"/>
            <w:noWrap w:val="0"/>
            <w:vAlign w:val="top"/>
          </w:tcPr>
          <w:p w14:paraId="045B2866">
            <w:pPr>
              <w:tabs>
                <w:tab w:val="center" w:pos="4475"/>
              </w:tabs>
              <w:spacing w:line="560" w:lineRule="exact"/>
              <w:jc w:val="center"/>
              <w:rPr>
                <w:rFonts w:hint="eastAsia" w:ascii="仿宋" w:hAnsi="仿宋" w:eastAsia="仿宋" w:cs="仿宋"/>
                <w:b/>
                <w:bCs/>
                <w:szCs w:val="32"/>
                <w:vertAlign w:val="baseline"/>
                <w:lang w:eastAsia="zh-CN"/>
              </w:rPr>
            </w:pPr>
            <w:r>
              <w:rPr>
                <w:rFonts w:hint="eastAsia" w:ascii="仿宋" w:hAnsi="仿宋" w:eastAsia="仿宋" w:cs="仿宋"/>
                <w:b/>
                <w:bCs/>
                <w:szCs w:val="32"/>
                <w:vertAlign w:val="baseline"/>
                <w:lang w:eastAsia="zh-CN"/>
              </w:rPr>
              <w:t>项目名称</w:t>
            </w:r>
          </w:p>
        </w:tc>
        <w:tc>
          <w:tcPr>
            <w:tcW w:w="1550" w:type="dxa"/>
            <w:noWrap w:val="0"/>
            <w:vAlign w:val="top"/>
          </w:tcPr>
          <w:p w14:paraId="05051014">
            <w:pPr>
              <w:tabs>
                <w:tab w:val="center" w:pos="4475"/>
              </w:tabs>
              <w:spacing w:line="560" w:lineRule="exact"/>
              <w:jc w:val="center"/>
              <w:rPr>
                <w:rFonts w:hint="eastAsia" w:ascii="仿宋" w:hAnsi="仿宋" w:eastAsia="仿宋" w:cs="仿宋"/>
                <w:b/>
                <w:bCs/>
                <w:szCs w:val="32"/>
                <w:vertAlign w:val="baseline"/>
                <w:lang w:eastAsia="zh-CN"/>
              </w:rPr>
            </w:pPr>
            <w:r>
              <w:rPr>
                <w:rFonts w:hint="eastAsia" w:ascii="仿宋" w:hAnsi="仿宋" w:eastAsia="仿宋" w:cs="仿宋"/>
                <w:b/>
                <w:bCs/>
                <w:szCs w:val="32"/>
                <w:vertAlign w:val="baseline"/>
                <w:lang w:eastAsia="zh-CN"/>
              </w:rPr>
              <w:t>预算数（单位：万元）</w:t>
            </w:r>
          </w:p>
        </w:tc>
        <w:tc>
          <w:tcPr>
            <w:tcW w:w="5204" w:type="dxa"/>
            <w:noWrap w:val="0"/>
            <w:vAlign w:val="top"/>
          </w:tcPr>
          <w:p w14:paraId="2417651A">
            <w:pPr>
              <w:tabs>
                <w:tab w:val="center" w:pos="4475"/>
              </w:tabs>
              <w:spacing w:line="560" w:lineRule="exact"/>
              <w:jc w:val="center"/>
              <w:rPr>
                <w:rFonts w:hint="eastAsia" w:ascii="仿宋" w:hAnsi="仿宋" w:eastAsia="仿宋" w:cs="仿宋"/>
                <w:b/>
                <w:bCs/>
                <w:szCs w:val="32"/>
                <w:vertAlign w:val="baseline"/>
                <w:lang w:eastAsia="zh-CN"/>
              </w:rPr>
            </w:pPr>
            <w:r>
              <w:rPr>
                <w:rFonts w:hint="eastAsia" w:ascii="仿宋" w:hAnsi="仿宋" w:eastAsia="仿宋" w:cs="仿宋"/>
                <w:b/>
                <w:bCs/>
                <w:szCs w:val="32"/>
                <w:vertAlign w:val="baseline"/>
                <w:lang w:eastAsia="zh-CN"/>
              </w:rPr>
              <w:t>绩效目标</w:t>
            </w:r>
          </w:p>
        </w:tc>
      </w:tr>
      <w:tr w14:paraId="78BE7195">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1768" w:type="dxa"/>
            <w:noWrap w:val="0"/>
            <w:vAlign w:val="top"/>
          </w:tcPr>
          <w:p w14:paraId="6104E2CA">
            <w:pPr>
              <w:tabs>
                <w:tab w:val="center" w:pos="4475"/>
              </w:tabs>
              <w:spacing w:line="560" w:lineRule="exact"/>
              <w:rPr>
                <w:rFonts w:hint="eastAsia" w:ascii="仿宋" w:hAnsi="仿宋" w:eastAsia="仿宋" w:cs="仿宋"/>
                <w:szCs w:val="32"/>
                <w:vertAlign w:val="baseline"/>
                <w:lang w:eastAsia="zh-CN"/>
              </w:rPr>
            </w:pPr>
            <w:r>
              <w:rPr>
                <w:rFonts w:hint="eastAsia" w:ascii="仿宋_GB2312" w:hAnsi="仿宋_GB2312" w:eastAsia="仿宋_GB2312" w:cs="仿宋_GB2312"/>
                <w:bCs/>
                <w:kern w:val="2"/>
                <w:sz w:val="32"/>
                <w:szCs w:val="32"/>
                <w:lang w:val="en-US" w:eastAsia="zh-CN" w:bidi="ar-SA"/>
              </w:rPr>
              <w:t>全区航道航标维护业务经费</w:t>
            </w:r>
          </w:p>
        </w:tc>
        <w:tc>
          <w:tcPr>
            <w:tcW w:w="1550" w:type="dxa"/>
            <w:shd w:val="clear" w:color="auto" w:fill="auto"/>
            <w:noWrap w:val="0"/>
            <w:vAlign w:val="center"/>
          </w:tcPr>
          <w:p w14:paraId="6EA38F26">
            <w:pPr>
              <w:keepNext w:val="0"/>
              <w:keepLines w:val="0"/>
              <w:widowControl/>
              <w:suppressLineNumbers w:val="0"/>
              <w:jc w:val="center"/>
              <w:textAlignment w:val="center"/>
              <w:rPr>
                <w:rFonts w:hint="eastAsia" w:ascii="仿宋" w:hAnsi="仿宋" w:eastAsia="仿宋" w:cs="仿宋"/>
                <w:i w:val="0"/>
                <w:iCs w:val="0"/>
                <w:color w:val="000000"/>
                <w:kern w:val="2"/>
                <w:sz w:val="32"/>
                <w:szCs w:val="32"/>
                <w:u w:val="none"/>
                <w:lang w:val="en-US" w:eastAsia="zh-CN" w:bidi="ar-SA"/>
              </w:rPr>
            </w:pPr>
            <w:r>
              <w:rPr>
                <w:rFonts w:hint="eastAsia" w:ascii="仿宋_GB2312" w:hAnsi="仿宋_GB2312" w:eastAsia="仿宋_GB2312" w:cs="仿宋_GB2312"/>
                <w:bCs/>
                <w:kern w:val="2"/>
                <w:sz w:val="32"/>
                <w:szCs w:val="32"/>
                <w:lang w:val="en-US" w:eastAsia="zh-CN" w:bidi="ar-SA"/>
              </w:rPr>
              <w:t>715.07</w:t>
            </w:r>
          </w:p>
        </w:tc>
        <w:tc>
          <w:tcPr>
            <w:tcW w:w="5204" w:type="dxa"/>
            <w:noWrap w:val="0"/>
            <w:vAlign w:val="top"/>
          </w:tcPr>
          <w:p w14:paraId="1B747F4F">
            <w:pPr>
              <w:pStyle w:val="3"/>
              <w:adjustRightInd w:val="0"/>
              <w:snapToGrid w:val="0"/>
              <w:spacing w:line="560" w:lineRule="exact"/>
              <w:rPr>
                <w:rFonts w:hint="eastAsia" w:ascii="仿宋_GB2312" w:hAnsi="仿宋_GB2312" w:eastAsia="仿宋_GB2312" w:cs="仿宋_GB2312"/>
                <w:bCs/>
                <w:sz w:val="32"/>
                <w:szCs w:val="32"/>
                <w:lang w:val="en-US" w:eastAsia="zh-CN"/>
              </w:rPr>
            </w:pPr>
            <w:r>
              <w:rPr>
                <w:rFonts w:hint="eastAsia" w:ascii="仿宋_GB2312" w:hAnsi="仿宋_GB2312" w:eastAsia="仿宋_GB2312" w:cs="仿宋_GB2312"/>
                <w:bCs/>
                <w:sz w:val="32"/>
                <w:szCs w:val="32"/>
                <w:lang w:val="en-US" w:eastAsia="zh-CN"/>
              </w:rPr>
              <w:t>2025年全年，通过严格按照相关工作要求，有序开展辖区航道航标巡查、航道养护测绘、航道养护疏浚清障、整治建筑物维护及助航标志日常养护工作，实现航道维护尺度满足设计要求、航标标位准确、颜色鲜明、灯光明亮、作用正常，不因航道维护尺度不达标、助导航标志作用不正常而发生海损事故，确保航标维护正常率95％以上，航道维护水深年保证率90％，辖区服务对象满意度90％以上。</w:t>
            </w:r>
          </w:p>
        </w:tc>
      </w:tr>
    </w:tbl>
    <w:p w14:paraId="553E8D62">
      <w:pPr>
        <w:tabs>
          <w:tab w:val="center" w:pos="4475"/>
        </w:tabs>
        <w:spacing w:line="560" w:lineRule="exact"/>
        <w:ind w:firstLine="0"/>
        <w:rPr>
          <w:rFonts w:hint="default" w:ascii="黑体" w:eastAsia="黑体"/>
          <w:szCs w:val="32"/>
          <w:lang w:val="en-US" w:eastAsia="zh-CN"/>
        </w:rPr>
      </w:pPr>
    </w:p>
    <w:p w14:paraId="3C145059">
      <w:pPr>
        <w:tabs>
          <w:tab w:val="center" w:pos="4475"/>
        </w:tabs>
        <w:spacing w:line="560" w:lineRule="exact"/>
        <w:ind w:firstLine="645"/>
        <w:rPr>
          <w:rFonts w:hint="eastAsia" w:ascii="黑体" w:eastAsia="黑体"/>
          <w:szCs w:val="32"/>
        </w:rPr>
      </w:pPr>
      <w:r>
        <w:rPr>
          <w:rFonts w:hint="eastAsia" w:ascii="黑体" w:eastAsia="黑体"/>
          <w:szCs w:val="32"/>
        </w:rPr>
        <w:t>第三部分：名词解释</w:t>
      </w:r>
    </w:p>
    <w:p w14:paraId="794F6871">
      <w:pPr>
        <w:pStyle w:val="3"/>
        <w:adjustRightInd w:val="0"/>
        <w:snapToGrid w:val="0"/>
        <w:spacing w:line="560" w:lineRule="exact"/>
        <w:ind w:firstLine="640" w:firstLineChars="200"/>
        <w:rPr>
          <w:rFonts w:hint="eastAsia" w:ascii="仿宋_GB2312" w:hAnsi="仿宋_GB2312" w:eastAsia="仿宋_GB2312" w:cs="仿宋_GB2312"/>
          <w:bCs/>
          <w:sz w:val="32"/>
          <w:szCs w:val="32"/>
          <w:lang w:val="en-US" w:eastAsia="zh-CN"/>
        </w:rPr>
      </w:pPr>
      <w:r>
        <w:rPr>
          <w:rFonts w:hint="eastAsia" w:ascii="仿宋_GB2312" w:hAnsi="仿宋_GB2312" w:eastAsia="仿宋_GB2312" w:cs="仿宋_GB2312"/>
          <w:bCs/>
          <w:sz w:val="32"/>
          <w:szCs w:val="32"/>
          <w:lang w:val="en-US" w:eastAsia="zh-CN"/>
        </w:rPr>
        <w:t>一、收入科目</w:t>
      </w:r>
    </w:p>
    <w:p w14:paraId="66C3A6DB">
      <w:pPr>
        <w:pStyle w:val="3"/>
        <w:adjustRightInd w:val="0"/>
        <w:snapToGrid w:val="0"/>
        <w:spacing w:line="560" w:lineRule="exact"/>
        <w:ind w:firstLine="640" w:firstLineChars="200"/>
        <w:rPr>
          <w:rFonts w:hint="eastAsia" w:ascii="仿宋_GB2312" w:hAnsi="仿宋_GB2312" w:eastAsia="仿宋_GB2312" w:cs="仿宋_GB2312"/>
          <w:bCs/>
          <w:sz w:val="32"/>
          <w:szCs w:val="32"/>
          <w:lang w:val="en-US" w:eastAsia="zh-CN"/>
        </w:rPr>
      </w:pPr>
      <w:r>
        <w:rPr>
          <w:rFonts w:hint="eastAsia" w:ascii="仿宋_GB2312" w:hAnsi="仿宋_GB2312" w:eastAsia="仿宋_GB2312" w:cs="仿宋_GB2312"/>
          <w:bCs/>
          <w:sz w:val="32"/>
          <w:szCs w:val="32"/>
          <w:lang w:val="en-US" w:eastAsia="zh-CN"/>
        </w:rPr>
        <w:t>（一）一般公共预算拨款收入：指自治区财政部门当年拨付的资金。</w:t>
      </w:r>
    </w:p>
    <w:p w14:paraId="63A2553E">
      <w:pPr>
        <w:pStyle w:val="3"/>
        <w:adjustRightInd w:val="0"/>
        <w:snapToGrid w:val="0"/>
        <w:spacing w:line="560" w:lineRule="exact"/>
        <w:ind w:firstLine="640" w:firstLineChars="200"/>
        <w:rPr>
          <w:rFonts w:hint="eastAsia" w:ascii="仿宋_GB2312" w:hAnsi="仿宋_GB2312" w:eastAsia="仿宋_GB2312" w:cs="仿宋_GB2312"/>
          <w:bCs/>
          <w:sz w:val="32"/>
          <w:szCs w:val="32"/>
          <w:lang w:val="en-US" w:eastAsia="zh-CN"/>
        </w:rPr>
      </w:pPr>
      <w:r>
        <w:rPr>
          <w:rFonts w:hint="eastAsia" w:ascii="仿宋_GB2312" w:hAnsi="仿宋_GB2312" w:eastAsia="仿宋_GB2312" w:cs="仿宋_GB2312"/>
          <w:bCs/>
          <w:sz w:val="32"/>
          <w:szCs w:val="32"/>
          <w:lang w:val="en-US" w:eastAsia="zh-CN"/>
        </w:rPr>
        <w:t>（二）事业收入：指事业单位开展专业业务活动及辅助活动所取得的收入。</w:t>
      </w:r>
    </w:p>
    <w:p w14:paraId="0F796F87">
      <w:pPr>
        <w:pStyle w:val="3"/>
        <w:adjustRightInd w:val="0"/>
        <w:snapToGrid w:val="0"/>
        <w:spacing w:line="560" w:lineRule="exact"/>
        <w:ind w:firstLine="640" w:firstLineChars="200"/>
        <w:rPr>
          <w:rFonts w:hint="eastAsia" w:ascii="仿宋_GB2312" w:hAnsi="仿宋_GB2312" w:eastAsia="仿宋_GB2312" w:cs="仿宋_GB2312"/>
          <w:bCs/>
          <w:sz w:val="32"/>
          <w:szCs w:val="32"/>
          <w:lang w:val="en-US" w:eastAsia="zh-CN"/>
        </w:rPr>
      </w:pPr>
      <w:r>
        <w:rPr>
          <w:rFonts w:hint="eastAsia" w:ascii="仿宋_GB2312" w:hAnsi="仿宋_GB2312" w:eastAsia="仿宋_GB2312" w:cs="仿宋_GB2312"/>
          <w:bCs/>
          <w:sz w:val="32"/>
          <w:szCs w:val="32"/>
          <w:lang w:val="en-US" w:eastAsia="zh-CN"/>
        </w:rPr>
        <w:t>（三）其他收入：指除“财政拨款收入”“事业收入”“经营收入”等以外的收入。</w:t>
      </w:r>
    </w:p>
    <w:p w14:paraId="1C060532">
      <w:pPr>
        <w:pStyle w:val="3"/>
        <w:adjustRightInd w:val="0"/>
        <w:snapToGrid w:val="0"/>
        <w:spacing w:line="560" w:lineRule="exact"/>
        <w:ind w:firstLine="640" w:firstLineChars="200"/>
        <w:rPr>
          <w:rFonts w:hint="eastAsia" w:ascii="仿宋_GB2312" w:hAnsi="仿宋_GB2312" w:eastAsia="仿宋_GB2312" w:cs="仿宋_GB2312"/>
          <w:bCs/>
          <w:sz w:val="32"/>
          <w:szCs w:val="32"/>
          <w:lang w:val="en-US" w:eastAsia="zh-CN"/>
        </w:rPr>
      </w:pPr>
      <w:r>
        <w:rPr>
          <w:rFonts w:hint="eastAsia" w:ascii="仿宋_GB2312" w:hAnsi="仿宋_GB2312" w:eastAsia="仿宋_GB2312" w:cs="仿宋_GB2312"/>
          <w:bCs/>
          <w:sz w:val="32"/>
          <w:szCs w:val="32"/>
          <w:lang w:val="en-US" w:eastAsia="zh-CN"/>
        </w:rPr>
        <w:t>（四）上年结转结余：指以前年度尚未完成、结转到本年按有关规定继续使用的资金。</w:t>
      </w:r>
    </w:p>
    <w:p w14:paraId="3DD06B42">
      <w:pPr>
        <w:pStyle w:val="3"/>
        <w:adjustRightInd w:val="0"/>
        <w:snapToGrid w:val="0"/>
        <w:spacing w:line="560" w:lineRule="exact"/>
        <w:ind w:firstLine="640" w:firstLineChars="200"/>
        <w:rPr>
          <w:rFonts w:hint="eastAsia" w:ascii="仿宋_GB2312" w:hAnsi="仿宋_GB2312" w:eastAsia="仿宋_GB2312" w:cs="仿宋_GB2312"/>
          <w:bCs/>
          <w:sz w:val="32"/>
          <w:szCs w:val="32"/>
          <w:lang w:val="en-US" w:eastAsia="zh-CN"/>
        </w:rPr>
      </w:pPr>
      <w:r>
        <w:rPr>
          <w:rFonts w:hint="eastAsia" w:ascii="仿宋_GB2312" w:hAnsi="仿宋_GB2312" w:eastAsia="仿宋_GB2312" w:cs="仿宋_GB2312"/>
          <w:bCs/>
          <w:sz w:val="32"/>
          <w:szCs w:val="32"/>
          <w:lang w:val="en-US" w:eastAsia="zh-CN"/>
        </w:rPr>
        <w:t>二、支出科目</w:t>
      </w:r>
    </w:p>
    <w:p w14:paraId="4116465B">
      <w:pPr>
        <w:pStyle w:val="3"/>
        <w:adjustRightInd w:val="0"/>
        <w:snapToGrid w:val="0"/>
        <w:spacing w:line="560" w:lineRule="exact"/>
        <w:ind w:firstLine="640" w:firstLineChars="200"/>
        <w:rPr>
          <w:rFonts w:hint="eastAsia" w:ascii="仿宋_GB2312" w:hAnsi="仿宋_GB2312" w:eastAsia="仿宋_GB2312" w:cs="仿宋_GB2312"/>
          <w:bCs/>
          <w:sz w:val="32"/>
          <w:szCs w:val="32"/>
          <w:lang w:val="en-US" w:eastAsia="zh-CN"/>
        </w:rPr>
      </w:pPr>
      <w:r>
        <w:rPr>
          <w:rFonts w:hint="eastAsia" w:ascii="仿宋_GB2312" w:hAnsi="仿宋_GB2312" w:eastAsia="仿宋_GB2312" w:cs="仿宋_GB2312"/>
          <w:bCs/>
          <w:sz w:val="32"/>
          <w:szCs w:val="32"/>
          <w:lang w:val="en-US" w:eastAsia="zh-CN"/>
        </w:rPr>
        <w:t>（一）社会保障和就业（类）行政事业单位养老（款）：</w:t>
      </w:r>
    </w:p>
    <w:p w14:paraId="11DB96C0">
      <w:pPr>
        <w:pStyle w:val="3"/>
        <w:adjustRightInd w:val="0"/>
        <w:snapToGrid w:val="0"/>
        <w:spacing w:line="560" w:lineRule="exact"/>
        <w:ind w:firstLine="640" w:firstLineChars="200"/>
        <w:rPr>
          <w:rFonts w:hint="eastAsia" w:ascii="仿宋_GB2312" w:hAnsi="仿宋_GB2312" w:eastAsia="仿宋_GB2312" w:cs="仿宋_GB2312"/>
          <w:bCs/>
          <w:sz w:val="32"/>
          <w:szCs w:val="32"/>
          <w:lang w:val="en-US" w:eastAsia="zh-CN"/>
        </w:rPr>
      </w:pPr>
      <w:r>
        <w:rPr>
          <w:rFonts w:hint="eastAsia" w:ascii="仿宋_GB2312" w:hAnsi="仿宋_GB2312" w:eastAsia="仿宋_GB2312" w:cs="仿宋_GB2312"/>
          <w:bCs/>
          <w:sz w:val="32"/>
          <w:szCs w:val="32"/>
          <w:lang w:val="en-US" w:eastAsia="zh-CN"/>
        </w:rPr>
        <w:t>1.社会保障和就业（类）行政事业单位养老支出（款）机关事业单位基本养老保险缴费支出（项）：主要用于支付行政及事业单位在职职工的单位养老保险费用。</w:t>
      </w:r>
    </w:p>
    <w:p w14:paraId="34CC0334">
      <w:pPr>
        <w:pStyle w:val="3"/>
        <w:adjustRightInd w:val="0"/>
        <w:snapToGrid w:val="0"/>
        <w:spacing w:line="560" w:lineRule="exact"/>
        <w:ind w:firstLine="640" w:firstLineChars="200"/>
        <w:rPr>
          <w:rFonts w:hint="eastAsia" w:ascii="仿宋_GB2312" w:hAnsi="仿宋_GB2312" w:eastAsia="仿宋_GB2312" w:cs="仿宋_GB2312"/>
          <w:bCs/>
          <w:sz w:val="32"/>
          <w:szCs w:val="32"/>
          <w:lang w:val="en-US" w:eastAsia="zh-CN"/>
        </w:rPr>
      </w:pPr>
      <w:r>
        <w:rPr>
          <w:rFonts w:hint="eastAsia" w:ascii="仿宋_GB2312" w:hAnsi="仿宋_GB2312" w:eastAsia="仿宋_GB2312" w:cs="仿宋_GB2312"/>
          <w:bCs/>
          <w:sz w:val="32"/>
          <w:szCs w:val="32"/>
          <w:lang w:val="en-US" w:eastAsia="zh-CN"/>
        </w:rPr>
        <w:t>2.社会保障和就业（类）行政事业单位养老支出（款）机关事业单位职业年金缴费支出（项）：主要用于支付行政及事业单位在职职工单位职业年金费用。</w:t>
      </w:r>
    </w:p>
    <w:p w14:paraId="6BF3693C">
      <w:pPr>
        <w:pStyle w:val="3"/>
        <w:adjustRightInd w:val="0"/>
        <w:snapToGrid w:val="0"/>
        <w:spacing w:line="560" w:lineRule="exact"/>
        <w:ind w:firstLine="640" w:firstLineChars="200"/>
        <w:rPr>
          <w:rFonts w:hint="eastAsia" w:ascii="仿宋_GB2312" w:hAnsi="仿宋_GB2312" w:eastAsia="仿宋_GB2312" w:cs="仿宋_GB2312"/>
          <w:bCs/>
          <w:sz w:val="32"/>
          <w:szCs w:val="32"/>
          <w:lang w:val="en-US" w:eastAsia="zh-CN"/>
        </w:rPr>
      </w:pPr>
      <w:r>
        <w:rPr>
          <w:rFonts w:hint="eastAsia" w:ascii="仿宋_GB2312" w:hAnsi="仿宋_GB2312" w:eastAsia="仿宋_GB2312" w:cs="仿宋_GB2312"/>
          <w:bCs/>
          <w:sz w:val="32"/>
          <w:szCs w:val="32"/>
          <w:lang w:val="en-US" w:eastAsia="zh-CN"/>
        </w:rPr>
        <w:t>（二）卫生健康（类）行政事业单位医疗（款）：</w:t>
      </w:r>
    </w:p>
    <w:p w14:paraId="173432EB">
      <w:pPr>
        <w:pStyle w:val="3"/>
        <w:adjustRightInd w:val="0"/>
        <w:snapToGrid w:val="0"/>
        <w:spacing w:line="560" w:lineRule="exact"/>
        <w:ind w:firstLine="640" w:firstLineChars="200"/>
        <w:rPr>
          <w:rFonts w:hint="eastAsia" w:ascii="仿宋_GB2312" w:hAnsi="仿宋_GB2312" w:eastAsia="仿宋_GB2312" w:cs="仿宋_GB2312"/>
          <w:bCs/>
          <w:sz w:val="32"/>
          <w:szCs w:val="32"/>
          <w:lang w:val="en-US" w:eastAsia="zh-CN"/>
        </w:rPr>
      </w:pPr>
      <w:r>
        <w:rPr>
          <w:rFonts w:hint="eastAsia" w:ascii="仿宋_GB2312" w:hAnsi="仿宋_GB2312" w:eastAsia="仿宋_GB2312" w:cs="仿宋_GB2312"/>
          <w:bCs/>
          <w:sz w:val="32"/>
          <w:szCs w:val="32"/>
          <w:lang w:val="en-US" w:eastAsia="zh-CN"/>
        </w:rPr>
        <w:t>1.卫生健康支出（类）行政事业单位医疗（款）事业单位医疗（项）：主要是根据自治区统一规定，按事业单位在职职工工资总额的一定比例计缴的医疗保险。</w:t>
      </w:r>
    </w:p>
    <w:p w14:paraId="7BD81261">
      <w:pPr>
        <w:pStyle w:val="3"/>
        <w:adjustRightInd w:val="0"/>
        <w:snapToGrid w:val="0"/>
        <w:spacing w:line="560" w:lineRule="exact"/>
        <w:ind w:firstLine="640" w:firstLineChars="200"/>
        <w:rPr>
          <w:rFonts w:hint="eastAsia" w:ascii="仿宋_GB2312" w:hAnsi="仿宋_GB2312" w:eastAsia="仿宋_GB2312" w:cs="仿宋_GB2312"/>
          <w:bCs/>
          <w:sz w:val="32"/>
          <w:szCs w:val="32"/>
          <w:lang w:val="en-US" w:eastAsia="zh-CN"/>
        </w:rPr>
      </w:pPr>
      <w:r>
        <w:rPr>
          <w:rFonts w:hint="eastAsia" w:ascii="仿宋_GB2312" w:hAnsi="仿宋_GB2312" w:eastAsia="仿宋_GB2312" w:cs="仿宋_GB2312"/>
          <w:bCs/>
          <w:sz w:val="32"/>
          <w:szCs w:val="32"/>
          <w:lang w:val="en-US" w:eastAsia="zh-CN"/>
        </w:rPr>
        <w:t>2.卫生健康支出（类）行政事业单位医疗（款）公务员医疗补助（项）：反映财政部门安排的公务员医疗补助经费。</w:t>
      </w:r>
    </w:p>
    <w:p w14:paraId="09D666B5">
      <w:pPr>
        <w:pStyle w:val="3"/>
        <w:adjustRightInd w:val="0"/>
        <w:snapToGrid w:val="0"/>
        <w:spacing w:line="560" w:lineRule="exact"/>
        <w:ind w:firstLine="640" w:firstLineChars="200"/>
        <w:rPr>
          <w:rFonts w:hint="eastAsia" w:ascii="仿宋_GB2312" w:hAnsi="仿宋_GB2312" w:eastAsia="仿宋_GB2312" w:cs="仿宋_GB2312"/>
          <w:bCs/>
          <w:sz w:val="32"/>
          <w:szCs w:val="32"/>
          <w:lang w:val="en-US" w:eastAsia="zh-CN"/>
        </w:rPr>
      </w:pPr>
      <w:r>
        <w:rPr>
          <w:rFonts w:hint="eastAsia" w:ascii="仿宋_GB2312" w:hAnsi="仿宋_GB2312" w:eastAsia="仿宋_GB2312" w:cs="仿宋_GB2312"/>
          <w:bCs/>
          <w:sz w:val="32"/>
          <w:szCs w:val="32"/>
          <w:lang w:val="en-US" w:eastAsia="zh-CN"/>
        </w:rPr>
        <w:t>（三）交通运输（类）：</w:t>
      </w:r>
    </w:p>
    <w:p w14:paraId="1AB17587">
      <w:pPr>
        <w:pStyle w:val="3"/>
        <w:adjustRightInd w:val="0"/>
        <w:snapToGrid w:val="0"/>
        <w:spacing w:line="560" w:lineRule="exact"/>
        <w:ind w:firstLine="640" w:firstLineChars="200"/>
        <w:rPr>
          <w:rFonts w:hint="eastAsia" w:ascii="仿宋_GB2312" w:hAnsi="仿宋_GB2312" w:eastAsia="仿宋_GB2312" w:cs="仿宋_GB2312"/>
          <w:bCs/>
          <w:sz w:val="32"/>
          <w:szCs w:val="32"/>
          <w:lang w:val="en-US" w:eastAsia="zh-CN"/>
        </w:rPr>
      </w:pPr>
      <w:r>
        <w:rPr>
          <w:rFonts w:hint="eastAsia" w:ascii="仿宋_GB2312" w:hAnsi="仿宋_GB2312" w:eastAsia="仿宋_GB2312" w:cs="仿宋_GB2312"/>
          <w:bCs/>
          <w:sz w:val="32"/>
          <w:szCs w:val="32"/>
          <w:lang w:val="en-US" w:eastAsia="zh-CN"/>
        </w:rPr>
        <w:t>1. 公路水路运输（款）水运建设（项）：反映港口、航道等水运基础设施建设及相关支持系统能力建设支出。</w:t>
      </w:r>
    </w:p>
    <w:p w14:paraId="2383E86E">
      <w:pPr>
        <w:pStyle w:val="3"/>
        <w:adjustRightInd w:val="0"/>
        <w:snapToGrid w:val="0"/>
        <w:spacing w:line="560" w:lineRule="exact"/>
        <w:ind w:firstLine="640" w:firstLineChars="200"/>
        <w:rPr>
          <w:rFonts w:hint="eastAsia" w:ascii="仿宋_GB2312" w:hAnsi="仿宋_GB2312" w:eastAsia="仿宋_GB2312" w:cs="仿宋_GB2312"/>
          <w:bCs/>
          <w:sz w:val="32"/>
          <w:szCs w:val="32"/>
          <w:lang w:val="en-US" w:eastAsia="zh-CN"/>
        </w:rPr>
      </w:pPr>
      <w:r>
        <w:rPr>
          <w:rFonts w:hint="eastAsia" w:ascii="仿宋_GB2312" w:hAnsi="仿宋_GB2312" w:eastAsia="仿宋_GB2312" w:cs="仿宋_GB2312"/>
          <w:bCs/>
          <w:sz w:val="32"/>
          <w:szCs w:val="32"/>
          <w:lang w:val="en-US" w:eastAsia="zh-CN"/>
        </w:rPr>
        <w:t>2. 公路水路运输（款）水路运输管理支出（项）：反映水路运输管理方面支出。</w:t>
      </w:r>
    </w:p>
    <w:p w14:paraId="6338F706">
      <w:pPr>
        <w:pStyle w:val="3"/>
        <w:adjustRightInd w:val="0"/>
        <w:snapToGrid w:val="0"/>
        <w:spacing w:line="560" w:lineRule="exact"/>
        <w:ind w:firstLine="640" w:firstLineChars="200"/>
        <w:rPr>
          <w:rFonts w:hint="eastAsia" w:ascii="仿宋_GB2312" w:hAnsi="仿宋_GB2312" w:eastAsia="仿宋_GB2312" w:cs="仿宋_GB2312"/>
          <w:bCs/>
          <w:sz w:val="32"/>
          <w:szCs w:val="32"/>
          <w:lang w:val="en-US" w:eastAsia="zh-CN"/>
        </w:rPr>
      </w:pPr>
      <w:r>
        <w:rPr>
          <w:rFonts w:hint="eastAsia" w:ascii="仿宋_GB2312" w:hAnsi="仿宋_GB2312" w:eastAsia="仿宋_GB2312" w:cs="仿宋_GB2312"/>
          <w:bCs/>
          <w:sz w:val="32"/>
          <w:szCs w:val="32"/>
          <w:lang w:val="en-US" w:eastAsia="zh-CN"/>
        </w:rPr>
        <w:t>3.公路水路运输（款）其他公路水路运输支出（项）：指除上述项目之外的用于其他公路水路运输事务的支出。</w:t>
      </w:r>
    </w:p>
    <w:p w14:paraId="791E41C8">
      <w:pPr>
        <w:pStyle w:val="3"/>
        <w:adjustRightInd w:val="0"/>
        <w:snapToGrid w:val="0"/>
        <w:spacing w:line="560" w:lineRule="exact"/>
        <w:ind w:firstLine="640" w:firstLineChars="200"/>
        <w:rPr>
          <w:rFonts w:hint="eastAsia" w:ascii="仿宋_GB2312" w:hAnsi="仿宋_GB2312" w:eastAsia="仿宋_GB2312" w:cs="仿宋_GB2312"/>
          <w:bCs/>
          <w:sz w:val="32"/>
          <w:szCs w:val="32"/>
          <w:lang w:val="en-US" w:eastAsia="zh-CN"/>
        </w:rPr>
      </w:pPr>
      <w:r>
        <w:rPr>
          <w:rFonts w:hint="eastAsia" w:ascii="仿宋_GB2312" w:hAnsi="仿宋_GB2312" w:eastAsia="仿宋_GB2312" w:cs="仿宋_GB2312"/>
          <w:bCs/>
          <w:sz w:val="32"/>
          <w:szCs w:val="32"/>
          <w:lang w:val="en-US" w:eastAsia="zh-CN"/>
        </w:rPr>
        <w:t>（四）交通运输（类）车辆购置税支出（款）车辆购置税用于公路等基础设施建设支出（项）：指车辆购置税安排用于公路等基础设施管理等项目支出。</w:t>
      </w:r>
    </w:p>
    <w:p w14:paraId="680877A5">
      <w:pPr>
        <w:pStyle w:val="3"/>
        <w:adjustRightInd w:val="0"/>
        <w:snapToGrid w:val="0"/>
        <w:spacing w:line="560" w:lineRule="exact"/>
        <w:ind w:firstLine="640" w:firstLineChars="200"/>
        <w:rPr>
          <w:rFonts w:hint="eastAsia" w:ascii="仿宋_GB2312" w:hAnsi="仿宋_GB2312" w:eastAsia="仿宋_GB2312" w:cs="仿宋_GB2312"/>
          <w:bCs/>
          <w:sz w:val="32"/>
          <w:szCs w:val="32"/>
          <w:lang w:val="en-US" w:eastAsia="zh-CN"/>
        </w:rPr>
      </w:pPr>
      <w:r>
        <w:rPr>
          <w:rFonts w:hint="eastAsia" w:ascii="仿宋_GB2312" w:hAnsi="仿宋_GB2312" w:eastAsia="仿宋_GB2312" w:cs="仿宋_GB2312"/>
          <w:bCs/>
          <w:sz w:val="32"/>
          <w:szCs w:val="32"/>
          <w:lang w:val="en-US" w:eastAsia="zh-CN"/>
        </w:rPr>
        <w:t>（五）交通运输（类）车辆购置税支出（款）其他交通运输支出（项）：指车辆购置税安排的其他项目支出。</w:t>
      </w:r>
    </w:p>
    <w:p w14:paraId="0F650D50">
      <w:pPr>
        <w:pStyle w:val="3"/>
        <w:adjustRightInd w:val="0"/>
        <w:snapToGrid w:val="0"/>
        <w:spacing w:line="560" w:lineRule="exact"/>
        <w:ind w:firstLine="640" w:firstLineChars="200"/>
        <w:rPr>
          <w:rFonts w:hint="eastAsia" w:ascii="仿宋_GB2312" w:hAnsi="仿宋_GB2312" w:eastAsia="仿宋_GB2312" w:cs="仿宋_GB2312"/>
          <w:bCs/>
          <w:sz w:val="32"/>
          <w:szCs w:val="32"/>
          <w:lang w:val="en-US" w:eastAsia="zh-CN"/>
        </w:rPr>
      </w:pPr>
      <w:r>
        <w:rPr>
          <w:rFonts w:hint="eastAsia" w:ascii="仿宋_GB2312" w:hAnsi="仿宋_GB2312" w:eastAsia="仿宋_GB2312" w:cs="仿宋_GB2312"/>
          <w:bCs/>
          <w:sz w:val="32"/>
          <w:szCs w:val="32"/>
          <w:lang w:val="en-US" w:eastAsia="zh-CN"/>
        </w:rPr>
        <w:t>（六）住房保障支出（类）住房改革支出（款）住房公积金（项）：主要是按照国家统一规定，为交通运输厅机关和厅属事业单位职工计缴的住房公积金。</w:t>
      </w:r>
    </w:p>
    <w:p w14:paraId="135B88D4">
      <w:pPr>
        <w:pStyle w:val="3"/>
        <w:adjustRightInd w:val="0"/>
        <w:snapToGrid w:val="0"/>
        <w:spacing w:line="560" w:lineRule="exact"/>
        <w:ind w:firstLine="640" w:firstLineChars="200"/>
        <w:rPr>
          <w:rFonts w:hint="eastAsia" w:ascii="仿宋_GB2312" w:hAnsi="仿宋_GB2312" w:eastAsia="仿宋_GB2312" w:cs="仿宋_GB2312"/>
          <w:bCs/>
          <w:sz w:val="32"/>
          <w:szCs w:val="32"/>
          <w:lang w:val="en-US" w:eastAsia="zh-CN"/>
        </w:rPr>
      </w:pPr>
      <w:r>
        <w:rPr>
          <w:rFonts w:hint="eastAsia" w:ascii="仿宋_GB2312" w:hAnsi="仿宋_GB2312" w:eastAsia="仿宋_GB2312" w:cs="仿宋_GB2312"/>
          <w:bCs/>
          <w:sz w:val="32"/>
          <w:szCs w:val="32"/>
          <w:lang w:val="en-US" w:eastAsia="zh-CN"/>
        </w:rPr>
        <w:t>（七）“三公”经费：纳入自治区财政预决算管理的“三公”经费，是指自治区本级各部门用财政拨款安排的因公出国（境）费、公务用车购置及运行费和公务接待费。其中，因公出国（境）费反映单位公务出国（境）的国际旅费、国外城市间交通费、住宿费、伙食费、培训费、公杂费等支出；公务用车购置及运行费反映单位公务用车车辆购置支出（含车辆购置税）及租用费、燃料费、维修费、过路过桥费、保险费、安全奖励费用等支出；公务接待费反映单位按规定开支的各类公务接待（含外宾接待）支出。</w:t>
      </w:r>
    </w:p>
    <w:p w14:paraId="4B9EFB18">
      <w:pPr>
        <w:pStyle w:val="3"/>
        <w:adjustRightInd w:val="0"/>
        <w:snapToGrid w:val="0"/>
        <w:spacing w:line="560" w:lineRule="exact"/>
        <w:ind w:firstLine="640" w:firstLineChars="200"/>
        <w:rPr>
          <w:rFonts w:hint="eastAsia" w:ascii="仿宋_GB2312" w:hAnsi="仿宋_GB2312" w:eastAsia="仿宋_GB2312" w:cs="仿宋_GB2312"/>
          <w:bCs/>
          <w:sz w:val="32"/>
          <w:szCs w:val="32"/>
          <w:lang w:val="en-US" w:eastAsia="zh-CN"/>
        </w:rPr>
      </w:pPr>
      <w:r>
        <w:rPr>
          <w:rFonts w:hint="eastAsia" w:ascii="仿宋_GB2312" w:hAnsi="仿宋_GB2312" w:eastAsia="仿宋_GB2312" w:cs="仿宋_GB2312"/>
          <w:bCs/>
          <w:sz w:val="32"/>
          <w:szCs w:val="32"/>
          <w:lang w:val="en-US" w:eastAsia="zh-CN"/>
        </w:rPr>
        <w:t>（八） 事业单位相关运行经费：为保障单位运行用于购买货物和服务的各项资金，包括办公及印刷费、邮电费、差旅费、会议费、福利费、日常维修费、专用材料及一般设备购置费、办公用房水电费、办公用房取暖费、办公用房物业管理费、公务用车运行维护费以及其他费用。</w:t>
      </w:r>
    </w:p>
    <w:p w14:paraId="6BE3DC95">
      <w:pPr>
        <w:pStyle w:val="3"/>
        <w:adjustRightInd w:val="0"/>
        <w:snapToGrid w:val="0"/>
        <w:spacing w:line="560" w:lineRule="exact"/>
        <w:ind w:firstLine="640" w:firstLineChars="200"/>
        <w:rPr>
          <w:rFonts w:hint="eastAsia" w:ascii="仿宋_GB2312" w:hAnsi="仿宋_GB2312" w:eastAsia="仿宋_GB2312" w:cs="仿宋_GB2312"/>
          <w:bCs/>
          <w:sz w:val="32"/>
          <w:szCs w:val="32"/>
          <w:lang w:val="en-US" w:eastAsia="zh-CN"/>
        </w:rPr>
      </w:pPr>
      <w:r>
        <w:rPr>
          <w:rFonts w:hint="eastAsia" w:ascii="仿宋_GB2312" w:hAnsi="仿宋_GB2312" w:eastAsia="仿宋_GB2312" w:cs="仿宋_GB2312"/>
          <w:bCs/>
          <w:sz w:val="32"/>
          <w:szCs w:val="32"/>
          <w:lang w:val="en-US" w:eastAsia="zh-CN"/>
        </w:rPr>
        <w:t>（九）基本支出：指为保障机构正常运转、完成日常工作任务而发生的人员支出和公用支出。</w:t>
      </w:r>
    </w:p>
    <w:p w14:paraId="6611D850">
      <w:pPr>
        <w:pStyle w:val="3"/>
        <w:adjustRightInd w:val="0"/>
        <w:snapToGrid w:val="0"/>
        <w:spacing w:line="560" w:lineRule="exact"/>
        <w:ind w:firstLine="640" w:firstLineChars="200"/>
        <w:rPr>
          <w:rFonts w:hint="eastAsia" w:ascii="仿宋_GB2312" w:hAnsi="仿宋_GB2312" w:eastAsia="仿宋_GB2312" w:cs="仿宋_GB2312"/>
          <w:bCs/>
          <w:sz w:val="32"/>
          <w:szCs w:val="32"/>
          <w:lang w:val="en-US" w:eastAsia="zh-CN"/>
        </w:rPr>
      </w:pPr>
      <w:r>
        <w:rPr>
          <w:rFonts w:hint="eastAsia" w:ascii="仿宋_GB2312" w:hAnsi="仿宋_GB2312" w:eastAsia="仿宋_GB2312" w:cs="仿宋_GB2312"/>
          <w:bCs/>
          <w:sz w:val="32"/>
          <w:szCs w:val="32"/>
          <w:lang w:val="en-US" w:eastAsia="zh-CN"/>
        </w:rPr>
        <w:t>（十）项目支出：指在基本支出之外为完成特定行政任务和事业发展目标所发生的支出。</w:t>
      </w:r>
    </w:p>
    <w:p w14:paraId="7A633132">
      <w:pPr>
        <w:tabs>
          <w:tab w:val="center" w:pos="4475"/>
        </w:tabs>
        <w:spacing w:line="560" w:lineRule="exact"/>
        <w:ind w:firstLine="645"/>
        <w:rPr>
          <w:rFonts w:hint="eastAsia" w:ascii="黑体" w:eastAsia="黑体"/>
          <w:szCs w:val="32"/>
        </w:rPr>
      </w:pPr>
      <w:r>
        <w:rPr>
          <w:rFonts w:hint="eastAsia" w:ascii="黑体" w:eastAsia="黑体"/>
          <w:szCs w:val="32"/>
        </w:rPr>
        <w:t>第四部分：</w:t>
      </w:r>
      <w:r>
        <w:rPr>
          <w:rFonts w:hint="eastAsia" w:ascii="黑体" w:eastAsia="黑体"/>
          <w:szCs w:val="32"/>
          <w:lang w:val="en-US" w:eastAsia="zh-CN"/>
        </w:rPr>
        <w:t>广西壮族自治区梧州航道养护中心</w:t>
      </w:r>
      <w:r>
        <w:rPr>
          <w:rFonts w:hint="eastAsia" w:ascii="黑体" w:hAnsi="宋体" w:eastAsia="黑体"/>
          <w:szCs w:val="32"/>
        </w:rPr>
        <w:t>202</w:t>
      </w:r>
      <w:r>
        <w:rPr>
          <w:rFonts w:hint="eastAsia" w:ascii="黑体" w:hAnsi="宋体" w:eastAsia="黑体"/>
          <w:szCs w:val="32"/>
          <w:lang w:val="en-US" w:eastAsia="zh-CN"/>
        </w:rPr>
        <w:t>5</w:t>
      </w:r>
      <w:r>
        <w:rPr>
          <w:rFonts w:hint="eastAsia" w:ascii="黑体" w:hAnsi="宋体" w:eastAsia="黑体"/>
          <w:szCs w:val="32"/>
        </w:rPr>
        <w:t>年</w:t>
      </w:r>
      <w:r>
        <w:rPr>
          <w:rFonts w:hint="eastAsia" w:ascii="黑体" w:hAnsi="宋体" w:eastAsia="黑体"/>
          <w:szCs w:val="32"/>
          <w:lang w:val="en-US" w:eastAsia="zh-CN"/>
        </w:rPr>
        <w:t>单位</w:t>
      </w:r>
      <w:r>
        <w:rPr>
          <w:rFonts w:hint="eastAsia" w:ascii="黑体" w:eastAsia="黑体"/>
          <w:szCs w:val="32"/>
        </w:rPr>
        <w:t>预算公开报表</w:t>
      </w:r>
    </w:p>
    <w:p w14:paraId="0EAF02E4">
      <w:pPr>
        <w:pStyle w:val="3"/>
        <w:adjustRightInd w:val="0"/>
        <w:snapToGrid w:val="0"/>
        <w:spacing w:line="560" w:lineRule="exact"/>
        <w:ind w:firstLine="640" w:firstLineChars="200"/>
        <w:rPr>
          <w:rFonts w:hint="eastAsia" w:ascii="仿宋_GB2312" w:hAnsi="仿宋_GB2312" w:eastAsia="仿宋_GB2312" w:cs="仿宋_GB2312"/>
          <w:bCs/>
          <w:sz w:val="32"/>
          <w:szCs w:val="32"/>
          <w:lang w:val="en-US" w:eastAsia="zh-CN"/>
        </w:rPr>
      </w:pPr>
      <w:r>
        <w:rPr>
          <w:rFonts w:hint="eastAsia" w:ascii="仿宋_GB2312" w:hAnsi="仿宋_GB2312" w:eastAsia="仿宋_GB2312" w:cs="仿宋_GB2312"/>
          <w:bCs/>
          <w:sz w:val="32"/>
          <w:szCs w:val="32"/>
          <w:lang w:val="en-US" w:eastAsia="zh-CN"/>
        </w:rPr>
        <w:t>一、单位收支总体情况表（预算公开01表）</w:t>
      </w:r>
    </w:p>
    <w:p w14:paraId="0AD893D0">
      <w:pPr>
        <w:pStyle w:val="3"/>
        <w:adjustRightInd w:val="0"/>
        <w:snapToGrid w:val="0"/>
        <w:spacing w:line="560" w:lineRule="exact"/>
        <w:ind w:firstLine="640" w:firstLineChars="200"/>
        <w:rPr>
          <w:rFonts w:hint="eastAsia" w:ascii="仿宋_GB2312" w:hAnsi="仿宋_GB2312" w:eastAsia="仿宋_GB2312" w:cs="仿宋_GB2312"/>
          <w:bCs/>
          <w:sz w:val="32"/>
          <w:szCs w:val="32"/>
          <w:lang w:val="en-US" w:eastAsia="zh-CN"/>
        </w:rPr>
      </w:pPr>
      <w:r>
        <w:rPr>
          <w:rFonts w:hint="eastAsia" w:ascii="仿宋_GB2312" w:hAnsi="仿宋_GB2312" w:eastAsia="仿宋_GB2312" w:cs="仿宋_GB2312"/>
          <w:bCs/>
          <w:sz w:val="32"/>
          <w:szCs w:val="32"/>
          <w:lang w:val="en-US" w:eastAsia="zh-CN"/>
        </w:rPr>
        <w:t>二、单位收入总体情况表（预算公开02表）</w:t>
      </w:r>
    </w:p>
    <w:p w14:paraId="6B82F484">
      <w:pPr>
        <w:pStyle w:val="3"/>
        <w:adjustRightInd w:val="0"/>
        <w:snapToGrid w:val="0"/>
        <w:spacing w:line="560" w:lineRule="exact"/>
        <w:ind w:firstLine="640" w:firstLineChars="200"/>
        <w:rPr>
          <w:rFonts w:hint="eastAsia" w:ascii="仿宋_GB2312" w:hAnsi="仿宋_GB2312" w:eastAsia="仿宋_GB2312" w:cs="仿宋_GB2312"/>
          <w:bCs/>
          <w:sz w:val="32"/>
          <w:szCs w:val="32"/>
          <w:lang w:val="en-US" w:eastAsia="zh-CN"/>
        </w:rPr>
      </w:pPr>
      <w:r>
        <w:rPr>
          <w:rFonts w:hint="eastAsia" w:ascii="仿宋_GB2312" w:hAnsi="仿宋_GB2312" w:eastAsia="仿宋_GB2312" w:cs="仿宋_GB2312"/>
          <w:bCs/>
          <w:sz w:val="32"/>
          <w:szCs w:val="32"/>
          <w:lang w:val="en-US" w:eastAsia="zh-CN"/>
        </w:rPr>
        <w:t>三、单位支出总体情况表（预算公开03表）</w:t>
      </w:r>
    </w:p>
    <w:p w14:paraId="7C663752">
      <w:pPr>
        <w:pStyle w:val="3"/>
        <w:adjustRightInd w:val="0"/>
        <w:snapToGrid w:val="0"/>
        <w:spacing w:line="560" w:lineRule="exact"/>
        <w:ind w:firstLine="640" w:firstLineChars="200"/>
        <w:rPr>
          <w:rFonts w:hint="eastAsia" w:ascii="仿宋_GB2312" w:hAnsi="仿宋_GB2312" w:eastAsia="仿宋_GB2312" w:cs="仿宋_GB2312"/>
          <w:bCs/>
          <w:sz w:val="32"/>
          <w:szCs w:val="32"/>
          <w:lang w:val="en-US" w:eastAsia="zh-CN"/>
        </w:rPr>
      </w:pPr>
      <w:r>
        <w:rPr>
          <w:rFonts w:hint="eastAsia" w:ascii="仿宋_GB2312" w:hAnsi="仿宋_GB2312" w:eastAsia="仿宋_GB2312" w:cs="仿宋_GB2312"/>
          <w:bCs/>
          <w:sz w:val="32"/>
          <w:szCs w:val="32"/>
          <w:lang w:val="en-US" w:eastAsia="zh-CN"/>
        </w:rPr>
        <w:t>四、财政拨款收支总体情况表（预算公开04表）</w:t>
      </w:r>
    </w:p>
    <w:p w14:paraId="650B901F">
      <w:pPr>
        <w:pStyle w:val="3"/>
        <w:adjustRightInd w:val="0"/>
        <w:snapToGrid w:val="0"/>
        <w:spacing w:line="560" w:lineRule="exact"/>
        <w:ind w:firstLine="640" w:firstLineChars="200"/>
        <w:rPr>
          <w:rFonts w:hint="eastAsia" w:ascii="仿宋_GB2312" w:hAnsi="仿宋_GB2312" w:eastAsia="仿宋_GB2312" w:cs="仿宋_GB2312"/>
          <w:bCs/>
          <w:sz w:val="32"/>
          <w:szCs w:val="32"/>
          <w:lang w:val="en-US" w:eastAsia="zh-CN"/>
        </w:rPr>
      </w:pPr>
      <w:r>
        <w:rPr>
          <w:rFonts w:hint="eastAsia" w:ascii="仿宋_GB2312" w:hAnsi="仿宋_GB2312" w:eastAsia="仿宋_GB2312" w:cs="仿宋_GB2312"/>
          <w:bCs/>
          <w:sz w:val="32"/>
          <w:szCs w:val="32"/>
          <w:lang w:val="en-US" w:eastAsia="zh-CN"/>
        </w:rPr>
        <w:t>五、一般公共预算支出情况表（预算公开05表）</w:t>
      </w:r>
    </w:p>
    <w:p w14:paraId="0C316777">
      <w:pPr>
        <w:pStyle w:val="3"/>
        <w:adjustRightInd w:val="0"/>
        <w:snapToGrid w:val="0"/>
        <w:spacing w:line="560" w:lineRule="exact"/>
        <w:ind w:firstLine="640" w:firstLineChars="200"/>
        <w:rPr>
          <w:rFonts w:hint="eastAsia" w:ascii="仿宋_GB2312" w:hAnsi="仿宋_GB2312" w:eastAsia="仿宋_GB2312" w:cs="仿宋_GB2312"/>
          <w:bCs/>
          <w:sz w:val="32"/>
          <w:szCs w:val="32"/>
          <w:lang w:val="en-US" w:eastAsia="zh-CN"/>
        </w:rPr>
      </w:pPr>
      <w:r>
        <w:rPr>
          <w:rFonts w:hint="eastAsia" w:ascii="仿宋_GB2312" w:hAnsi="仿宋_GB2312" w:eastAsia="仿宋_GB2312" w:cs="仿宋_GB2312"/>
          <w:bCs/>
          <w:sz w:val="32"/>
          <w:szCs w:val="32"/>
          <w:lang w:val="en-US" w:eastAsia="zh-CN"/>
        </w:rPr>
        <w:t>六、一般公共预算基本支出情况表（预算公开06表）</w:t>
      </w:r>
    </w:p>
    <w:p w14:paraId="5CFE108D">
      <w:pPr>
        <w:pStyle w:val="3"/>
        <w:adjustRightInd w:val="0"/>
        <w:snapToGrid w:val="0"/>
        <w:spacing w:line="560" w:lineRule="exact"/>
        <w:ind w:firstLine="640" w:firstLineChars="200"/>
        <w:rPr>
          <w:rFonts w:hint="eastAsia" w:ascii="仿宋_GB2312" w:hAnsi="仿宋_GB2312" w:eastAsia="仿宋_GB2312" w:cs="仿宋_GB2312"/>
          <w:bCs/>
          <w:sz w:val="32"/>
          <w:szCs w:val="32"/>
          <w:lang w:val="en-US" w:eastAsia="zh-CN"/>
        </w:rPr>
      </w:pPr>
      <w:r>
        <w:rPr>
          <w:rFonts w:hint="eastAsia" w:ascii="仿宋_GB2312" w:hAnsi="仿宋_GB2312" w:eastAsia="仿宋_GB2312" w:cs="仿宋_GB2312"/>
          <w:bCs/>
          <w:sz w:val="32"/>
          <w:szCs w:val="32"/>
          <w:lang w:val="en-US" w:eastAsia="zh-CN"/>
        </w:rPr>
        <w:t>七、财政拨款“三公”经费、会议费和培训费支出情况表（预算公开07表）</w:t>
      </w:r>
    </w:p>
    <w:p w14:paraId="54676792">
      <w:pPr>
        <w:pStyle w:val="3"/>
        <w:adjustRightInd w:val="0"/>
        <w:snapToGrid w:val="0"/>
        <w:spacing w:line="560" w:lineRule="exact"/>
        <w:ind w:firstLine="640" w:firstLineChars="200"/>
        <w:rPr>
          <w:rFonts w:hint="eastAsia" w:ascii="仿宋_GB2312" w:hAnsi="仿宋_GB2312" w:eastAsia="仿宋_GB2312" w:cs="仿宋_GB2312"/>
          <w:bCs/>
          <w:sz w:val="32"/>
          <w:szCs w:val="32"/>
          <w:lang w:val="en-US" w:eastAsia="zh-CN"/>
        </w:rPr>
      </w:pPr>
      <w:r>
        <w:rPr>
          <w:rFonts w:hint="eastAsia" w:ascii="仿宋_GB2312" w:hAnsi="仿宋_GB2312" w:eastAsia="仿宋_GB2312" w:cs="仿宋_GB2312"/>
          <w:bCs/>
          <w:sz w:val="32"/>
          <w:szCs w:val="32"/>
          <w:lang w:val="en-US" w:eastAsia="zh-CN"/>
        </w:rPr>
        <w:t>八、政府性基金预算支出表（预算公开08表）</w:t>
      </w:r>
    </w:p>
    <w:p w14:paraId="33B51584">
      <w:pPr>
        <w:pStyle w:val="3"/>
        <w:adjustRightInd w:val="0"/>
        <w:snapToGrid w:val="0"/>
        <w:spacing w:line="560" w:lineRule="exact"/>
        <w:ind w:firstLine="640" w:firstLineChars="200"/>
        <w:rPr>
          <w:rFonts w:hint="eastAsia" w:ascii="仿宋_GB2312" w:hAnsi="仿宋_GB2312" w:eastAsia="仿宋_GB2312" w:cs="仿宋_GB2312"/>
          <w:bCs/>
          <w:sz w:val="32"/>
          <w:szCs w:val="32"/>
          <w:lang w:val="en-US" w:eastAsia="zh-CN"/>
        </w:rPr>
      </w:pPr>
      <w:r>
        <w:rPr>
          <w:rFonts w:hint="eastAsia" w:ascii="仿宋_GB2312" w:hAnsi="仿宋_GB2312" w:eastAsia="仿宋_GB2312" w:cs="仿宋_GB2312"/>
          <w:bCs/>
          <w:sz w:val="32"/>
          <w:szCs w:val="32"/>
          <w:lang w:val="en-US" w:eastAsia="zh-CN"/>
        </w:rPr>
        <w:t>九、国有资本经营预算支出情况表（预算公开09表）</w:t>
      </w:r>
    </w:p>
    <w:p w14:paraId="4230D9D0">
      <w:pPr>
        <w:pStyle w:val="3"/>
        <w:adjustRightInd w:val="0"/>
        <w:snapToGrid w:val="0"/>
        <w:spacing w:line="560" w:lineRule="exact"/>
        <w:ind w:firstLine="640" w:firstLineChars="200"/>
        <w:rPr>
          <w:rFonts w:hint="eastAsia" w:ascii="仿宋_GB2312" w:hAnsi="仿宋_GB2312" w:eastAsia="仿宋_GB2312" w:cs="仿宋_GB2312"/>
          <w:bCs/>
          <w:sz w:val="32"/>
          <w:szCs w:val="32"/>
          <w:lang w:val="en-US" w:eastAsia="zh-CN"/>
        </w:rPr>
      </w:pPr>
      <w:r>
        <w:rPr>
          <w:rFonts w:hint="eastAsia" w:ascii="仿宋_GB2312" w:hAnsi="仿宋_GB2312" w:eastAsia="仿宋_GB2312" w:cs="仿宋_GB2312"/>
          <w:bCs/>
          <w:sz w:val="32"/>
          <w:szCs w:val="32"/>
          <w:lang w:val="en-US" w:eastAsia="zh-CN"/>
        </w:rPr>
        <w:t>十、自治区本级项目绩效目标公开表（预算公开10表）</w:t>
      </w:r>
    </w:p>
    <w:p w14:paraId="38D1C395">
      <w:pPr>
        <w:pStyle w:val="3"/>
        <w:adjustRightInd w:val="0"/>
        <w:snapToGrid w:val="0"/>
        <w:spacing w:line="560" w:lineRule="exact"/>
        <w:ind w:firstLine="640" w:firstLineChars="200"/>
        <w:rPr>
          <w:rFonts w:hint="eastAsia" w:ascii="仿宋_GB2312" w:hAnsi="仿宋_GB2312" w:eastAsia="仿宋_GB2312" w:cs="仿宋_GB2312"/>
          <w:bCs/>
          <w:sz w:val="32"/>
          <w:szCs w:val="32"/>
          <w:lang w:val="en-US" w:eastAsia="zh-CN"/>
        </w:rPr>
      </w:pPr>
      <w:r>
        <w:rPr>
          <w:rFonts w:hint="eastAsia" w:ascii="仿宋_GB2312" w:hAnsi="仿宋_GB2312" w:eastAsia="仿宋_GB2312" w:cs="仿宋_GB2312"/>
          <w:bCs/>
          <w:sz w:val="32"/>
          <w:szCs w:val="32"/>
          <w:lang w:val="en-US" w:eastAsia="zh-CN"/>
        </w:rPr>
        <w:t>十一、自治区对下转移支付项目绩效目标公开表（预算公开11表）</w:t>
      </w:r>
    </w:p>
    <w:p w14:paraId="4539147D">
      <w:pPr>
        <w:pStyle w:val="3"/>
        <w:adjustRightInd w:val="0"/>
        <w:snapToGrid w:val="0"/>
        <w:spacing w:line="560" w:lineRule="exact"/>
        <w:ind w:firstLine="640" w:firstLineChars="200"/>
        <w:rPr>
          <w:rFonts w:hint="eastAsia" w:ascii="仿宋_GB2312" w:hAnsi="仿宋_GB2312" w:eastAsia="仿宋_GB2312" w:cs="仿宋_GB2312"/>
          <w:bCs/>
          <w:sz w:val="32"/>
          <w:szCs w:val="32"/>
          <w:lang w:val="en-US" w:eastAsia="zh-CN"/>
        </w:rPr>
      </w:pPr>
      <w:r>
        <w:rPr>
          <w:rFonts w:hint="eastAsia" w:ascii="仿宋_GB2312" w:hAnsi="仿宋_GB2312" w:eastAsia="仿宋_GB2312" w:cs="仿宋_GB2312"/>
          <w:bCs/>
          <w:sz w:val="32"/>
          <w:szCs w:val="32"/>
          <w:lang w:val="en-US" w:eastAsia="zh-CN"/>
        </w:rPr>
        <w:t>上述报表详见附件。</w:t>
      </w:r>
    </w:p>
    <w:p w14:paraId="652EE092">
      <w:pPr>
        <w:pStyle w:val="3"/>
        <w:adjustRightInd w:val="0"/>
        <w:snapToGrid w:val="0"/>
        <w:spacing w:line="560" w:lineRule="exact"/>
        <w:ind w:firstLine="640" w:firstLineChars="200"/>
        <w:rPr>
          <w:rFonts w:hint="eastAsia" w:ascii="仿宋_GB2312" w:hAnsi="仿宋_GB2312" w:eastAsia="仿宋_GB2312" w:cs="仿宋_GB2312"/>
          <w:bCs/>
          <w:sz w:val="32"/>
          <w:szCs w:val="32"/>
          <w:lang w:val="en-US" w:eastAsia="zh-CN"/>
        </w:rPr>
      </w:pPr>
    </w:p>
    <w:p w14:paraId="1451A7D5"/>
    <w:sectPr>
      <w:footerReference r:id="rId3" w:type="default"/>
      <w:pgSz w:w="11906" w:h="16838"/>
      <w:pgMar w:top="1440" w:right="1746" w:bottom="1440" w:left="1746" w:header="851" w:footer="992" w:gutter="0"/>
      <w:pgNumType w:fmt="decimal"/>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8"/>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embedRegular r:id="rId1" w:fontKey="{EFEE3342-9EB5-4C96-9F45-23AA2549C664}"/>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方正小标宋_GBK">
    <w:panose1 w:val="03000509000000000000"/>
    <w:charset w:val="86"/>
    <w:family w:val="script"/>
    <w:pitch w:val="default"/>
    <w:sig w:usb0="00000001" w:usb1="080E0000" w:usb2="00000000" w:usb3="00000000" w:csb0="00040000" w:csb1="00000000"/>
  </w:font>
  <w:font w:name="仿宋_GB2312">
    <w:panose1 w:val="02010609030101010101"/>
    <w:charset w:val="86"/>
    <w:family w:val="auto"/>
    <w:pitch w:val="default"/>
    <w:sig w:usb0="00000001" w:usb1="080E0000" w:usb2="00000000" w:usb3="00000000" w:csb0="00040000" w:csb1="00000000"/>
    <w:embedRegular r:id="rId2" w:fontKey="{50A63231-6DAD-487B-AF99-C96E60F14192}"/>
  </w:font>
  <w:font w:name="仿宋">
    <w:panose1 w:val="02010609060101010101"/>
    <w:charset w:val="86"/>
    <w:family w:val="auto"/>
    <w:pitch w:val="default"/>
    <w:sig w:usb0="800002BF" w:usb1="38CF7CFA" w:usb2="00000016" w:usb3="00000000" w:csb0="00040001" w:csb1="00000000"/>
    <w:embedRegular r:id="rId3" w:fontKey="{61B4B997-ACBF-47DE-901D-F3C26A3B88A1}"/>
  </w:font>
  <w:font w:name="楷体_GB2312">
    <w:panose1 w:val="02010609030101010101"/>
    <w:charset w:val="86"/>
    <w:family w:val="auto"/>
    <w:pitch w:val="default"/>
    <w:sig w:usb0="00000001" w:usb1="080E0000" w:usb2="00000000" w:usb3="00000000" w:csb0="00040000" w:csb1="00000000"/>
    <w:embedRegular r:id="rId4" w:fontKey="{2B4626E9-4FEE-4A17-84C7-B5C29F5D2ED3}"/>
  </w:font>
  <w:font w:name="微软雅黑">
    <w:panose1 w:val="020B0503020204020204"/>
    <w:charset w:val="86"/>
    <w:family w:val="auto"/>
    <w:pitch w:val="default"/>
    <w:sig w:usb0="80000287" w:usb1="2ACF3C50" w:usb2="00000016" w:usb3="00000000" w:csb0="0004001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17E72495">
    <w:pPr>
      <w:pStyle w:val="4"/>
    </w:pPr>
    <w:r>
      <w:rPr>
        <w:sz w:val="18"/>
      </w:rPr>
      <mc:AlternateContent>
        <mc:Choice Requires="wps">
          <w:drawing>
            <wp:anchor distT="0" distB="0" distL="114300" distR="114300" simplePos="0" relativeHeight="251659264" behindDoc="0" locked="0" layoutInCell="1" allowOverlap="1">
              <wp:simplePos x="0" y="0"/>
              <wp:positionH relativeFrom="margin">
                <wp:align>center</wp:align>
              </wp:positionH>
              <wp:positionV relativeFrom="paragraph">
                <wp:posOffset>0</wp:posOffset>
              </wp:positionV>
              <wp:extent cx="1828800" cy="1828800"/>
              <wp:effectExtent l="0" t="0" r="0" b="0"/>
              <wp:wrapNone/>
              <wp:docPr id="2" name="文本框 2"/>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w="6350">
                        <a:noFill/>
                      </a:ln>
                    </wps:spPr>
                    <wps:style>
                      <a:lnRef idx="0">
                        <a:schemeClr val="accent1"/>
                      </a:lnRef>
                      <a:fillRef idx="0">
                        <a:schemeClr val="accent1"/>
                      </a:fillRef>
                      <a:effectRef idx="0">
                        <a:schemeClr val="accent1"/>
                      </a:effectRef>
                      <a:fontRef idx="minor">
                        <a:schemeClr val="dk1"/>
                      </a:fontRef>
                    </wps:style>
                    <wps:txbx>
                      <w:txbxContent>
                        <w:p w14:paraId="05BCE4C9">
                          <w:pPr>
                            <w:pStyle w:val="4"/>
                          </w:pPr>
                          <w:r>
                            <w:t xml:space="preserve">— </w:t>
                          </w:r>
                          <w:r>
                            <w:fldChar w:fldCharType="begin"/>
                          </w:r>
                          <w:r>
                            <w:instrText xml:space="preserve"> PAGE  \* MERGEFORMAT </w:instrText>
                          </w:r>
                          <w:r>
                            <w:fldChar w:fldCharType="separate"/>
                          </w:r>
                          <w:r>
                            <w:t>1</w:t>
                          </w:r>
                          <w:r>
                            <w:fldChar w:fldCharType="end"/>
                          </w:r>
                          <w:r>
                            <w:t xml:space="preserve"> —</w:t>
                          </w:r>
                        </w:p>
                      </w:txbxContent>
                    </wps:txbx>
                    <wps:bodyPr rot="0" spcFirstLastPara="0" vertOverflow="overflow" horzOverflow="overflow" vert="horz" wrap="none" lIns="0" tIns="0" rIns="0" bIns="0" numCol="1" spcCol="0" rtlCol="0" fromWordArt="0" anchor="t" anchorCtr="0" forceAA="0" upright="0" compatLnSpc="1">
                      <a:spAutoFit/>
                    </wps:bodyPr>
                  </wps:wsp>
                </a:graphicData>
              </a:graphic>
            </wp:anchor>
          </w:drawing>
        </mc:Choice>
        <mc:Fallback>
          <w:pict>
            <v:shape id="_x0000_s1026" o:spid="_x0000_s1026" o:spt="202" type="#_x0000_t202" style="position:absolute;left:0pt;margin-top:0pt;height:144pt;width:144pt;mso-position-horizontal:center;mso-position-horizontal-relative:margin;mso-wrap-style:none;z-index:251659264;mso-width-relative:page;mso-height-relative:page;" filled="f" stroked="f" coordsize="21600,21600" o:gfxdata="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">
              <v:fill on="f" focussize="0,0"/>
              <v:stroke on="f" weight="0.5pt"/>
              <v:imagedata o:title=""/>
              <o:lock v:ext="edit" aspectratio="f"/>
              <v:textbox inset="0mm,0mm,0mm,0mm" style="mso-fit-shape-to-text:t;">
                <w:txbxContent>
                  <w:p w14:paraId="05BCE4C9">
                    <w:pPr>
                      <w:pStyle w:val="4"/>
                    </w:pPr>
                    <w:r>
                      <w:t xml:space="preserve">— </w:t>
                    </w:r>
                    <w:r>
                      <w:fldChar w:fldCharType="begin"/>
                    </w:r>
                    <w:r>
                      <w:instrText xml:space="preserve"> PAGE  \* MERGEFORMAT </w:instrText>
                    </w:r>
                    <w:r>
                      <w:fldChar w:fldCharType="separate"/>
                    </w:r>
                    <w:r>
                      <w:t>1</w:t>
                    </w:r>
                    <w:r>
                      <w:fldChar w:fldCharType="end"/>
                    </w:r>
                    <w:r>
                      <w:t xml:space="preserve"> —</w:t>
                    </w:r>
                  </w:p>
                </w:txbxContent>
              </v:textbox>
            </v:shape>
          </w:pict>
        </mc:Fallback>
      </mc:AlternateContent>
    </w:r>
  </w:p>
</w:ft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p14">
  <w:abstractNum w:abstractNumId="0">
    <w:nsid w:val="15E8FAAA"/>
    <w:multiLevelType w:val="singleLevel"/>
    <w:tmpl w:val="15E8FAAA"/>
    <w:lvl w:ilvl="0" w:tentative="0">
      <w:start w:val="4"/>
      <w:numFmt w:val="chineseCounting"/>
      <w:suff w:val="nothing"/>
      <w:lvlText w:val="%1、"/>
      <w:lvlJc w:val="left"/>
      <w:rPr>
        <w:rFonts w:hint="eastAsia"/>
      </w:rPr>
    </w:lvl>
  </w:abstractNum>
  <w:num w:numId="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00"/>
  <w:embedTrueTypeFonts/>
  <w:saveSubsetFonts/>
  <w:bordersDoNotSurroundHeader w:val="0"/>
  <w:bordersDoNotSurroundFooter w:val="0"/>
  <w:trackRevisions w:val="1"/>
  <w:documentProtection w:enforcement="0"/>
  <w:defaultTabStop w:val="420"/>
  <w:drawingGridVerticalSpacing w:val="156"/>
  <w:displayHorizontalDrawingGridEvery w:val="1"/>
  <w:displayVerticalDrawingGridEvery w:val="1"/>
  <w:noPunctuationKerning w:val="1"/>
  <w:characterSpacingControl w:val="compressPunctuation"/>
  <w:compat>
    <w:spaceForUL/>
    <w:balanceSingleByteDoubleByteWidth/>
    <w:doNotLeaveBackslashAlone/>
    <w:ulTrailSpace/>
    <w:doNotExpandShiftReturn/>
    <w:adjustLineHeightInTable/>
    <w:doNotWrapTextWithPunct/>
    <w:doNotUseEastAsianBreakRules/>
    <w:useFELayout/>
    <w:doNotUseIndentAsNumberingTabStop/>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65AB17C4"/>
    <w:rsid w:val="004E0863"/>
    <w:rsid w:val="02A36C44"/>
    <w:rsid w:val="03DB240E"/>
    <w:rsid w:val="05601714"/>
    <w:rsid w:val="074B38A9"/>
    <w:rsid w:val="07DC5067"/>
    <w:rsid w:val="08F5187C"/>
    <w:rsid w:val="09095327"/>
    <w:rsid w:val="093403CB"/>
    <w:rsid w:val="098F1CD1"/>
    <w:rsid w:val="0B512FB6"/>
    <w:rsid w:val="0B6902FF"/>
    <w:rsid w:val="0D6402EF"/>
    <w:rsid w:val="0E9D6C3E"/>
    <w:rsid w:val="0FDF3286"/>
    <w:rsid w:val="15894D46"/>
    <w:rsid w:val="1950302C"/>
    <w:rsid w:val="1A752B57"/>
    <w:rsid w:val="1D3A1AFC"/>
    <w:rsid w:val="1DA8115B"/>
    <w:rsid w:val="1EA90CE7"/>
    <w:rsid w:val="21771570"/>
    <w:rsid w:val="21867701"/>
    <w:rsid w:val="22484CBB"/>
    <w:rsid w:val="23FE3883"/>
    <w:rsid w:val="25AC730F"/>
    <w:rsid w:val="25BF76F1"/>
    <w:rsid w:val="26753BA5"/>
    <w:rsid w:val="277B55DB"/>
    <w:rsid w:val="27AE55C0"/>
    <w:rsid w:val="29081B31"/>
    <w:rsid w:val="2A0061A4"/>
    <w:rsid w:val="2A643E95"/>
    <w:rsid w:val="2A64465C"/>
    <w:rsid w:val="2AA35184"/>
    <w:rsid w:val="2D5E1836"/>
    <w:rsid w:val="2E880428"/>
    <w:rsid w:val="2F5F53F2"/>
    <w:rsid w:val="304E16EE"/>
    <w:rsid w:val="307B625B"/>
    <w:rsid w:val="31A8535F"/>
    <w:rsid w:val="37BA58BB"/>
    <w:rsid w:val="392F2F35"/>
    <w:rsid w:val="3AC872A0"/>
    <w:rsid w:val="3ADF03A2"/>
    <w:rsid w:val="3D143247"/>
    <w:rsid w:val="3D56060F"/>
    <w:rsid w:val="3DDD0555"/>
    <w:rsid w:val="3E1F3045"/>
    <w:rsid w:val="3EA42E21"/>
    <w:rsid w:val="3F7D78FA"/>
    <w:rsid w:val="40856402"/>
    <w:rsid w:val="40F260C6"/>
    <w:rsid w:val="429A7F54"/>
    <w:rsid w:val="439671DC"/>
    <w:rsid w:val="43D23F8D"/>
    <w:rsid w:val="43DE6DD5"/>
    <w:rsid w:val="4433352C"/>
    <w:rsid w:val="44957494"/>
    <w:rsid w:val="449C4CC6"/>
    <w:rsid w:val="44CC6C2E"/>
    <w:rsid w:val="49B2660D"/>
    <w:rsid w:val="4AD8457E"/>
    <w:rsid w:val="4C9D782D"/>
    <w:rsid w:val="4E8C3C49"/>
    <w:rsid w:val="4F043B94"/>
    <w:rsid w:val="505326A7"/>
    <w:rsid w:val="5176689F"/>
    <w:rsid w:val="52AD5985"/>
    <w:rsid w:val="52D4339D"/>
    <w:rsid w:val="53621857"/>
    <w:rsid w:val="547414FE"/>
    <w:rsid w:val="607B7A2E"/>
    <w:rsid w:val="61B90A39"/>
    <w:rsid w:val="65AB17C4"/>
    <w:rsid w:val="66DD4BFF"/>
    <w:rsid w:val="679118E5"/>
    <w:rsid w:val="69C53AC8"/>
    <w:rsid w:val="6A503CD9"/>
    <w:rsid w:val="6C111E44"/>
    <w:rsid w:val="6C773CD1"/>
    <w:rsid w:val="6E9A5523"/>
    <w:rsid w:val="6EC151A6"/>
    <w:rsid w:val="6EE13152"/>
    <w:rsid w:val="6F1E43A6"/>
    <w:rsid w:val="6FCD69DC"/>
    <w:rsid w:val="704020FA"/>
    <w:rsid w:val="70C25205"/>
    <w:rsid w:val="72E43211"/>
    <w:rsid w:val="74A1545B"/>
    <w:rsid w:val="775546DD"/>
    <w:rsid w:val="78743289"/>
    <w:rsid w:val="7B9D2AF7"/>
    <w:rsid w:val="7CC06A9D"/>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qFormat="1" w:unhideWhenUsed="0" w:uiPriority="0" w:semiHidden="0" w:name="header"/>
    <w:lsdException w:qFormat="1"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qFormat="1"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nhideWhenUsed="0" w:uiPriority="0"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qFormat="1"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qFormat="1"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qFormat="1"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next w:val="2"/>
    <w:qFormat/>
    <w:uiPriority w:val="0"/>
    <w:pPr>
      <w:widowControl w:val="0"/>
      <w:jc w:val="both"/>
    </w:pPr>
    <w:rPr>
      <w:rFonts w:ascii="Times New Roman" w:hAnsi="Times New Roman" w:eastAsia="仿宋_GB2312" w:cs="Times New Roman"/>
      <w:kern w:val="2"/>
      <w:sz w:val="32"/>
      <w:szCs w:val="24"/>
      <w:lang w:val="en-US" w:eastAsia="zh-CN" w:bidi="ar-SA"/>
    </w:rPr>
  </w:style>
  <w:style w:type="character" w:default="1" w:styleId="8">
    <w:name w:val="Default Paragraph Font"/>
    <w:semiHidden/>
    <w:qFormat/>
    <w:uiPriority w:val="0"/>
  </w:style>
  <w:style w:type="table" w:default="1" w:styleId="6">
    <w:name w:val="Normal Table"/>
    <w:semiHidden/>
    <w:qFormat/>
    <w:uiPriority w:val="0"/>
    <w:tblPr>
      <w:tblCellMar>
        <w:top w:w="0" w:type="dxa"/>
        <w:left w:w="108" w:type="dxa"/>
        <w:bottom w:w="0" w:type="dxa"/>
        <w:right w:w="108" w:type="dxa"/>
      </w:tblCellMar>
    </w:tblPr>
  </w:style>
  <w:style w:type="paragraph" w:styleId="2">
    <w:name w:val="Block Text"/>
    <w:basedOn w:val="1"/>
    <w:qFormat/>
    <w:uiPriority w:val="0"/>
    <w:pPr>
      <w:spacing w:before="100" w:beforeAutospacing="1" w:after="100" w:afterAutospacing="1"/>
      <w:ind w:left="-2" w:leftChars="-1" w:right="26"/>
    </w:pPr>
    <w:rPr>
      <w:rFonts w:ascii="Arial" w:hAnsi="Arial" w:cs="Arial"/>
      <w:color w:val="000000"/>
      <w:szCs w:val="18"/>
    </w:rPr>
  </w:style>
  <w:style w:type="paragraph" w:styleId="3">
    <w:name w:val="Plain Text"/>
    <w:basedOn w:val="1"/>
    <w:qFormat/>
    <w:uiPriority w:val="0"/>
    <w:rPr>
      <w:rFonts w:ascii="宋体" w:hAnsi="Courier New" w:cs="Courier New"/>
      <w:szCs w:val="21"/>
    </w:rPr>
  </w:style>
  <w:style w:type="paragraph" w:styleId="4">
    <w:name w:val="footer"/>
    <w:basedOn w:val="1"/>
    <w:qFormat/>
    <w:uiPriority w:val="0"/>
    <w:pPr>
      <w:tabs>
        <w:tab w:val="center" w:pos="4153"/>
        <w:tab w:val="right" w:pos="8306"/>
      </w:tabs>
      <w:snapToGrid w:val="0"/>
      <w:jc w:val="left"/>
    </w:pPr>
    <w:rPr>
      <w:rFonts w:eastAsia="宋体"/>
      <w:sz w:val="30"/>
      <w:szCs w:val="18"/>
    </w:rPr>
  </w:style>
  <w:style w:type="paragraph" w:styleId="5">
    <w:name w:val="header"/>
    <w:basedOn w:val="1"/>
    <w:qFormat/>
    <w:uiPriority w:val="0"/>
    <w:pPr>
      <w:pBdr>
        <w:bottom w:val="single" w:color="auto" w:sz="6" w:space="1"/>
      </w:pBdr>
      <w:tabs>
        <w:tab w:val="center" w:pos="4153"/>
        <w:tab w:val="right" w:pos="8306"/>
      </w:tabs>
      <w:snapToGrid w:val="0"/>
      <w:jc w:val="center"/>
    </w:pPr>
    <w:rPr>
      <w:sz w:val="18"/>
      <w:szCs w:val="18"/>
    </w:rPr>
  </w:style>
  <w:style w:type="table" w:styleId="7">
    <w:name w:val="Table Grid"/>
    <w:basedOn w:val="6"/>
    <w:qFormat/>
    <w:uiPriority w:val="0"/>
    <w:pPr>
      <w:widowControl w:val="0"/>
      <w:jc w:val="both"/>
    </w:pPr>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
  </w:style>
  <w:style w:type="character" w:styleId="9">
    <w:name w:val="page number"/>
    <w:qFormat/>
    <w:uiPriority w:val="0"/>
    <w:rPr>
      <w:rFonts w:ascii="Times New Roman" w:hAnsi="Times New Roman" w:eastAsia="宋体"/>
      <w:sz w:val="30"/>
    </w:rPr>
  </w:style>
</w:styles>
</file>

<file path=word/_rels/document.xml.rels><?xml version="1.0" encoding="UTF-8" standalone="yes"?>
<Relationships xmlns="http://schemas.openxmlformats.org/package/2006/relationships"><Relationship Id="rId7" Type="http://schemas.openxmlformats.org/officeDocument/2006/relationships/fontTable" Target="fontTable.xml"/><Relationship Id="rId6" Type="http://schemas.openxmlformats.org/officeDocument/2006/relationships/numbering" Target="numbering.xml"/><Relationship Id="rId5" Type="http://schemas.openxmlformats.org/officeDocument/2006/relationships/customXml" Target="../customXml/item1.xml"/><Relationship Id="rId4" Type="http://schemas.openxmlformats.org/officeDocument/2006/relationships/theme" Target="theme/theme1.xml"/><Relationship Id="rId3" Type="http://schemas.openxmlformats.org/officeDocument/2006/relationships/footer" Target="footer1.xml"/><Relationship Id="rId2" Type="http://schemas.openxmlformats.org/officeDocument/2006/relationships/settings" Target="settings.xml"/><Relationship Id="rId1" Type="http://schemas.openxmlformats.org/officeDocument/2006/relationships/styles" Target="styles.xml"/></Relationships>
</file>

<file path=word/_rels/fontTable.xml.rels><?xml version="1.0" encoding="UTF-8" standalone="yes"?>
<Relationships xmlns="http://schemas.openxmlformats.org/package/2006/relationships"><Relationship Id="rId4" Type="http://schemas.openxmlformats.org/officeDocument/2006/relationships/font" Target="fonts/font4.odttf"/><Relationship Id="rId3" Type="http://schemas.openxmlformats.org/officeDocument/2006/relationships/font" Target="fonts/font3.odttf"/><Relationship Id="rId2" Type="http://schemas.openxmlformats.org/officeDocument/2006/relationships/font" Target="fonts/font2.odttf"/><Relationship Id="rId1" Type="http://schemas.openxmlformats.org/officeDocument/2006/relationships/font" Target="fonts/font1.odttf"/></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hpExts>
    <customShpInfo spid="_x0000_s1026" textRotate="1"/>
  </customShpExt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Normal.dotm</Template>
  <Pages>14</Pages>
  <Words>6328</Words>
  <Characters>6940</Characters>
  <Lines>0</Lines>
  <Paragraphs>0</Paragraphs>
  <TotalTime>8</TotalTime>
  <ScaleCrop>false</ScaleCrop>
  <LinksUpToDate>false</LinksUpToDate>
  <CharactersWithSpaces>6943</CharactersWithSpaces>
  <Application>WPS Office_12.1.0.19770_F1E327BC-269C-435d-A152-05C5408002CA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2025-02-10T08:50:00Z</dcterms:created>
  <dc:creator>jm</dc:creator>
  <cp:lastModifiedBy>S</cp:lastModifiedBy>
  <dcterms:modified xsi:type="dcterms:W3CDTF">2025-02-19T03:36:50Z</dcterms:modified>
  <cp:revision>1</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2052-12.1.0.19770</vt:lpwstr>
  </property>
  <property fmtid="{D5CDD505-2E9C-101B-9397-08002B2CF9AE}" pid="3" name="ICV">
    <vt:lpwstr>E3D72F429D104D0181B89153B0E37B12_11</vt:lpwstr>
  </property>
  <property fmtid="{D5CDD505-2E9C-101B-9397-08002B2CF9AE}" pid="4" name="KSOTemplateDocerSaveRecord">
    <vt:lpwstr>eyJoZGlkIjoiMzlkNzJiM2E4NzdhODJiMGMzYjA0MTg3ZGY3ZTAzZDMifQ==</vt:lpwstr>
  </property>
</Properties>
</file>