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3E2173">
      <w:pPr>
        <w:rPr>
          <w:color w:val="auto"/>
          <w:highlight w:val="none"/>
        </w:rPr>
      </w:pPr>
    </w:p>
    <w:p w14:paraId="6E9619F5">
      <w:pPr>
        <w:snapToGrid w:val="0"/>
        <w:spacing w:before="156" w:beforeLines="50" w:line="360" w:lineRule="auto"/>
        <w:jc w:val="center"/>
        <w:rPr>
          <w:rFonts w:ascii="仿宋" w:hAnsi="仿宋" w:eastAsia="仿宋" w:cs="仿宋"/>
          <w:color w:val="auto"/>
          <w:sz w:val="48"/>
          <w:szCs w:val="48"/>
          <w:highlight w:val="none"/>
        </w:rPr>
      </w:pPr>
      <w:r>
        <w:rPr>
          <w:rFonts w:hint="eastAsia" w:ascii="仿宋" w:hAnsi="仿宋" w:eastAsia="仿宋" w:cs="仿宋"/>
          <w:color w:val="auto"/>
          <w:sz w:val="48"/>
          <w:szCs w:val="48"/>
          <w:highlight w:val="none"/>
        </w:rPr>
        <w:t>钦州港公共水域浅点整治研究</w:t>
      </w:r>
    </w:p>
    <w:p w14:paraId="0F6EBC66">
      <w:pPr>
        <w:snapToGrid w:val="0"/>
        <w:spacing w:before="156" w:beforeLines="50" w:line="360" w:lineRule="auto"/>
        <w:jc w:val="center"/>
        <w:rPr>
          <w:rFonts w:ascii="黑体" w:hAnsi="黑体" w:eastAsia="黑体" w:cs="黑体"/>
          <w:color w:val="auto"/>
          <w:sz w:val="72"/>
          <w:szCs w:val="72"/>
          <w:highlight w:val="none"/>
        </w:rPr>
      </w:pPr>
      <w:r>
        <w:rPr>
          <w:rFonts w:hint="eastAsia" w:ascii="黑体" w:hAnsi="黑体" w:eastAsia="黑体" w:cs="黑体"/>
          <w:color w:val="auto"/>
          <w:sz w:val="72"/>
          <w:szCs w:val="72"/>
          <w:highlight w:val="none"/>
        </w:rPr>
        <w:t>采购文件</w:t>
      </w:r>
    </w:p>
    <w:p w14:paraId="263E5A37">
      <w:pPr>
        <w:snapToGrid w:val="0"/>
        <w:spacing w:before="156" w:beforeLines="50" w:line="360" w:lineRule="auto"/>
        <w:jc w:val="center"/>
        <w:rPr>
          <w:rFonts w:ascii="黑体" w:hAnsi="黑体" w:eastAsia="黑体" w:cs="黑体"/>
          <w:color w:val="auto"/>
          <w:sz w:val="72"/>
          <w:szCs w:val="72"/>
          <w:highlight w:val="none"/>
        </w:rPr>
      </w:pPr>
      <w:r>
        <w:rPr>
          <w:rFonts w:hint="eastAsia" w:ascii="黑体" w:hAnsi="黑体" w:eastAsia="黑体" w:cs="黑体"/>
          <w:color w:val="auto"/>
          <w:sz w:val="72"/>
          <w:szCs w:val="72"/>
          <w:highlight w:val="none"/>
        </w:rPr>
        <w:t>（</w:t>
      </w:r>
      <w:r>
        <w:rPr>
          <w:rFonts w:hint="eastAsia" w:ascii="黑体" w:hAnsi="黑体" w:eastAsia="黑体" w:cs="黑体"/>
          <w:color w:val="auto"/>
          <w:sz w:val="72"/>
          <w:szCs w:val="72"/>
          <w:highlight w:val="none"/>
          <w:lang w:eastAsia="zh-CN"/>
        </w:rPr>
        <w:t>采购方</w:t>
      </w:r>
      <w:r>
        <w:rPr>
          <w:rFonts w:hint="eastAsia" w:ascii="黑体" w:hAnsi="黑体" w:eastAsia="黑体" w:cs="黑体"/>
          <w:color w:val="auto"/>
          <w:sz w:val="72"/>
          <w:szCs w:val="72"/>
          <w:highlight w:val="none"/>
        </w:rPr>
        <w:t>案）</w:t>
      </w:r>
    </w:p>
    <w:p w14:paraId="4117BC8F">
      <w:pPr>
        <w:spacing w:line="360" w:lineRule="auto"/>
        <w:jc w:val="center"/>
        <w:rPr>
          <w:rFonts w:ascii="宋体" w:hAnsi="宋体"/>
          <w:b/>
          <w:color w:val="auto"/>
          <w:sz w:val="32"/>
          <w:szCs w:val="32"/>
          <w:highlight w:val="none"/>
        </w:rPr>
      </w:pPr>
    </w:p>
    <w:p w14:paraId="46A985DA">
      <w:pPr>
        <w:spacing w:line="480" w:lineRule="auto"/>
        <w:jc w:val="center"/>
        <w:rPr>
          <w:rFonts w:ascii="宋体" w:hAnsi="宋体"/>
          <w:b/>
          <w:color w:val="auto"/>
          <w:sz w:val="32"/>
          <w:szCs w:val="32"/>
          <w:highlight w:val="none"/>
        </w:rPr>
      </w:pPr>
    </w:p>
    <w:p w14:paraId="7080D61B">
      <w:pPr>
        <w:pStyle w:val="31"/>
        <w:rPr>
          <w:rFonts w:ascii="宋体" w:hAnsi="宋体"/>
          <w:b/>
          <w:color w:val="auto"/>
          <w:sz w:val="32"/>
          <w:szCs w:val="32"/>
          <w:highlight w:val="none"/>
        </w:rPr>
      </w:pPr>
    </w:p>
    <w:p w14:paraId="19A2C8D1">
      <w:pPr>
        <w:spacing w:line="480" w:lineRule="auto"/>
        <w:ind w:firstLine="1285" w:firstLineChars="400"/>
        <w:rPr>
          <w:rFonts w:ascii="仿宋_GB2312" w:hAnsi="宋体" w:eastAsia="仿宋_GB2312"/>
          <w:b/>
          <w:color w:val="auto"/>
          <w:sz w:val="32"/>
          <w:szCs w:val="32"/>
          <w:highlight w:val="none"/>
        </w:rPr>
      </w:pPr>
    </w:p>
    <w:p w14:paraId="14FEA8E9">
      <w:pPr>
        <w:spacing w:line="360" w:lineRule="auto"/>
        <w:jc w:val="center"/>
        <w:rPr>
          <w:rFonts w:ascii="宋体" w:hAnsi="宋体" w:cs="宋体"/>
          <w:b/>
          <w:color w:val="auto"/>
          <w:sz w:val="32"/>
          <w:szCs w:val="32"/>
          <w:highlight w:val="none"/>
        </w:rPr>
      </w:pPr>
      <w:r>
        <w:rPr>
          <w:rFonts w:hint="eastAsia" w:ascii="宋体" w:hAnsi="宋体" w:cs="宋体"/>
          <w:b/>
          <w:color w:val="auto"/>
          <w:sz w:val="32"/>
          <w:szCs w:val="32"/>
          <w:highlight w:val="none"/>
        </w:rPr>
        <w:t>采购人：广西壮族自治区北部湾港口管理局钦州分局</w:t>
      </w:r>
    </w:p>
    <w:p w14:paraId="08A2A1DA">
      <w:pPr>
        <w:spacing w:line="360" w:lineRule="auto"/>
        <w:jc w:val="center"/>
        <w:rPr>
          <w:rFonts w:ascii="宋体" w:hAnsi="宋体" w:cs="宋体"/>
          <w:b/>
          <w:color w:val="auto"/>
          <w:sz w:val="32"/>
          <w:szCs w:val="32"/>
          <w:highlight w:val="none"/>
        </w:rPr>
      </w:pPr>
      <w:r>
        <w:rPr>
          <w:rFonts w:hint="eastAsia" w:ascii="宋体" w:hAnsi="宋体" w:cs="宋体"/>
          <w:b/>
          <w:bCs/>
          <w:color w:val="auto"/>
          <w:w w:val="95"/>
          <w:sz w:val="32"/>
          <w:szCs w:val="32"/>
          <w:highlight w:val="none"/>
        </w:rPr>
        <w:t>2025年</w:t>
      </w:r>
      <w:r>
        <w:rPr>
          <w:rFonts w:hint="eastAsia" w:ascii="宋体" w:hAnsi="宋体" w:cs="宋体"/>
          <w:b/>
          <w:bCs/>
          <w:color w:val="auto"/>
          <w:w w:val="95"/>
          <w:sz w:val="32"/>
          <w:szCs w:val="32"/>
          <w:highlight w:val="none"/>
          <w:lang w:val="en-US" w:eastAsia="zh-CN"/>
        </w:rPr>
        <w:t>7</w:t>
      </w:r>
      <w:r>
        <w:rPr>
          <w:rFonts w:hint="eastAsia" w:ascii="宋体" w:hAnsi="宋体" w:cs="宋体"/>
          <w:b/>
          <w:bCs/>
          <w:color w:val="auto"/>
          <w:w w:val="95"/>
          <w:sz w:val="32"/>
          <w:szCs w:val="32"/>
          <w:highlight w:val="none"/>
        </w:rPr>
        <w:t>月</w:t>
      </w:r>
    </w:p>
    <w:p w14:paraId="6227EC4E">
      <w:pPr>
        <w:spacing w:line="360" w:lineRule="auto"/>
        <w:jc w:val="center"/>
        <w:rPr>
          <w:rFonts w:ascii="宋体" w:hAnsi="宋体" w:cs="宋体"/>
          <w:b/>
          <w:bCs/>
          <w:color w:val="auto"/>
          <w:kern w:val="0"/>
          <w:sz w:val="32"/>
          <w:szCs w:val="32"/>
          <w:highlight w:val="none"/>
        </w:rPr>
      </w:pPr>
    </w:p>
    <w:p w14:paraId="30A14A72">
      <w:pPr>
        <w:pStyle w:val="21"/>
        <w:tabs>
          <w:tab w:val="right" w:leader="dot" w:pos="8931"/>
          <w:tab w:val="clear" w:pos="8296"/>
        </w:tabs>
        <w:adjustRightInd w:val="0"/>
        <w:snapToGrid w:val="0"/>
        <w:spacing w:line="264" w:lineRule="auto"/>
        <w:ind w:left="0" w:leftChars="0"/>
        <w:rPr>
          <w:rFonts w:ascii="宋体" w:hAnsi="宋体"/>
          <w:b/>
          <w:color w:val="auto"/>
          <w:sz w:val="32"/>
          <w:szCs w:val="32"/>
          <w:highlight w:val="none"/>
        </w:rPr>
      </w:pPr>
      <w:r>
        <w:rPr>
          <w:rFonts w:ascii="宋体" w:hAnsi="宋体"/>
          <w:b/>
          <w:color w:val="auto"/>
          <w:sz w:val="44"/>
          <w:szCs w:val="44"/>
          <w:highlight w:val="none"/>
        </w:rPr>
        <w:br w:type="page"/>
      </w:r>
    </w:p>
    <w:p w14:paraId="36B1D6A6">
      <w:pPr>
        <w:spacing w:line="400" w:lineRule="exact"/>
        <w:rPr>
          <w:rFonts w:ascii="宋体" w:hAnsi="宋体"/>
          <w:b/>
          <w:color w:val="auto"/>
          <w:sz w:val="32"/>
          <w:szCs w:val="32"/>
          <w:highlight w:val="none"/>
        </w:rPr>
        <w:sectPr>
          <w:headerReference r:id="rId4" w:type="first"/>
          <w:footerReference r:id="rId6" w:type="first"/>
          <w:headerReference r:id="rId3" w:type="default"/>
          <w:footerReference r:id="rId5" w:type="default"/>
          <w:pgSz w:w="11906" w:h="16838"/>
          <w:pgMar w:top="1440" w:right="1440" w:bottom="1440" w:left="1587" w:header="851" w:footer="992" w:gutter="0"/>
          <w:pgNumType w:start="0"/>
          <w:cols w:space="720" w:num="1"/>
          <w:titlePg/>
          <w:docGrid w:type="lines" w:linePitch="312" w:charSpace="0"/>
        </w:sectPr>
      </w:pPr>
    </w:p>
    <w:p w14:paraId="5F8472F9">
      <w:pPr>
        <w:pStyle w:val="2"/>
        <w:spacing w:before="0" w:after="0" w:line="360" w:lineRule="auto"/>
        <w:jc w:val="center"/>
        <w:rPr>
          <w:color w:val="auto"/>
          <w:sz w:val="28"/>
          <w:szCs w:val="28"/>
          <w:highlight w:val="none"/>
        </w:rPr>
      </w:pPr>
      <w:bookmarkStart w:id="0" w:name="_Toc25608"/>
      <w:bookmarkStart w:id="1" w:name="_Toc27769"/>
      <w:r>
        <w:rPr>
          <w:rFonts w:hint="eastAsia"/>
          <w:color w:val="auto"/>
          <w:sz w:val="28"/>
          <w:szCs w:val="28"/>
          <w:highlight w:val="none"/>
        </w:rPr>
        <w:t>第一章 采购公告</w:t>
      </w:r>
      <w:bookmarkEnd w:id="0"/>
      <w:bookmarkEnd w:id="1"/>
    </w:p>
    <w:p w14:paraId="773B9E09">
      <w:pPr>
        <w:spacing w:line="360" w:lineRule="auto"/>
        <w:ind w:firstLine="354" w:firstLineChars="147"/>
        <w:rPr>
          <w:rFonts w:ascii="黑体" w:hAnsi="黑体" w:eastAsia="黑体"/>
          <w:b/>
          <w:color w:val="auto"/>
          <w:sz w:val="24"/>
          <w:highlight w:val="none"/>
        </w:rPr>
      </w:pPr>
      <w:bookmarkStart w:id="2" w:name="_Toc35393798"/>
      <w:bookmarkStart w:id="3" w:name="_Toc35393629"/>
      <w:bookmarkStart w:id="4" w:name="_Toc28359012"/>
      <w:bookmarkStart w:id="5" w:name="_Toc71365905"/>
      <w:bookmarkStart w:id="6" w:name="_Toc44229878"/>
      <w:bookmarkStart w:id="7" w:name="_Hlk37430271"/>
      <w:bookmarkStart w:id="8" w:name="_Toc28359089"/>
    </w:p>
    <w:bookmarkEnd w:id="2"/>
    <w:bookmarkEnd w:id="3"/>
    <w:bookmarkEnd w:id="4"/>
    <w:bookmarkEnd w:id="5"/>
    <w:bookmarkEnd w:id="6"/>
    <w:bookmarkEnd w:id="7"/>
    <w:bookmarkEnd w:id="8"/>
    <w:p w14:paraId="452AA878">
      <w:pPr>
        <w:spacing w:line="360" w:lineRule="auto"/>
        <w:ind w:firstLine="354" w:firstLineChars="147"/>
        <w:rPr>
          <w:rFonts w:ascii="黑体" w:hAnsi="黑体" w:eastAsia="黑体"/>
          <w:b/>
          <w:color w:val="auto"/>
          <w:sz w:val="24"/>
          <w:highlight w:val="none"/>
        </w:rPr>
      </w:pPr>
      <w:r>
        <w:rPr>
          <w:rFonts w:hint="eastAsia" w:ascii="黑体" w:hAnsi="黑体" w:eastAsia="黑体"/>
          <w:b/>
          <w:color w:val="auto"/>
          <w:sz w:val="24"/>
          <w:highlight w:val="none"/>
        </w:rPr>
        <w:t>一、项目基本情况</w:t>
      </w:r>
    </w:p>
    <w:p w14:paraId="108DDE56">
      <w:pPr>
        <w:spacing w:line="360" w:lineRule="auto"/>
        <w:ind w:firstLine="480" w:firstLineChars="200"/>
        <w:rPr>
          <w:rFonts w:ascii="宋体" w:hAnsi="宋体" w:cs="宋体"/>
          <w:bCs/>
          <w:color w:val="auto"/>
          <w:sz w:val="24"/>
          <w:highlight w:val="none"/>
        </w:rPr>
      </w:pPr>
      <w:r>
        <w:rPr>
          <w:rFonts w:hint="eastAsia" w:ascii="宋体" w:hAnsi="宋体" w:cs="宋体"/>
          <w:bCs/>
          <w:color w:val="auto"/>
          <w:sz w:val="24"/>
          <w:highlight w:val="none"/>
        </w:rPr>
        <w:t>（一）采购项目名称：钦州港公共水域浅点整治研究</w:t>
      </w:r>
    </w:p>
    <w:p w14:paraId="2D973B72">
      <w:pPr>
        <w:spacing w:line="360" w:lineRule="auto"/>
        <w:ind w:firstLine="480" w:firstLineChars="200"/>
        <w:rPr>
          <w:rFonts w:ascii="宋体" w:hAnsi="宋体" w:cs="宋体"/>
          <w:bCs/>
          <w:color w:val="auto"/>
          <w:sz w:val="24"/>
          <w:highlight w:val="none"/>
        </w:rPr>
      </w:pPr>
      <w:r>
        <w:rPr>
          <w:rFonts w:hint="eastAsia" w:ascii="宋体" w:hAnsi="宋体" w:cs="宋体"/>
          <w:bCs/>
          <w:color w:val="auto"/>
          <w:sz w:val="24"/>
          <w:highlight w:val="none"/>
        </w:rPr>
        <w:t>（二）项目地点：广西钦州市钦州港。</w:t>
      </w:r>
    </w:p>
    <w:p w14:paraId="1DD052B7">
      <w:pPr>
        <w:pStyle w:val="6"/>
        <w:ind w:firstLine="480" w:firstLineChars="200"/>
        <w:rPr>
          <w:rFonts w:ascii="宋体" w:hAnsi="宋体" w:cs="宋体"/>
          <w:color w:val="auto"/>
          <w:sz w:val="24"/>
          <w:highlight w:val="none"/>
        </w:rPr>
      </w:pPr>
      <w:r>
        <w:rPr>
          <w:rFonts w:hint="eastAsia" w:ascii="宋体" w:hAnsi="宋体" w:cs="宋体"/>
          <w:b w:val="0"/>
          <w:color w:val="auto"/>
          <w:sz w:val="24"/>
          <w:szCs w:val="24"/>
          <w:highlight w:val="none"/>
        </w:rPr>
        <w:t>（三）项目概况：为落实部门预算，保障港口公共水域通航安全，开展钦州港公共水域浅点整治研究勘察、设计单位采购工作，由勘察单位负责开展钦州港公共水域浅点排查工作，明确浅点范围，设计单位编制浅点整治实施方案，主要内容包括：钦州港码头之间公共水域采用多波束全覆盖扫测，确定浅点区、浅点区地质勘探、编制钦州港公共水域浅点整治实施方案。</w:t>
      </w:r>
    </w:p>
    <w:p w14:paraId="5C020933">
      <w:pPr>
        <w:spacing w:line="360" w:lineRule="auto"/>
        <w:ind w:firstLine="480" w:firstLineChars="200"/>
        <w:rPr>
          <w:rFonts w:ascii="宋体" w:hAnsi="宋体" w:cs="宋体"/>
          <w:bCs/>
          <w:color w:val="auto"/>
          <w:sz w:val="24"/>
          <w:highlight w:val="none"/>
        </w:rPr>
      </w:pPr>
      <w:r>
        <w:rPr>
          <w:rFonts w:hint="eastAsia" w:ascii="宋体" w:hAnsi="宋体" w:cs="宋体"/>
          <w:bCs/>
          <w:color w:val="auto"/>
          <w:sz w:val="24"/>
          <w:highlight w:val="none"/>
        </w:rPr>
        <w:t>本次采购内容：钦州港公共水域浅点整治研究</w:t>
      </w:r>
    </w:p>
    <w:p w14:paraId="5527D7BF">
      <w:pPr>
        <w:spacing w:line="520" w:lineRule="exact"/>
        <w:ind w:firstLine="480" w:firstLineChars="200"/>
        <w:jc w:val="left"/>
        <w:rPr>
          <w:rFonts w:ascii="仿宋_GB2312" w:hAnsi="仿宋" w:eastAsia="仿宋_GB2312" w:cs="宋体"/>
          <w:bCs/>
          <w:color w:val="auto"/>
          <w:kern w:val="0"/>
          <w:sz w:val="32"/>
          <w:szCs w:val="32"/>
          <w:highlight w:val="none"/>
        </w:rPr>
      </w:pPr>
      <w:r>
        <w:rPr>
          <w:rFonts w:hint="eastAsia" w:ascii="宋体" w:hAnsi="宋体" w:cs="宋体"/>
          <w:bCs/>
          <w:color w:val="auto"/>
          <w:sz w:val="24"/>
          <w:highlight w:val="none"/>
        </w:rPr>
        <w:t>（四）钦州港公共水域浅点整治研究采购最高限价：43万元，报价超过</w:t>
      </w:r>
      <w:r>
        <w:rPr>
          <w:rFonts w:ascii="宋体" w:hAnsi="宋体" w:cs="宋体"/>
          <w:bCs/>
          <w:color w:val="auto"/>
          <w:sz w:val="24"/>
          <w:highlight w:val="none"/>
        </w:rPr>
        <w:t>43</w:t>
      </w:r>
      <w:r>
        <w:rPr>
          <w:rFonts w:hint="eastAsia" w:ascii="宋体" w:hAnsi="宋体" w:cs="宋体"/>
          <w:bCs/>
          <w:color w:val="auto"/>
          <w:sz w:val="24"/>
          <w:highlight w:val="none"/>
        </w:rPr>
        <w:t>万元的比选响应文件为无效。</w:t>
      </w:r>
    </w:p>
    <w:p w14:paraId="748C9BA4">
      <w:pPr>
        <w:spacing w:line="360" w:lineRule="auto"/>
        <w:ind w:firstLine="480" w:firstLineChars="200"/>
        <w:rPr>
          <w:rFonts w:ascii="宋体" w:hAnsi="宋体" w:cs="宋体"/>
          <w:bCs/>
          <w:color w:val="auto"/>
          <w:sz w:val="24"/>
          <w:highlight w:val="none"/>
        </w:rPr>
      </w:pPr>
      <w:r>
        <w:rPr>
          <w:rFonts w:hint="eastAsia" w:ascii="宋体" w:hAnsi="宋体" w:cs="宋体"/>
          <w:bCs/>
          <w:color w:val="auto"/>
          <w:sz w:val="24"/>
          <w:highlight w:val="none"/>
        </w:rPr>
        <w:t xml:space="preserve">（五）采购需求： </w:t>
      </w:r>
    </w:p>
    <w:tbl>
      <w:tblPr>
        <w:tblStyle w:val="2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57" w:type="dxa"/>
          <w:left w:w="108" w:type="dxa"/>
          <w:bottom w:w="57" w:type="dxa"/>
          <w:right w:w="108" w:type="dxa"/>
        </w:tblCellMar>
      </w:tblPr>
      <w:tblGrid>
        <w:gridCol w:w="776"/>
        <w:gridCol w:w="1590"/>
        <w:gridCol w:w="1005"/>
        <w:gridCol w:w="5384"/>
      </w:tblGrid>
      <w:tr w14:paraId="21EDAF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c>
          <w:tcPr>
            <w:tcW w:w="776" w:type="dxa"/>
            <w:tcBorders>
              <w:top w:val="single" w:color="auto" w:sz="4" w:space="0"/>
              <w:left w:val="single" w:color="auto" w:sz="4" w:space="0"/>
              <w:bottom w:val="single" w:color="auto" w:sz="4" w:space="0"/>
              <w:right w:val="single" w:color="auto" w:sz="4" w:space="0"/>
            </w:tcBorders>
            <w:vAlign w:val="center"/>
          </w:tcPr>
          <w:p w14:paraId="513BD9F0">
            <w:pPr>
              <w:adjustRightInd w:val="0"/>
              <w:snapToGrid w:val="0"/>
              <w:jc w:val="center"/>
              <w:rPr>
                <w:rFonts w:ascii="宋体" w:hAnsi="宋体"/>
                <w:color w:val="auto"/>
                <w:szCs w:val="21"/>
                <w:highlight w:val="none"/>
              </w:rPr>
            </w:pPr>
            <w:r>
              <w:rPr>
                <w:rFonts w:hint="eastAsia" w:ascii="宋体" w:hAnsi="宋体"/>
                <w:color w:val="auto"/>
                <w:szCs w:val="21"/>
                <w:highlight w:val="none"/>
              </w:rPr>
              <w:t>序号</w:t>
            </w:r>
          </w:p>
        </w:tc>
        <w:tc>
          <w:tcPr>
            <w:tcW w:w="1590" w:type="dxa"/>
            <w:tcBorders>
              <w:top w:val="single" w:color="auto" w:sz="4" w:space="0"/>
              <w:left w:val="single" w:color="auto" w:sz="4" w:space="0"/>
              <w:bottom w:val="single" w:color="auto" w:sz="4" w:space="0"/>
              <w:right w:val="single" w:color="auto" w:sz="4" w:space="0"/>
            </w:tcBorders>
            <w:vAlign w:val="center"/>
          </w:tcPr>
          <w:p w14:paraId="0024B3AB">
            <w:pPr>
              <w:adjustRightInd w:val="0"/>
              <w:snapToGrid w:val="0"/>
              <w:jc w:val="center"/>
              <w:rPr>
                <w:rFonts w:ascii="宋体" w:hAnsi="宋体"/>
                <w:color w:val="auto"/>
                <w:szCs w:val="21"/>
                <w:highlight w:val="none"/>
              </w:rPr>
            </w:pPr>
            <w:r>
              <w:rPr>
                <w:rFonts w:hint="eastAsia" w:ascii="宋体" w:hAnsi="宋体"/>
                <w:color w:val="auto"/>
                <w:szCs w:val="21"/>
                <w:highlight w:val="none"/>
              </w:rPr>
              <w:t>标的名称</w:t>
            </w:r>
          </w:p>
        </w:tc>
        <w:tc>
          <w:tcPr>
            <w:tcW w:w="1005" w:type="dxa"/>
            <w:tcBorders>
              <w:top w:val="single" w:color="auto" w:sz="4" w:space="0"/>
              <w:left w:val="single" w:color="auto" w:sz="4" w:space="0"/>
              <w:bottom w:val="single" w:color="auto" w:sz="4" w:space="0"/>
              <w:right w:val="single" w:color="auto" w:sz="4" w:space="0"/>
            </w:tcBorders>
            <w:vAlign w:val="center"/>
          </w:tcPr>
          <w:p w14:paraId="1B0D54AE">
            <w:pPr>
              <w:adjustRightInd w:val="0"/>
              <w:snapToGrid w:val="0"/>
              <w:jc w:val="center"/>
              <w:rPr>
                <w:rFonts w:ascii="宋体" w:hAnsi="宋体"/>
                <w:color w:val="auto"/>
                <w:szCs w:val="21"/>
                <w:highlight w:val="none"/>
              </w:rPr>
            </w:pPr>
            <w:r>
              <w:rPr>
                <w:rFonts w:hint="eastAsia" w:ascii="宋体" w:hAnsi="宋体"/>
                <w:color w:val="auto"/>
                <w:szCs w:val="21"/>
                <w:highlight w:val="none"/>
              </w:rPr>
              <w:t>数量及</w:t>
            </w:r>
          </w:p>
          <w:p w14:paraId="69765B78">
            <w:pPr>
              <w:adjustRightInd w:val="0"/>
              <w:snapToGrid w:val="0"/>
              <w:jc w:val="center"/>
              <w:rPr>
                <w:rFonts w:ascii="宋体" w:hAnsi="宋体"/>
                <w:color w:val="auto"/>
                <w:szCs w:val="21"/>
                <w:highlight w:val="none"/>
              </w:rPr>
            </w:pPr>
            <w:r>
              <w:rPr>
                <w:rFonts w:hint="eastAsia" w:ascii="宋体" w:hAnsi="宋体"/>
                <w:color w:val="auto"/>
                <w:szCs w:val="21"/>
                <w:highlight w:val="none"/>
              </w:rPr>
              <w:t>单位</w:t>
            </w:r>
          </w:p>
        </w:tc>
        <w:tc>
          <w:tcPr>
            <w:tcW w:w="5384" w:type="dxa"/>
            <w:tcBorders>
              <w:top w:val="single" w:color="auto" w:sz="4" w:space="0"/>
              <w:left w:val="single" w:color="auto" w:sz="4" w:space="0"/>
              <w:bottom w:val="single" w:color="auto" w:sz="4" w:space="0"/>
              <w:right w:val="single" w:color="auto" w:sz="4" w:space="0"/>
            </w:tcBorders>
            <w:vAlign w:val="center"/>
          </w:tcPr>
          <w:p w14:paraId="7CA00506">
            <w:pPr>
              <w:adjustRightInd w:val="0"/>
              <w:snapToGrid w:val="0"/>
              <w:jc w:val="center"/>
              <w:rPr>
                <w:rFonts w:ascii="宋体" w:hAnsi="宋体"/>
                <w:color w:val="auto"/>
                <w:szCs w:val="21"/>
                <w:highlight w:val="none"/>
              </w:rPr>
            </w:pPr>
            <w:r>
              <w:rPr>
                <w:rFonts w:hint="eastAsia" w:ascii="宋体" w:hAnsi="宋体"/>
                <w:color w:val="auto"/>
                <w:szCs w:val="21"/>
                <w:highlight w:val="none"/>
              </w:rPr>
              <w:t>简要服务要求或者技术需求</w:t>
            </w:r>
          </w:p>
        </w:tc>
      </w:tr>
      <w:tr w14:paraId="73DD50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c>
          <w:tcPr>
            <w:tcW w:w="776" w:type="dxa"/>
            <w:tcBorders>
              <w:top w:val="single" w:color="auto" w:sz="4" w:space="0"/>
              <w:left w:val="single" w:color="auto" w:sz="4" w:space="0"/>
              <w:bottom w:val="single" w:color="auto" w:sz="4" w:space="0"/>
              <w:right w:val="single" w:color="auto" w:sz="4" w:space="0"/>
            </w:tcBorders>
            <w:vAlign w:val="center"/>
          </w:tcPr>
          <w:p w14:paraId="367BC98A">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01</w:t>
            </w:r>
          </w:p>
        </w:tc>
        <w:tc>
          <w:tcPr>
            <w:tcW w:w="1590" w:type="dxa"/>
            <w:tcBorders>
              <w:top w:val="single" w:color="auto" w:sz="4" w:space="0"/>
              <w:left w:val="single" w:color="auto" w:sz="4" w:space="0"/>
              <w:bottom w:val="single" w:color="auto" w:sz="4" w:space="0"/>
              <w:right w:val="single" w:color="auto" w:sz="4" w:space="0"/>
            </w:tcBorders>
            <w:vAlign w:val="center"/>
          </w:tcPr>
          <w:p w14:paraId="45EF91D8">
            <w:pPr>
              <w:snapToGrid w:val="0"/>
              <w:spacing w:line="360" w:lineRule="auto"/>
              <w:jc w:val="left"/>
              <w:rPr>
                <w:rFonts w:ascii="宋体" w:hAnsi="宋体"/>
                <w:color w:val="auto"/>
                <w:szCs w:val="21"/>
                <w:highlight w:val="none"/>
              </w:rPr>
            </w:pPr>
            <w:r>
              <w:rPr>
                <w:rFonts w:hint="eastAsia" w:ascii="宋体" w:hAnsi="宋体"/>
                <w:color w:val="auto"/>
                <w:szCs w:val="21"/>
                <w:highlight w:val="none"/>
              </w:rPr>
              <w:t>钦州港公共水域浅点整治研究</w:t>
            </w:r>
          </w:p>
        </w:tc>
        <w:tc>
          <w:tcPr>
            <w:tcW w:w="1005" w:type="dxa"/>
            <w:tcBorders>
              <w:top w:val="single" w:color="auto" w:sz="4" w:space="0"/>
              <w:left w:val="single" w:color="auto" w:sz="4" w:space="0"/>
              <w:bottom w:val="single" w:color="auto" w:sz="4" w:space="0"/>
              <w:right w:val="single" w:color="auto" w:sz="4" w:space="0"/>
            </w:tcBorders>
            <w:vAlign w:val="center"/>
          </w:tcPr>
          <w:p w14:paraId="12BAD5BA">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1项</w:t>
            </w:r>
          </w:p>
        </w:tc>
        <w:tc>
          <w:tcPr>
            <w:tcW w:w="5384" w:type="dxa"/>
            <w:tcBorders>
              <w:top w:val="single" w:color="auto" w:sz="4" w:space="0"/>
              <w:left w:val="single" w:color="auto" w:sz="4" w:space="0"/>
              <w:bottom w:val="single" w:color="auto" w:sz="4" w:space="0"/>
              <w:right w:val="single" w:color="auto" w:sz="4" w:space="0"/>
            </w:tcBorders>
            <w:vAlign w:val="center"/>
          </w:tcPr>
          <w:p w14:paraId="7C609A64">
            <w:pPr>
              <w:pStyle w:val="6"/>
              <w:ind w:firstLine="420" w:firstLineChars="200"/>
              <w:rPr>
                <w:rFonts w:ascii="宋体" w:hAnsi="宋体"/>
                <w:b w:val="0"/>
                <w:bCs w:val="0"/>
                <w:color w:val="auto"/>
                <w:szCs w:val="21"/>
                <w:highlight w:val="none"/>
              </w:rPr>
            </w:pPr>
            <w:r>
              <w:rPr>
                <w:rFonts w:hint="eastAsia" w:ascii="宋体" w:hAnsi="宋体" w:cs="Times New Roman"/>
                <w:b w:val="0"/>
                <w:bCs w:val="0"/>
                <w:color w:val="auto"/>
                <w:sz w:val="21"/>
                <w:szCs w:val="21"/>
                <w:highlight w:val="none"/>
                <w:lang w:val="en-US" w:eastAsia="zh-CN"/>
              </w:rPr>
              <w:t>对</w:t>
            </w:r>
            <w:r>
              <w:rPr>
                <w:rFonts w:hint="eastAsia" w:ascii="宋体" w:hAnsi="宋体" w:cs="Times New Roman"/>
                <w:b w:val="0"/>
                <w:bCs w:val="0"/>
                <w:color w:val="auto"/>
                <w:sz w:val="21"/>
                <w:szCs w:val="21"/>
                <w:highlight w:val="none"/>
              </w:rPr>
              <w:t>钦州港金谷港区中石油码头与国投电厂码头之间、</w:t>
            </w:r>
            <w:r>
              <w:rPr>
                <w:rFonts w:hint="eastAsia" w:ascii="宋体" w:hAnsi="宋体" w:cs="Times New Roman"/>
                <w:b w:val="0"/>
                <w:bCs w:val="0"/>
                <w:color w:val="auto"/>
                <w:sz w:val="21"/>
                <w:szCs w:val="21"/>
                <w:highlight w:val="none"/>
                <w:lang w:eastAsia="zh-CN"/>
              </w:rPr>
              <w:t>中石化码头与天盛煤码头之间、勒沟航道、</w:t>
            </w:r>
            <w:r>
              <w:rPr>
                <w:rFonts w:hint="eastAsia" w:ascii="宋体" w:hAnsi="宋体" w:cs="Times New Roman"/>
                <w:b w:val="0"/>
                <w:bCs w:val="0"/>
                <w:color w:val="auto"/>
                <w:sz w:val="21"/>
                <w:szCs w:val="21"/>
                <w:highlight w:val="none"/>
              </w:rPr>
              <w:t>勒沟航道口门附近等存在浅点的公共水域</w:t>
            </w:r>
            <w:r>
              <w:rPr>
                <w:rFonts w:hint="eastAsia" w:ascii="宋体" w:hAnsi="宋体"/>
                <w:b w:val="0"/>
                <w:bCs w:val="0"/>
                <w:color w:val="auto"/>
                <w:szCs w:val="21"/>
                <w:highlight w:val="none"/>
              </w:rPr>
              <w:t>采用多波束全覆盖扫测，确定浅点区、浅点区地质勘探、编制钦州港公共水域浅点整治实施方案</w:t>
            </w:r>
            <w:r>
              <w:rPr>
                <w:rFonts w:hint="eastAsia" w:ascii="宋体" w:hAnsi="宋体"/>
                <w:b w:val="0"/>
                <w:bCs w:val="0"/>
                <w:color w:val="auto"/>
                <w:szCs w:val="21"/>
                <w:highlight w:val="none"/>
                <w:lang w:eastAsia="zh-CN"/>
              </w:rPr>
              <w:t>（</w:t>
            </w:r>
            <w:r>
              <w:rPr>
                <w:rFonts w:hint="eastAsia" w:ascii="宋体" w:hAnsi="宋体"/>
                <w:b w:val="0"/>
                <w:bCs w:val="0"/>
                <w:color w:val="auto"/>
                <w:szCs w:val="21"/>
                <w:highlight w:val="none"/>
                <w:lang w:val="en-US" w:eastAsia="zh-CN"/>
              </w:rPr>
              <w:t>测量范围见附图</w:t>
            </w:r>
            <w:r>
              <w:rPr>
                <w:rFonts w:hint="eastAsia" w:ascii="宋体" w:hAnsi="宋体"/>
                <w:b w:val="0"/>
                <w:bCs w:val="0"/>
                <w:color w:val="auto"/>
                <w:szCs w:val="21"/>
                <w:highlight w:val="none"/>
                <w:lang w:eastAsia="zh-CN"/>
              </w:rPr>
              <w:t>）</w:t>
            </w:r>
            <w:r>
              <w:rPr>
                <w:rFonts w:hint="eastAsia" w:ascii="宋体" w:hAnsi="宋体"/>
                <w:b w:val="0"/>
                <w:bCs w:val="0"/>
                <w:color w:val="auto"/>
                <w:szCs w:val="21"/>
                <w:highlight w:val="none"/>
              </w:rPr>
              <w:t>。</w:t>
            </w:r>
          </w:p>
          <w:p w14:paraId="34AF31B0">
            <w:pPr>
              <w:pStyle w:val="6"/>
              <w:ind w:firstLine="420" w:firstLineChars="200"/>
              <w:rPr>
                <w:b w:val="0"/>
                <w:bCs w:val="0"/>
                <w:color w:val="auto"/>
                <w:szCs w:val="21"/>
                <w:highlight w:val="none"/>
              </w:rPr>
            </w:pPr>
            <w:r>
              <w:rPr>
                <w:rFonts w:hint="eastAsia"/>
                <w:b w:val="0"/>
                <w:bCs w:val="0"/>
                <w:color w:val="auto"/>
                <w:szCs w:val="21"/>
                <w:highlight w:val="none"/>
              </w:rPr>
              <w:t>主要内容：</w:t>
            </w:r>
            <w:r>
              <w:rPr>
                <w:rFonts w:hint="eastAsia" w:ascii="宋体" w:hAnsi="宋体" w:cs="宋体"/>
                <w:b w:val="0"/>
                <w:bCs w:val="0"/>
                <w:color w:val="auto"/>
                <w:sz w:val="21"/>
                <w:szCs w:val="21"/>
                <w:highlight w:val="none"/>
              </w:rPr>
              <w:t>多波束</w:t>
            </w:r>
            <w:r>
              <w:rPr>
                <w:rFonts w:hint="eastAsia" w:ascii="宋体" w:hAnsi="宋体"/>
                <w:b w:val="0"/>
                <w:bCs w:val="0"/>
                <w:color w:val="auto"/>
                <w:szCs w:val="21"/>
                <w:highlight w:val="none"/>
                <w:lang w:eastAsia="zh-CN"/>
              </w:rPr>
              <w:t>1:1000</w:t>
            </w:r>
            <w:r>
              <w:rPr>
                <w:rFonts w:hint="eastAsia" w:ascii="宋体" w:hAnsi="宋体" w:cs="宋体"/>
                <w:b w:val="0"/>
                <w:bCs w:val="0"/>
                <w:color w:val="auto"/>
                <w:sz w:val="21"/>
                <w:szCs w:val="21"/>
                <w:highlight w:val="none"/>
              </w:rPr>
              <w:t>全覆盖扫测</w:t>
            </w:r>
            <w:r>
              <w:rPr>
                <w:rFonts w:hint="eastAsia" w:ascii="宋体" w:hAnsi="宋体" w:cs="宋体"/>
                <w:b w:val="0"/>
                <w:bCs w:val="0"/>
                <w:color w:val="auto"/>
                <w:sz w:val="21"/>
                <w:szCs w:val="21"/>
                <w:highlight w:val="none"/>
                <w:lang w:eastAsia="zh-CN"/>
              </w:rPr>
              <w:t>，</w:t>
            </w:r>
            <w:r>
              <w:rPr>
                <w:rFonts w:hint="eastAsia"/>
                <w:b w:val="0"/>
                <w:bCs w:val="0"/>
                <w:color w:val="auto"/>
                <w:szCs w:val="21"/>
                <w:highlight w:val="none"/>
              </w:rPr>
              <w:t>面积约</w:t>
            </w:r>
            <w:r>
              <w:rPr>
                <w:rFonts w:hint="eastAsia"/>
                <w:b w:val="0"/>
                <w:bCs w:val="0"/>
                <w:color w:val="auto"/>
                <w:szCs w:val="21"/>
                <w:highlight w:val="none"/>
                <w:lang w:val="en-US" w:eastAsia="zh-CN"/>
              </w:rPr>
              <w:t>3.3</w:t>
            </w:r>
            <w:r>
              <w:rPr>
                <w:rFonts w:hint="eastAsia"/>
                <w:b w:val="0"/>
                <w:bCs w:val="0"/>
                <w:color w:val="auto"/>
                <w:szCs w:val="21"/>
                <w:highlight w:val="none"/>
              </w:rPr>
              <w:t>平方公里，地勘钻孔暂估12个（实际数量以满足设计及规范要求为准）</w:t>
            </w:r>
            <w:r>
              <w:rPr>
                <w:b w:val="0"/>
                <w:bCs w:val="0"/>
                <w:color w:val="auto"/>
                <w:szCs w:val="21"/>
                <w:highlight w:val="none"/>
              </w:rPr>
              <w:t>，编制</w:t>
            </w:r>
            <w:r>
              <w:rPr>
                <w:rFonts w:hint="eastAsia"/>
                <w:b w:val="0"/>
                <w:bCs w:val="0"/>
                <w:color w:val="auto"/>
                <w:szCs w:val="21"/>
                <w:highlight w:val="none"/>
              </w:rPr>
              <w:t>钦州港公共水域浅点整治实施方案1项。</w:t>
            </w:r>
          </w:p>
          <w:p w14:paraId="3D1543F8">
            <w:pPr>
              <w:pStyle w:val="6"/>
              <w:ind w:firstLine="420" w:firstLineChars="200"/>
              <w:rPr>
                <w:rFonts w:ascii="宋体" w:hAnsi="宋体"/>
                <w:color w:val="auto"/>
                <w:szCs w:val="21"/>
                <w:highlight w:val="none"/>
              </w:rPr>
            </w:pPr>
            <w:r>
              <w:rPr>
                <w:rFonts w:hint="eastAsia" w:ascii="宋体" w:hAnsi="宋体"/>
                <w:b w:val="0"/>
                <w:bCs w:val="0"/>
                <w:color w:val="auto"/>
                <w:szCs w:val="21"/>
                <w:highlight w:val="none"/>
              </w:rPr>
              <w:t>交付成果包括：多波束全覆盖扫测蓝图8份、多波束扫测报告8份、电子光盘2张；浅点区地质勘探报告8份、电子光盘2张；钦州港公共水域浅点整治实施方案8份、电子光盘2张。</w:t>
            </w:r>
          </w:p>
        </w:tc>
      </w:tr>
    </w:tbl>
    <w:p w14:paraId="0C63E69B">
      <w:pPr>
        <w:spacing w:line="360" w:lineRule="auto"/>
        <w:ind w:firstLine="480" w:firstLineChars="200"/>
        <w:rPr>
          <w:rFonts w:ascii="宋体" w:hAnsi="宋体" w:cs="宋体"/>
          <w:bCs/>
          <w:color w:val="auto"/>
          <w:sz w:val="24"/>
          <w:highlight w:val="none"/>
        </w:rPr>
      </w:pPr>
      <w:r>
        <w:rPr>
          <w:rFonts w:hint="eastAsia" w:ascii="宋体" w:hAnsi="宋体" w:cs="宋体"/>
          <w:bCs/>
          <w:color w:val="auto"/>
          <w:sz w:val="24"/>
          <w:highlight w:val="none"/>
        </w:rPr>
        <w:t>（六）合同履行期限：</w:t>
      </w:r>
    </w:p>
    <w:p w14:paraId="6F927CFB">
      <w:pPr>
        <w:spacing w:line="360" w:lineRule="auto"/>
        <w:ind w:firstLine="480" w:firstLineChars="200"/>
        <w:rPr>
          <w:rFonts w:ascii="宋体" w:hAnsi="宋体" w:cs="宋体"/>
          <w:color w:val="auto"/>
          <w:sz w:val="24"/>
          <w:highlight w:val="none"/>
          <w:lang w:bidi="ar"/>
        </w:rPr>
      </w:pPr>
      <w:r>
        <w:rPr>
          <w:rFonts w:hint="eastAsia" w:ascii="宋体" w:hAnsi="宋体" w:cs="宋体"/>
          <w:bCs/>
          <w:color w:val="auto"/>
          <w:sz w:val="24"/>
          <w:highlight w:val="none"/>
        </w:rPr>
        <w:t>服务总工期：</w:t>
      </w:r>
      <w:r>
        <w:rPr>
          <w:rFonts w:hint="eastAsia" w:ascii="宋体" w:hAnsi="宋体" w:cs="宋体"/>
          <w:b/>
          <w:bCs/>
          <w:snapToGrid w:val="0"/>
          <w:color w:val="auto"/>
          <w:kern w:val="0"/>
          <w:sz w:val="24"/>
          <w:highlight w:val="none"/>
        </w:rPr>
        <w:t>合同签订后60日历天</w:t>
      </w:r>
      <w:r>
        <w:rPr>
          <w:rFonts w:hint="eastAsia" w:ascii="宋体" w:hAnsi="宋体" w:cs="宋体"/>
          <w:color w:val="auto"/>
          <w:sz w:val="24"/>
          <w:highlight w:val="none"/>
          <w:lang w:bidi="ar"/>
        </w:rPr>
        <w:t>。</w:t>
      </w:r>
    </w:p>
    <w:p w14:paraId="61D19D9F">
      <w:pPr>
        <w:spacing w:line="360" w:lineRule="auto"/>
        <w:ind w:firstLine="480" w:firstLineChars="200"/>
        <w:rPr>
          <w:rFonts w:ascii="宋体" w:hAnsi="宋体" w:cs="宋体"/>
          <w:bCs/>
          <w:color w:val="auto"/>
          <w:sz w:val="24"/>
          <w:highlight w:val="none"/>
        </w:rPr>
      </w:pPr>
      <w:r>
        <w:rPr>
          <w:rFonts w:hint="eastAsia" w:ascii="宋体" w:hAnsi="宋体" w:cs="宋体"/>
          <w:bCs/>
          <w:color w:val="auto"/>
          <w:sz w:val="24"/>
          <w:highlight w:val="none"/>
        </w:rPr>
        <w:t>（七）本次采购不接受联合体竞标。</w:t>
      </w:r>
    </w:p>
    <w:p w14:paraId="4198C117">
      <w:pPr>
        <w:spacing w:line="360" w:lineRule="auto"/>
        <w:ind w:firstLine="354" w:firstLineChars="147"/>
        <w:rPr>
          <w:rFonts w:ascii="黑体" w:hAnsi="黑体" w:eastAsia="黑体"/>
          <w:b/>
          <w:color w:val="auto"/>
          <w:sz w:val="24"/>
          <w:highlight w:val="none"/>
        </w:rPr>
      </w:pPr>
      <w:r>
        <w:rPr>
          <w:rFonts w:hint="eastAsia" w:ascii="黑体" w:hAnsi="黑体" w:eastAsia="黑体"/>
          <w:b/>
          <w:color w:val="auto"/>
          <w:sz w:val="24"/>
          <w:highlight w:val="none"/>
        </w:rPr>
        <w:t>二、供应商的资格条件</w:t>
      </w:r>
    </w:p>
    <w:p w14:paraId="1C347184">
      <w:pPr>
        <w:spacing w:line="360" w:lineRule="auto"/>
        <w:ind w:firstLine="480" w:firstLineChars="200"/>
        <w:rPr>
          <w:rFonts w:ascii="宋体" w:hAnsi="宋体" w:cs="宋体"/>
          <w:bCs/>
          <w:color w:val="auto"/>
          <w:sz w:val="24"/>
          <w:highlight w:val="none"/>
        </w:rPr>
      </w:pPr>
      <w:r>
        <w:rPr>
          <w:rFonts w:hint="eastAsia" w:ascii="宋体" w:hAnsi="宋体" w:cs="宋体"/>
          <w:color w:val="auto"/>
          <w:sz w:val="24"/>
          <w:highlight w:val="none"/>
          <w:lang w:bidi="ar"/>
        </w:rPr>
        <w:t>1、具备国内独立法人资格。</w:t>
      </w:r>
      <w:r>
        <w:rPr>
          <w:rFonts w:hint="eastAsia" w:ascii="宋体" w:hAnsi="宋体" w:cs="宋体"/>
          <w:bCs/>
          <w:color w:val="auto"/>
          <w:sz w:val="24"/>
          <w:highlight w:val="none"/>
        </w:rPr>
        <w:t>供应商须具有独立承担民事责任的能力，为中华人民共和国境内注册的法人或其他组织，具有有效的营业执照；</w:t>
      </w:r>
    </w:p>
    <w:p w14:paraId="4B8587A9">
      <w:pPr>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2、单位资质和人员配备要求：</w:t>
      </w:r>
    </w:p>
    <w:p w14:paraId="6F653A91">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sz w:val="24"/>
          <w:highlight w:val="none"/>
        </w:rPr>
        <w:t>（1）</w:t>
      </w:r>
      <w:r>
        <w:rPr>
          <w:rFonts w:hint="default" w:ascii="宋体" w:hAnsi="宋体" w:cs="宋体"/>
          <w:bCs/>
          <w:color w:val="auto"/>
          <w:sz w:val="24"/>
          <w:highlight w:val="none"/>
          <w:lang w:bidi="ar"/>
        </w:rPr>
        <w:t>单位资质</w:t>
      </w:r>
      <w:r>
        <w:rPr>
          <w:rFonts w:hint="eastAsia" w:ascii="宋体" w:hAnsi="宋体" w:cs="宋体"/>
          <w:bCs/>
          <w:color w:val="auto"/>
          <w:sz w:val="24"/>
          <w:highlight w:val="none"/>
        </w:rPr>
        <w:t>要求：具备住房和城乡建设部颁发的有效的工程勘察（至少含岩土工程和工程测量）专业乙级及以上资质；具备住房和城乡建设部颁发的有效的</w:t>
      </w:r>
      <w:r>
        <w:rPr>
          <w:rFonts w:ascii="宋体" w:hAnsi="宋体" w:cs="宋体"/>
          <w:bCs/>
          <w:color w:val="auto"/>
          <w:sz w:val="24"/>
          <w:highlight w:val="none"/>
        </w:rPr>
        <w:t>水运行业设计乙级及以上资质。</w:t>
      </w:r>
    </w:p>
    <w:p w14:paraId="3A579972">
      <w:pPr>
        <w:spacing w:line="360" w:lineRule="auto"/>
        <w:ind w:firstLine="480" w:firstLineChars="200"/>
        <w:rPr>
          <w:rFonts w:ascii="宋体" w:hAnsi="宋体" w:cs="宋体"/>
          <w:bCs/>
          <w:color w:val="auto"/>
          <w:sz w:val="24"/>
          <w:highlight w:val="none"/>
        </w:rPr>
      </w:pPr>
      <w:r>
        <w:rPr>
          <w:rFonts w:hint="eastAsia" w:ascii="宋体" w:hAnsi="宋体" w:cs="宋体"/>
          <w:bCs/>
          <w:color w:val="auto"/>
          <w:sz w:val="24"/>
          <w:highlight w:val="none"/>
        </w:rPr>
        <w:t>（</w:t>
      </w:r>
      <w:r>
        <w:rPr>
          <w:rFonts w:ascii="宋体" w:hAnsi="宋体" w:cs="宋体"/>
          <w:bCs/>
          <w:color w:val="auto"/>
          <w:sz w:val="24"/>
          <w:highlight w:val="none"/>
        </w:rPr>
        <w:t>2）人员配备要求：勘察负责人要求具备注册土木工程师(岩土工程专业)</w:t>
      </w:r>
      <w:r>
        <w:rPr>
          <w:rFonts w:hint="eastAsia" w:ascii="宋体" w:hAnsi="宋体" w:cs="宋体"/>
          <w:bCs/>
          <w:color w:val="auto"/>
          <w:sz w:val="24"/>
          <w:highlight w:val="none"/>
        </w:rPr>
        <w:t>执业</w:t>
      </w:r>
      <w:r>
        <w:rPr>
          <w:rFonts w:ascii="宋体" w:hAnsi="宋体" w:cs="宋体"/>
          <w:bCs/>
          <w:color w:val="auto"/>
          <w:sz w:val="24"/>
          <w:highlight w:val="none"/>
        </w:rPr>
        <w:t>证书,高级工程师及以上职称,至少担任过1个5</w:t>
      </w:r>
      <w:r>
        <w:rPr>
          <w:rFonts w:hint="eastAsia" w:ascii="宋体" w:hAnsi="宋体" w:cs="宋体"/>
          <w:bCs/>
          <w:color w:val="auto"/>
          <w:sz w:val="24"/>
          <w:highlight w:val="none"/>
        </w:rPr>
        <w:t>千</w:t>
      </w:r>
      <w:r>
        <w:rPr>
          <w:rFonts w:ascii="宋体" w:hAnsi="宋体" w:cs="宋体"/>
          <w:bCs/>
          <w:color w:val="auto"/>
          <w:sz w:val="24"/>
          <w:highlight w:val="none"/>
        </w:rPr>
        <w:t>吨级及以上</w:t>
      </w:r>
      <w:r>
        <w:rPr>
          <w:rFonts w:hint="eastAsia" w:ascii="宋体" w:hAnsi="宋体" w:cs="宋体"/>
          <w:bCs/>
          <w:color w:val="auto"/>
          <w:sz w:val="24"/>
          <w:highlight w:val="none"/>
        </w:rPr>
        <w:t>沿海</w:t>
      </w:r>
      <w:r>
        <w:rPr>
          <w:rFonts w:ascii="宋体" w:hAnsi="宋体" w:cs="宋体"/>
          <w:bCs/>
          <w:color w:val="auto"/>
          <w:sz w:val="24"/>
          <w:highlight w:val="none"/>
        </w:rPr>
        <w:t>码头或航道</w:t>
      </w:r>
      <w:r>
        <w:rPr>
          <w:rFonts w:hint="eastAsia" w:ascii="宋体" w:hAnsi="宋体" w:cs="宋体"/>
          <w:bCs/>
          <w:color w:val="auto"/>
          <w:sz w:val="24"/>
          <w:highlight w:val="none"/>
          <w:lang w:val="en-US" w:eastAsia="zh-CN"/>
        </w:rPr>
        <w:t>锚地</w:t>
      </w:r>
      <w:r>
        <w:rPr>
          <w:rFonts w:ascii="宋体" w:hAnsi="宋体" w:cs="宋体"/>
          <w:bCs/>
          <w:color w:val="auto"/>
          <w:sz w:val="24"/>
          <w:highlight w:val="none"/>
        </w:rPr>
        <w:t>工程</w:t>
      </w:r>
      <w:r>
        <w:rPr>
          <w:rFonts w:hint="eastAsia" w:ascii="宋体" w:hAnsi="宋体" w:cs="宋体"/>
          <w:bCs/>
          <w:color w:val="auto"/>
          <w:sz w:val="24"/>
          <w:highlight w:val="none"/>
        </w:rPr>
        <w:t>的地质勘察</w:t>
      </w:r>
      <w:r>
        <w:rPr>
          <w:rFonts w:ascii="宋体" w:hAnsi="宋体" w:cs="宋体"/>
          <w:bCs/>
          <w:color w:val="auto"/>
          <w:sz w:val="24"/>
          <w:highlight w:val="none"/>
        </w:rPr>
        <w:t>负责人</w:t>
      </w:r>
      <w:r>
        <w:rPr>
          <w:rFonts w:hint="eastAsia" w:ascii="宋体" w:hAnsi="宋体" w:cs="宋体"/>
          <w:bCs/>
          <w:color w:val="auto"/>
          <w:sz w:val="24"/>
          <w:highlight w:val="none"/>
        </w:rPr>
        <w:t>；测量</w:t>
      </w:r>
      <w:r>
        <w:rPr>
          <w:rFonts w:ascii="宋体" w:hAnsi="宋体" w:cs="宋体"/>
          <w:bCs/>
          <w:color w:val="auto"/>
          <w:sz w:val="24"/>
          <w:highlight w:val="none"/>
        </w:rPr>
        <w:t>负责人要求具备注册</w:t>
      </w:r>
      <w:r>
        <w:rPr>
          <w:rFonts w:hint="eastAsia" w:ascii="宋体" w:hAnsi="宋体" w:cs="宋体"/>
          <w:bCs/>
          <w:color w:val="auto"/>
          <w:sz w:val="24"/>
          <w:highlight w:val="none"/>
        </w:rPr>
        <w:t>测绘</w:t>
      </w:r>
      <w:r>
        <w:rPr>
          <w:rFonts w:ascii="宋体" w:hAnsi="宋体" w:cs="宋体"/>
          <w:bCs/>
          <w:color w:val="auto"/>
          <w:sz w:val="24"/>
          <w:highlight w:val="none"/>
        </w:rPr>
        <w:t>师</w:t>
      </w:r>
      <w:r>
        <w:rPr>
          <w:rFonts w:hint="eastAsia" w:ascii="宋体" w:hAnsi="宋体" w:cs="宋体"/>
          <w:bCs/>
          <w:color w:val="auto"/>
          <w:sz w:val="24"/>
          <w:highlight w:val="none"/>
        </w:rPr>
        <w:t>执业</w:t>
      </w:r>
      <w:r>
        <w:rPr>
          <w:rFonts w:ascii="宋体" w:hAnsi="宋体" w:cs="宋体"/>
          <w:bCs/>
          <w:color w:val="auto"/>
          <w:sz w:val="24"/>
          <w:highlight w:val="none"/>
        </w:rPr>
        <w:t>证书,高级工程师及以上职称,至少担任过1个5</w:t>
      </w:r>
      <w:r>
        <w:rPr>
          <w:rFonts w:hint="eastAsia" w:ascii="宋体" w:hAnsi="宋体" w:cs="宋体"/>
          <w:bCs/>
          <w:color w:val="auto"/>
          <w:sz w:val="24"/>
          <w:highlight w:val="none"/>
        </w:rPr>
        <w:t>千</w:t>
      </w:r>
      <w:r>
        <w:rPr>
          <w:rFonts w:ascii="宋体" w:hAnsi="宋体" w:cs="宋体"/>
          <w:bCs/>
          <w:color w:val="auto"/>
          <w:sz w:val="24"/>
          <w:highlight w:val="none"/>
        </w:rPr>
        <w:t>吨级及以上</w:t>
      </w:r>
      <w:r>
        <w:rPr>
          <w:rFonts w:hint="eastAsia" w:ascii="宋体" w:hAnsi="宋体" w:cs="宋体"/>
          <w:bCs/>
          <w:color w:val="auto"/>
          <w:sz w:val="24"/>
          <w:highlight w:val="none"/>
        </w:rPr>
        <w:t>沿海</w:t>
      </w:r>
      <w:r>
        <w:rPr>
          <w:rFonts w:ascii="宋体" w:hAnsi="宋体" w:cs="宋体"/>
          <w:bCs/>
          <w:color w:val="auto"/>
          <w:sz w:val="24"/>
          <w:highlight w:val="none"/>
        </w:rPr>
        <w:t>码头或航道</w:t>
      </w:r>
      <w:r>
        <w:rPr>
          <w:rFonts w:hint="eastAsia" w:ascii="宋体" w:hAnsi="宋体" w:cs="宋体"/>
          <w:bCs/>
          <w:color w:val="auto"/>
          <w:sz w:val="24"/>
          <w:highlight w:val="none"/>
          <w:lang w:val="en-US" w:eastAsia="zh-CN"/>
        </w:rPr>
        <w:t>锚地</w:t>
      </w:r>
      <w:r>
        <w:rPr>
          <w:rFonts w:ascii="宋体" w:hAnsi="宋体" w:cs="宋体"/>
          <w:bCs/>
          <w:color w:val="auto"/>
          <w:sz w:val="24"/>
          <w:highlight w:val="none"/>
        </w:rPr>
        <w:t>工程</w:t>
      </w:r>
      <w:r>
        <w:rPr>
          <w:rFonts w:hint="eastAsia" w:ascii="宋体" w:hAnsi="宋体" w:cs="宋体"/>
          <w:bCs/>
          <w:color w:val="auto"/>
          <w:sz w:val="24"/>
          <w:highlight w:val="none"/>
        </w:rPr>
        <w:t>的测量</w:t>
      </w:r>
      <w:r>
        <w:rPr>
          <w:rFonts w:ascii="宋体" w:hAnsi="宋体" w:cs="宋体"/>
          <w:bCs/>
          <w:color w:val="auto"/>
          <w:sz w:val="24"/>
          <w:highlight w:val="none"/>
        </w:rPr>
        <w:t>负责人</w:t>
      </w:r>
      <w:r>
        <w:rPr>
          <w:rFonts w:hint="eastAsia" w:ascii="宋体" w:hAnsi="宋体" w:cs="宋体"/>
          <w:bCs/>
          <w:color w:val="auto"/>
          <w:sz w:val="24"/>
          <w:highlight w:val="none"/>
        </w:rPr>
        <w:t>；</w:t>
      </w:r>
      <w:r>
        <w:rPr>
          <w:rFonts w:ascii="宋体" w:hAnsi="宋体" w:cs="宋体"/>
          <w:bCs/>
          <w:color w:val="auto"/>
          <w:sz w:val="24"/>
          <w:highlight w:val="none"/>
        </w:rPr>
        <w:t>项目</w:t>
      </w:r>
      <w:r>
        <w:rPr>
          <w:rFonts w:hint="eastAsia" w:ascii="宋体" w:hAnsi="宋体" w:cs="宋体"/>
          <w:bCs/>
          <w:color w:val="auto"/>
          <w:sz w:val="24"/>
          <w:highlight w:val="none"/>
        </w:rPr>
        <w:t>实施方案技术</w:t>
      </w:r>
      <w:r>
        <w:rPr>
          <w:rFonts w:ascii="宋体" w:hAnsi="宋体" w:cs="宋体"/>
          <w:bCs/>
          <w:color w:val="auto"/>
          <w:sz w:val="24"/>
          <w:highlight w:val="none"/>
        </w:rPr>
        <w:t>负责人要求具备注册土木工程师(港口与航道工程专业)职业资格证书,高级工程师及以上职称,至少担任过1个5</w:t>
      </w:r>
      <w:r>
        <w:rPr>
          <w:rFonts w:hint="eastAsia" w:ascii="宋体" w:hAnsi="宋体" w:cs="宋体"/>
          <w:bCs/>
          <w:color w:val="auto"/>
          <w:sz w:val="24"/>
          <w:highlight w:val="none"/>
        </w:rPr>
        <w:t>千</w:t>
      </w:r>
      <w:r>
        <w:rPr>
          <w:rFonts w:ascii="宋体" w:hAnsi="宋体" w:cs="宋体"/>
          <w:bCs/>
          <w:color w:val="auto"/>
          <w:sz w:val="24"/>
          <w:highlight w:val="none"/>
        </w:rPr>
        <w:t>吨级及以上</w:t>
      </w:r>
      <w:r>
        <w:rPr>
          <w:rFonts w:hint="eastAsia" w:ascii="宋体" w:hAnsi="宋体" w:cs="宋体"/>
          <w:bCs/>
          <w:color w:val="auto"/>
          <w:sz w:val="24"/>
          <w:highlight w:val="none"/>
        </w:rPr>
        <w:t>沿海</w:t>
      </w:r>
      <w:r>
        <w:rPr>
          <w:rFonts w:ascii="宋体" w:hAnsi="宋体" w:cs="宋体"/>
          <w:bCs/>
          <w:color w:val="auto"/>
          <w:sz w:val="24"/>
          <w:highlight w:val="none"/>
        </w:rPr>
        <w:t>码头</w:t>
      </w:r>
      <w:r>
        <w:rPr>
          <w:rFonts w:hint="eastAsia" w:ascii="宋体" w:hAnsi="宋体" w:cs="宋体"/>
          <w:bCs/>
          <w:color w:val="auto"/>
          <w:sz w:val="24"/>
          <w:highlight w:val="none"/>
        </w:rPr>
        <w:t>或航道</w:t>
      </w:r>
      <w:r>
        <w:rPr>
          <w:rFonts w:hint="eastAsia" w:ascii="宋体" w:hAnsi="宋体" w:cs="宋体"/>
          <w:bCs/>
          <w:color w:val="auto"/>
          <w:sz w:val="24"/>
          <w:highlight w:val="none"/>
          <w:lang w:val="en-US" w:eastAsia="zh-CN"/>
        </w:rPr>
        <w:t>锚地</w:t>
      </w:r>
      <w:r>
        <w:rPr>
          <w:rFonts w:hint="eastAsia" w:ascii="宋体" w:hAnsi="宋体" w:cs="宋体"/>
          <w:bCs/>
          <w:color w:val="auto"/>
          <w:sz w:val="24"/>
          <w:highlight w:val="none"/>
        </w:rPr>
        <w:t>工程的</w:t>
      </w:r>
      <w:r>
        <w:rPr>
          <w:rFonts w:ascii="宋体" w:hAnsi="宋体" w:cs="宋体"/>
          <w:bCs/>
          <w:color w:val="auto"/>
          <w:sz w:val="24"/>
          <w:highlight w:val="none"/>
        </w:rPr>
        <w:t>项目负责人</w:t>
      </w:r>
      <w:r>
        <w:rPr>
          <w:rFonts w:hint="eastAsia" w:ascii="宋体" w:hAnsi="宋体" w:cs="宋体"/>
          <w:bCs/>
          <w:color w:val="auto"/>
          <w:sz w:val="24"/>
          <w:highlight w:val="none"/>
        </w:rPr>
        <w:t>；提供投入人员资质证书复印件及供应商为其缴纳的2025年1-6月6个月的社保缴纳证明。</w:t>
      </w:r>
    </w:p>
    <w:p w14:paraId="0C6EB08E">
      <w:pPr>
        <w:spacing w:line="360" w:lineRule="auto"/>
        <w:ind w:firstLine="480" w:firstLineChars="200"/>
        <w:rPr>
          <w:rFonts w:ascii="宋体" w:hAnsi="宋体" w:cs="宋体"/>
          <w:bCs/>
          <w:color w:val="auto"/>
          <w:sz w:val="24"/>
          <w:highlight w:val="none"/>
        </w:rPr>
      </w:pPr>
      <w:r>
        <w:rPr>
          <w:rFonts w:hint="eastAsia" w:ascii="宋体" w:hAnsi="宋体" w:cs="宋体"/>
          <w:color w:val="auto"/>
          <w:sz w:val="24"/>
          <w:highlight w:val="none"/>
          <w:lang w:bidi="ar"/>
        </w:rPr>
        <w:t>3、单位业绩要求：2</w:t>
      </w:r>
      <w:r>
        <w:rPr>
          <w:rFonts w:ascii="宋体" w:hAnsi="宋体" w:cs="宋体"/>
          <w:bCs/>
          <w:color w:val="auto"/>
          <w:sz w:val="24"/>
          <w:highlight w:val="none"/>
        </w:rPr>
        <w:t>02</w:t>
      </w:r>
      <w:r>
        <w:rPr>
          <w:rFonts w:hint="eastAsia" w:ascii="宋体" w:hAnsi="宋体" w:cs="宋体"/>
          <w:bCs/>
          <w:color w:val="auto"/>
          <w:sz w:val="24"/>
          <w:highlight w:val="none"/>
        </w:rPr>
        <w:t>2</w:t>
      </w:r>
      <w:r>
        <w:rPr>
          <w:rFonts w:ascii="宋体" w:hAnsi="宋体" w:cs="宋体"/>
          <w:bCs/>
          <w:color w:val="auto"/>
          <w:sz w:val="24"/>
          <w:highlight w:val="none"/>
        </w:rPr>
        <w:t>年1月1日起至投标截止时间前,独立承担过1个</w:t>
      </w:r>
      <w:r>
        <w:rPr>
          <w:rFonts w:hint="eastAsia" w:ascii="宋体" w:hAnsi="宋体" w:cs="宋体"/>
          <w:bCs/>
          <w:color w:val="auto"/>
          <w:sz w:val="24"/>
          <w:highlight w:val="none"/>
        </w:rPr>
        <w:t>5千</w:t>
      </w:r>
      <w:r>
        <w:rPr>
          <w:rFonts w:ascii="宋体" w:hAnsi="宋体" w:cs="宋体"/>
          <w:bCs/>
          <w:color w:val="auto"/>
          <w:sz w:val="24"/>
          <w:highlight w:val="none"/>
        </w:rPr>
        <w:t>吨级及以上</w:t>
      </w:r>
      <w:r>
        <w:rPr>
          <w:rFonts w:hint="eastAsia" w:ascii="宋体" w:hAnsi="宋体" w:cs="宋体"/>
          <w:bCs/>
          <w:color w:val="auto"/>
          <w:sz w:val="24"/>
          <w:highlight w:val="none"/>
        </w:rPr>
        <w:t>沿海</w:t>
      </w:r>
      <w:r>
        <w:rPr>
          <w:rFonts w:ascii="宋体" w:hAnsi="宋体" w:cs="宋体"/>
          <w:bCs/>
          <w:color w:val="auto"/>
          <w:sz w:val="24"/>
          <w:highlight w:val="none"/>
        </w:rPr>
        <w:t>码头或航道</w:t>
      </w:r>
      <w:r>
        <w:rPr>
          <w:rFonts w:hint="eastAsia" w:ascii="宋体" w:hAnsi="宋体" w:cs="宋体"/>
          <w:bCs/>
          <w:color w:val="auto"/>
          <w:sz w:val="24"/>
          <w:highlight w:val="none"/>
          <w:lang w:val="en-US" w:eastAsia="zh-CN"/>
        </w:rPr>
        <w:t>锚地</w:t>
      </w:r>
      <w:r>
        <w:rPr>
          <w:rFonts w:ascii="宋体" w:hAnsi="宋体" w:cs="宋体"/>
          <w:bCs/>
          <w:color w:val="auto"/>
          <w:sz w:val="24"/>
          <w:highlight w:val="none"/>
        </w:rPr>
        <w:t>工程的岩土勘察和地形</w:t>
      </w:r>
      <w:r>
        <w:rPr>
          <w:rFonts w:hint="eastAsia" w:ascii="宋体" w:hAnsi="宋体" w:cs="宋体"/>
          <w:bCs/>
          <w:color w:val="auto"/>
          <w:sz w:val="24"/>
          <w:highlight w:val="none"/>
        </w:rPr>
        <w:t>测量</w:t>
      </w:r>
      <w:r>
        <w:rPr>
          <w:rFonts w:ascii="宋体" w:hAnsi="宋体" w:cs="宋体"/>
          <w:bCs/>
          <w:color w:val="auto"/>
          <w:sz w:val="24"/>
          <w:highlight w:val="none"/>
        </w:rPr>
        <w:t>。 202</w:t>
      </w:r>
      <w:r>
        <w:rPr>
          <w:rFonts w:hint="eastAsia" w:ascii="宋体" w:hAnsi="宋体" w:cs="宋体"/>
          <w:bCs/>
          <w:color w:val="auto"/>
          <w:sz w:val="24"/>
          <w:highlight w:val="none"/>
        </w:rPr>
        <w:t>2</w:t>
      </w:r>
      <w:r>
        <w:rPr>
          <w:rFonts w:ascii="宋体" w:hAnsi="宋体" w:cs="宋体"/>
          <w:bCs/>
          <w:color w:val="auto"/>
          <w:sz w:val="24"/>
          <w:highlight w:val="none"/>
        </w:rPr>
        <w:t>年1月1日起至投标截止时间前,独立承担过1个</w:t>
      </w:r>
      <w:r>
        <w:rPr>
          <w:rFonts w:hint="eastAsia" w:ascii="宋体" w:hAnsi="宋体" w:cs="宋体"/>
          <w:bCs/>
          <w:color w:val="auto"/>
          <w:sz w:val="24"/>
          <w:highlight w:val="none"/>
        </w:rPr>
        <w:t>沿海5千</w:t>
      </w:r>
      <w:r>
        <w:rPr>
          <w:rFonts w:ascii="宋体" w:hAnsi="宋体" w:cs="宋体"/>
          <w:bCs/>
          <w:color w:val="auto"/>
          <w:sz w:val="24"/>
          <w:highlight w:val="none"/>
        </w:rPr>
        <w:t>吨级及以上码头</w:t>
      </w:r>
      <w:r>
        <w:rPr>
          <w:rFonts w:hint="eastAsia" w:ascii="宋体" w:hAnsi="宋体" w:cs="宋体"/>
          <w:bCs/>
          <w:color w:val="auto"/>
          <w:sz w:val="24"/>
          <w:highlight w:val="none"/>
        </w:rPr>
        <w:t>或航道</w:t>
      </w:r>
      <w:r>
        <w:rPr>
          <w:rFonts w:hint="eastAsia" w:ascii="宋体" w:hAnsi="宋体" w:cs="宋体"/>
          <w:bCs/>
          <w:color w:val="auto"/>
          <w:sz w:val="24"/>
          <w:highlight w:val="none"/>
          <w:lang w:val="en-US" w:eastAsia="zh-CN"/>
        </w:rPr>
        <w:t>锚地</w:t>
      </w:r>
      <w:r>
        <w:rPr>
          <w:rFonts w:hint="eastAsia" w:ascii="宋体" w:hAnsi="宋体" w:cs="宋体"/>
          <w:bCs/>
          <w:color w:val="auto"/>
          <w:sz w:val="24"/>
          <w:highlight w:val="none"/>
        </w:rPr>
        <w:t>工程</w:t>
      </w:r>
      <w:r>
        <w:rPr>
          <w:rFonts w:ascii="宋体" w:hAnsi="宋体" w:cs="宋体"/>
          <w:bCs/>
          <w:color w:val="auto"/>
          <w:sz w:val="24"/>
          <w:highlight w:val="none"/>
        </w:rPr>
        <w:t>项目的设计</w:t>
      </w:r>
      <w:r>
        <w:rPr>
          <w:rFonts w:hint="eastAsia" w:ascii="宋体" w:hAnsi="宋体" w:cs="宋体"/>
          <w:bCs/>
          <w:color w:val="auto"/>
          <w:sz w:val="24"/>
          <w:highlight w:val="none"/>
        </w:rPr>
        <w:t>。</w:t>
      </w:r>
    </w:p>
    <w:p w14:paraId="0D77F2C8">
      <w:pPr>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4、供应商参加政府采购活动前三年内，在经营活动中没有重大违法记录（重大违法记录，是指供应商因违法经营受到刑事处罚或者责令停产停业、吊销许可证或者执照等行政处罚），提供书面声明。</w:t>
      </w:r>
    </w:p>
    <w:p w14:paraId="4DA9A92A">
      <w:pPr>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5、在“信用中国”网站、中国政府采购网等渠道未被列入失信被执行人、重大税收违法案件当事人名单、政府采购严重违法失信行为记录名单。</w:t>
      </w:r>
    </w:p>
    <w:p w14:paraId="00CB872E">
      <w:pPr>
        <w:spacing w:line="360" w:lineRule="auto"/>
        <w:ind w:firstLine="354" w:firstLineChars="147"/>
        <w:rPr>
          <w:rFonts w:ascii="黑体" w:hAnsi="黑体" w:eastAsia="黑体"/>
          <w:b/>
          <w:color w:val="auto"/>
          <w:sz w:val="24"/>
          <w:highlight w:val="none"/>
        </w:rPr>
      </w:pPr>
      <w:r>
        <w:rPr>
          <w:rFonts w:hint="eastAsia" w:ascii="黑体" w:hAnsi="黑体" w:eastAsia="黑体"/>
          <w:b/>
          <w:color w:val="auto"/>
          <w:sz w:val="24"/>
          <w:highlight w:val="none"/>
        </w:rPr>
        <w:t>三、获取采购文件</w:t>
      </w:r>
    </w:p>
    <w:p w14:paraId="69D8C531">
      <w:pPr>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（一）获取时间：自本公告发布之日起</w:t>
      </w:r>
      <w:r>
        <w:rPr>
          <w:rFonts w:hint="default" w:ascii="宋体" w:hAnsi="宋体" w:cs="宋体"/>
          <w:color w:val="auto"/>
          <w:sz w:val="24"/>
          <w:highlight w:val="none"/>
          <w:lang w:val="en-US" w:bidi="ar"/>
        </w:rPr>
        <w:t>3</w:t>
      </w:r>
      <w:r>
        <w:rPr>
          <w:rFonts w:hint="eastAsia" w:ascii="宋体" w:hAnsi="宋体" w:cs="宋体"/>
          <w:color w:val="auto"/>
          <w:sz w:val="24"/>
          <w:highlight w:val="none"/>
          <w:lang w:bidi="ar"/>
        </w:rPr>
        <w:t>个工作日</w:t>
      </w:r>
      <w:r>
        <w:rPr>
          <w:rFonts w:ascii="宋体" w:hAnsi="宋体" w:cs="宋体"/>
          <w:color w:val="auto"/>
          <w:sz w:val="24"/>
          <w:highlight w:val="none"/>
          <w:lang w:bidi="ar"/>
        </w:rPr>
        <w:t>。</w:t>
      </w:r>
    </w:p>
    <w:p w14:paraId="5F32AB22">
      <w:pPr>
        <w:spacing w:line="360" w:lineRule="auto"/>
        <w:ind w:firstLine="480" w:firstLineChars="200"/>
        <w:rPr>
          <w:rFonts w:hint="eastAsia" w:ascii="宋体" w:hAnsi="宋体" w:eastAsia="宋体" w:cs="宋体"/>
          <w:color w:val="auto"/>
          <w:sz w:val="24"/>
          <w:highlight w:val="none"/>
          <w:lang w:eastAsia="zh-CN" w:bidi="ar"/>
        </w:rPr>
      </w:pPr>
      <w:r>
        <w:rPr>
          <w:rFonts w:hint="eastAsia" w:ascii="宋体" w:hAnsi="宋体" w:cs="宋体"/>
          <w:color w:val="auto"/>
          <w:sz w:val="24"/>
          <w:highlight w:val="none"/>
          <w:lang w:bidi="ar"/>
        </w:rPr>
        <w:t>（二）获取地点：广西壮族自治区港航发展中心网站(http://www.gxghj.cn/)</w:t>
      </w:r>
      <w:r>
        <w:rPr>
          <w:rFonts w:hint="eastAsia" w:ascii="宋体" w:hAnsi="宋体" w:cs="宋体"/>
          <w:color w:val="auto"/>
          <w:sz w:val="24"/>
          <w:highlight w:val="none"/>
          <w:lang w:eastAsia="zh-CN" w:bidi="ar"/>
        </w:rPr>
        <w:t>。</w:t>
      </w:r>
    </w:p>
    <w:p w14:paraId="5C0549AE">
      <w:pPr>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（三）获取方式：网上下载。本项目不提供纸质文件，潜在供应商登录广西壮族自治区港航发展中心网站-进入“通知公告”应用，点击本公告获取采购文件（</w:t>
      </w:r>
      <w:r>
        <w:rPr>
          <w:rFonts w:hint="eastAsia" w:ascii="宋体" w:hAnsi="宋体" w:cs="宋体"/>
          <w:color w:val="auto"/>
          <w:sz w:val="24"/>
          <w:highlight w:val="none"/>
          <w:lang w:eastAsia="zh-CN" w:bidi="ar"/>
        </w:rPr>
        <w:t>采购方</w:t>
      </w:r>
      <w:r>
        <w:rPr>
          <w:rFonts w:hint="eastAsia" w:ascii="宋体" w:hAnsi="宋体" w:cs="宋体"/>
          <w:color w:val="auto"/>
          <w:sz w:val="24"/>
          <w:highlight w:val="none"/>
          <w:lang w:bidi="ar"/>
        </w:rPr>
        <w:t>案）。</w:t>
      </w:r>
    </w:p>
    <w:p w14:paraId="51E888FA">
      <w:pPr>
        <w:spacing w:line="360" w:lineRule="auto"/>
        <w:ind w:firstLine="354" w:firstLineChars="147"/>
        <w:rPr>
          <w:rFonts w:ascii="黑体" w:hAnsi="黑体" w:eastAsia="黑体"/>
          <w:b/>
          <w:color w:val="auto"/>
          <w:sz w:val="24"/>
          <w:highlight w:val="none"/>
        </w:rPr>
      </w:pPr>
      <w:r>
        <w:rPr>
          <w:rFonts w:hint="eastAsia" w:ascii="黑体" w:hAnsi="黑体" w:eastAsia="黑体"/>
          <w:b/>
          <w:color w:val="auto"/>
          <w:sz w:val="24"/>
          <w:highlight w:val="none"/>
        </w:rPr>
        <w:t>四、响应文件提交</w:t>
      </w:r>
    </w:p>
    <w:p w14:paraId="60DBC6D2">
      <w:pPr>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（一）提交响应文件加密电子版一份及纸质版一正一副共两份文件。</w:t>
      </w:r>
    </w:p>
    <w:p w14:paraId="6A67449F">
      <w:pPr>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（二）响应文件加密电子版提交的邮箱地址：gkplan@126.com；响应文件纸质版文件提交的地址：广西壮族自治区北部湾港口管理局钦州分局（钦州市钦州港融和大街20号）419号办公室。</w:t>
      </w:r>
    </w:p>
    <w:p w14:paraId="16C07BE7">
      <w:pPr>
        <w:spacing w:line="360" w:lineRule="auto"/>
        <w:ind w:firstLine="480" w:firstLineChars="200"/>
        <w:rPr>
          <w:rFonts w:hint="eastAsia" w:ascii="宋体" w:hAnsi="宋体" w:cs="宋体"/>
          <w:color w:val="auto"/>
          <w:sz w:val="24"/>
          <w:highlight w:val="none"/>
          <w:lang w:bidi="ar"/>
        </w:rPr>
      </w:pPr>
      <w:r>
        <w:rPr>
          <w:rFonts w:hint="eastAsia" w:ascii="宋体" w:hAnsi="宋体" w:cs="宋体"/>
          <w:color w:val="auto"/>
          <w:sz w:val="24"/>
          <w:highlight w:val="none"/>
          <w:lang w:bidi="ar"/>
        </w:rPr>
        <w:t>（三）响应文件提交截止时间：</w:t>
      </w:r>
      <w:r>
        <w:rPr>
          <w:rFonts w:ascii="宋体" w:hAnsi="宋体" w:cs="宋体"/>
          <w:color w:val="auto"/>
          <w:sz w:val="24"/>
          <w:highlight w:val="none"/>
          <w:lang w:bidi="ar"/>
        </w:rPr>
        <w:t>2025年</w:t>
      </w:r>
      <w:r>
        <w:rPr>
          <w:rFonts w:hint="eastAsia" w:ascii="宋体" w:hAnsi="宋体" w:cs="宋体"/>
          <w:color w:val="auto"/>
          <w:sz w:val="24"/>
          <w:highlight w:val="none"/>
          <w:lang w:val="en-US" w:eastAsia="zh-CN" w:bidi="ar"/>
        </w:rPr>
        <w:t>7</w:t>
      </w:r>
      <w:r>
        <w:rPr>
          <w:rFonts w:ascii="宋体" w:hAnsi="宋体" w:cs="宋体"/>
          <w:color w:val="auto"/>
          <w:sz w:val="24"/>
          <w:highlight w:val="none"/>
          <w:lang w:bidi="ar"/>
        </w:rPr>
        <w:t>月</w:t>
      </w:r>
      <w:r>
        <w:rPr>
          <w:rFonts w:hint="eastAsia" w:ascii="宋体" w:hAnsi="宋体" w:cs="宋体"/>
          <w:color w:val="auto"/>
          <w:sz w:val="24"/>
          <w:highlight w:val="none"/>
          <w:lang w:val="en-US" w:eastAsia="zh-CN" w:bidi="ar"/>
        </w:rPr>
        <w:t>21</w:t>
      </w:r>
      <w:r>
        <w:rPr>
          <w:rFonts w:ascii="宋体" w:hAnsi="宋体" w:cs="宋体"/>
          <w:color w:val="auto"/>
          <w:sz w:val="24"/>
          <w:highlight w:val="none"/>
          <w:lang w:bidi="ar"/>
        </w:rPr>
        <w:t>日18时00分</w:t>
      </w:r>
      <w:bookmarkStart w:id="64" w:name="_GoBack"/>
      <w:bookmarkEnd w:id="64"/>
      <w:r>
        <w:rPr>
          <w:rFonts w:hint="eastAsia" w:ascii="宋体" w:hAnsi="宋体" w:cs="宋体"/>
          <w:color w:val="auto"/>
          <w:sz w:val="24"/>
          <w:highlight w:val="none"/>
          <w:lang w:bidi="ar"/>
        </w:rPr>
        <w:t>。至响应文件截止时间时，投标供应商不足三家，另行发布延期公告；发布延期公告后，如提交响应文件的投标供应商仍不足三家的，在已提交响应文件的供应商中按照评审规则评选。</w:t>
      </w:r>
    </w:p>
    <w:p w14:paraId="351B805A">
      <w:pPr>
        <w:spacing w:line="360" w:lineRule="auto"/>
        <w:ind w:firstLine="354" w:firstLineChars="147"/>
        <w:rPr>
          <w:rFonts w:hint="eastAsia" w:ascii="黑体" w:hAnsi="黑体" w:eastAsia="黑体" w:cs="Times New Roman"/>
          <w:b/>
          <w:color w:val="auto"/>
          <w:sz w:val="24"/>
          <w:szCs w:val="24"/>
          <w:highlight w:val="none"/>
        </w:rPr>
      </w:pPr>
      <w:r>
        <w:rPr>
          <w:rFonts w:hint="eastAsia" w:ascii="黑体" w:hAnsi="黑体" w:eastAsia="黑体" w:cs="Times New Roman"/>
          <w:b/>
          <w:color w:val="auto"/>
          <w:sz w:val="24"/>
          <w:szCs w:val="24"/>
          <w:highlight w:val="none"/>
        </w:rPr>
        <w:t xml:space="preserve">五、评审 </w:t>
      </w:r>
    </w:p>
    <w:p w14:paraId="60EFC320">
      <w:pPr>
        <w:spacing w:line="360" w:lineRule="auto"/>
        <w:ind w:firstLine="480" w:firstLineChars="200"/>
        <w:rPr>
          <w:rFonts w:hint="eastAsia" w:ascii="宋体" w:hAnsi="宋体" w:eastAsia="宋体" w:cs="宋体"/>
          <w:sz w:val="24"/>
          <w:szCs w:val="24"/>
          <w:highlight w:val="none"/>
          <w:lang w:eastAsia="zh-CN"/>
        </w:rPr>
      </w:pPr>
      <w:r>
        <w:rPr>
          <w:rFonts w:ascii="宋体" w:hAnsi="宋体" w:eastAsia="宋体" w:cs="宋体"/>
          <w:sz w:val="24"/>
          <w:szCs w:val="24"/>
          <w:highlight w:val="none"/>
        </w:rPr>
        <w:t>1.时间：</w:t>
      </w:r>
      <w:r>
        <w:rPr>
          <w:rFonts w:hint="eastAsia" w:ascii="宋体" w:hAnsi="宋体" w:cs="宋体"/>
          <w:sz w:val="24"/>
          <w:szCs w:val="24"/>
          <w:highlight w:val="none"/>
          <w:lang w:val="en-US" w:eastAsia="zh-CN"/>
        </w:rPr>
        <w:t>2025</w:t>
      </w:r>
      <w:r>
        <w:rPr>
          <w:rFonts w:ascii="宋体" w:hAnsi="宋体" w:eastAsia="宋体" w:cs="宋体"/>
          <w:sz w:val="24"/>
          <w:szCs w:val="24"/>
          <w:highlight w:val="none"/>
        </w:rPr>
        <w:t xml:space="preserve"> 年</w:t>
      </w:r>
      <w:r>
        <w:rPr>
          <w:rFonts w:hint="eastAsia" w:ascii="宋体" w:hAnsi="宋体" w:cs="宋体"/>
          <w:sz w:val="24"/>
          <w:szCs w:val="24"/>
          <w:highlight w:val="none"/>
          <w:lang w:val="en-US" w:eastAsia="zh-CN"/>
        </w:rPr>
        <w:t xml:space="preserve">7 </w:t>
      </w:r>
      <w:r>
        <w:rPr>
          <w:rFonts w:ascii="宋体" w:hAnsi="宋体" w:eastAsia="宋体" w:cs="宋体"/>
          <w:sz w:val="24"/>
          <w:szCs w:val="24"/>
          <w:highlight w:val="none"/>
        </w:rPr>
        <w:t xml:space="preserve">月 </w:t>
      </w:r>
      <w:r>
        <w:rPr>
          <w:rFonts w:hint="eastAsia" w:ascii="宋体" w:hAnsi="宋体" w:cs="宋体"/>
          <w:sz w:val="24"/>
          <w:szCs w:val="24"/>
          <w:highlight w:val="none"/>
          <w:lang w:val="en-US" w:eastAsia="zh-CN"/>
        </w:rPr>
        <w:t xml:space="preserve"> </w:t>
      </w:r>
      <w:r>
        <w:rPr>
          <w:rFonts w:ascii="宋体" w:hAnsi="宋体" w:eastAsia="宋体" w:cs="宋体"/>
          <w:sz w:val="24"/>
          <w:szCs w:val="24"/>
          <w:highlight w:val="none"/>
        </w:rPr>
        <w:t xml:space="preserve">日 </w:t>
      </w:r>
      <w:r>
        <w:rPr>
          <w:rFonts w:hint="eastAsia" w:ascii="宋体" w:hAnsi="宋体" w:cs="宋体"/>
          <w:sz w:val="24"/>
          <w:szCs w:val="24"/>
          <w:highlight w:val="none"/>
          <w:lang w:eastAsia="zh-CN"/>
        </w:rPr>
        <w:t>（截标后的</w:t>
      </w:r>
      <w:r>
        <w:rPr>
          <w:rFonts w:hint="eastAsia" w:ascii="宋体" w:hAnsi="宋体" w:cs="宋体"/>
          <w:sz w:val="24"/>
          <w:szCs w:val="24"/>
          <w:highlight w:val="none"/>
          <w:lang w:val="en-US" w:eastAsia="zh-CN"/>
        </w:rPr>
        <w:t>5个工作日内完成</w:t>
      </w:r>
      <w:r>
        <w:rPr>
          <w:rFonts w:hint="eastAsia" w:ascii="宋体" w:hAnsi="宋体" w:cs="宋体"/>
          <w:sz w:val="24"/>
          <w:szCs w:val="24"/>
          <w:highlight w:val="none"/>
          <w:lang w:eastAsia="zh-CN"/>
        </w:rPr>
        <w:t>）</w:t>
      </w:r>
    </w:p>
    <w:p w14:paraId="7C909004">
      <w:pPr>
        <w:spacing w:line="360" w:lineRule="auto"/>
        <w:ind w:firstLine="480" w:firstLineChars="200"/>
        <w:rPr>
          <w:rFonts w:hint="default" w:ascii="宋体" w:hAnsi="宋体" w:eastAsia="宋体" w:cs="宋体"/>
          <w:color w:val="auto"/>
          <w:sz w:val="24"/>
          <w:highlight w:val="none"/>
          <w:lang w:val="en-US" w:eastAsia="zh-CN" w:bidi="ar"/>
        </w:rPr>
      </w:pPr>
      <w:r>
        <w:rPr>
          <w:rFonts w:ascii="宋体" w:hAnsi="宋体" w:eastAsia="宋体" w:cs="宋体"/>
          <w:sz w:val="24"/>
          <w:szCs w:val="24"/>
          <w:highlight w:val="none"/>
        </w:rPr>
        <w:t>2.地点：</w:t>
      </w:r>
      <w:r>
        <w:rPr>
          <w:rFonts w:hint="eastAsia" w:ascii="宋体" w:hAnsi="宋体" w:cs="宋体"/>
          <w:color w:val="auto"/>
          <w:sz w:val="24"/>
          <w:highlight w:val="none"/>
          <w:lang w:bidi="ar"/>
        </w:rPr>
        <w:t>广西壮族自治区北部湾港口管理局钦州分局</w:t>
      </w:r>
    </w:p>
    <w:p w14:paraId="24A435CB">
      <w:pPr>
        <w:spacing w:line="360" w:lineRule="auto"/>
        <w:ind w:firstLine="354" w:firstLineChars="147"/>
        <w:rPr>
          <w:rFonts w:hint="eastAsia" w:ascii="黑体" w:hAnsi="黑体" w:eastAsia="黑体" w:cs="Times New Roman"/>
          <w:b/>
          <w:color w:val="auto"/>
          <w:sz w:val="24"/>
          <w:szCs w:val="24"/>
          <w:highlight w:val="none"/>
        </w:rPr>
      </w:pPr>
      <w:r>
        <w:rPr>
          <w:rFonts w:hint="eastAsia" w:ascii="黑体" w:hAnsi="黑体" w:eastAsia="黑体"/>
          <w:b/>
          <w:color w:val="auto"/>
          <w:sz w:val="24"/>
          <w:highlight w:val="none"/>
          <w:lang w:val="en-US" w:eastAsia="zh-CN"/>
        </w:rPr>
        <w:t>六</w:t>
      </w:r>
      <w:r>
        <w:rPr>
          <w:rFonts w:hint="eastAsia" w:ascii="黑体" w:hAnsi="黑体" w:eastAsia="黑体"/>
          <w:b/>
          <w:color w:val="auto"/>
          <w:sz w:val="24"/>
          <w:highlight w:val="none"/>
        </w:rPr>
        <w:t>、</w:t>
      </w:r>
      <w:r>
        <w:rPr>
          <w:rFonts w:hint="eastAsia" w:ascii="黑体" w:hAnsi="黑体" w:eastAsia="黑体" w:cs="Times New Roman"/>
          <w:b/>
          <w:color w:val="auto"/>
          <w:sz w:val="24"/>
          <w:szCs w:val="24"/>
          <w:highlight w:val="none"/>
        </w:rPr>
        <w:t xml:space="preserve">其他补充事宜 </w:t>
      </w:r>
    </w:p>
    <w:p w14:paraId="15931981">
      <w:pPr>
        <w:spacing w:line="360" w:lineRule="auto"/>
        <w:ind w:firstLine="352" w:firstLineChars="147"/>
        <w:rPr>
          <w:rFonts w:ascii="宋体" w:hAnsi="宋体" w:eastAsia="宋体" w:cs="宋体"/>
          <w:color w:val="auto"/>
          <w:sz w:val="24"/>
          <w:szCs w:val="24"/>
          <w:highlight w:val="none"/>
        </w:rPr>
      </w:pPr>
      <w:r>
        <w:rPr>
          <w:rFonts w:ascii="宋体" w:hAnsi="宋体" w:eastAsia="宋体" w:cs="宋体"/>
          <w:color w:val="auto"/>
          <w:sz w:val="24"/>
          <w:szCs w:val="24"/>
          <w:highlight w:val="none"/>
        </w:rPr>
        <w:t xml:space="preserve">供应商竞标注意事项 </w:t>
      </w:r>
    </w:p>
    <w:p w14:paraId="193EFF69">
      <w:pPr>
        <w:numPr>
          <w:ilvl w:val="0"/>
          <w:numId w:val="0"/>
        </w:numPr>
        <w:spacing w:line="360" w:lineRule="auto"/>
        <w:ind w:firstLine="480" w:firstLineChars="200"/>
        <w:rPr>
          <w:rFonts w:ascii="宋体" w:hAnsi="宋体" w:eastAsia="宋体" w:cs="宋体"/>
          <w:color w:val="auto"/>
          <w:sz w:val="24"/>
          <w:szCs w:val="24"/>
          <w:highlight w:val="none"/>
        </w:rPr>
      </w:pPr>
      <w:r>
        <w:rPr>
          <w:rFonts w:ascii="宋体" w:hAnsi="宋体" w:eastAsia="宋体" w:cs="宋体"/>
          <w:color w:val="auto"/>
          <w:kern w:val="2"/>
          <w:sz w:val="24"/>
          <w:szCs w:val="24"/>
          <w:highlight w:val="none"/>
          <w:lang w:val="en-US" w:eastAsia="zh-CN" w:bidi="ar-SA"/>
        </w:rPr>
        <w:t>（1）</w:t>
      </w:r>
      <w:r>
        <w:rPr>
          <w:rFonts w:ascii="宋体" w:hAnsi="宋体" w:eastAsia="宋体" w:cs="宋体"/>
          <w:color w:val="auto"/>
          <w:sz w:val="24"/>
          <w:szCs w:val="24"/>
          <w:highlight w:val="none"/>
        </w:rPr>
        <w:t xml:space="preserve">投标文件必须密封，否则按废标处理。 </w:t>
      </w:r>
    </w:p>
    <w:p w14:paraId="08356A91">
      <w:pPr>
        <w:spacing w:line="360" w:lineRule="auto"/>
        <w:ind w:firstLine="480" w:firstLineChars="200"/>
        <w:rPr>
          <w:rFonts w:hint="eastAsia" w:ascii="宋体" w:hAnsi="宋体" w:cs="宋体"/>
          <w:color w:val="auto"/>
          <w:sz w:val="24"/>
          <w:highlight w:val="none"/>
          <w:lang w:bidi="ar"/>
        </w:rPr>
      </w:pPr>
      <w:r>
        <w:rPr>
          <w:rFonts w:ascii="宋体" w:hAnsi="宋体" w:eastAsia="宋体" w:cs="宋体"/>
          <w:color w:val="auto"/>
          <w:sz w:val="24"/>
          <w:szCs w:val="24"/>
          <w:highlight w:val="none"/>
        </w:rPr>
        <w:t>（2）投标文件必须满足采购文件内的要求，否则按废标、无效处理。</w:t>
      </w:r>
    </w:p>
    <w:p w14:paraId="467F4856">
      <w:pPr>
        <w:spacing w:line="360" w:lineRule="auto"/>
        <w:ind w:firstLine="354" w:firstLineChars="147"/>
        <w:rPr>
          <w:rFonts w:ascii="黑体" w:hAnsi="黑体" w:eastAsia="黑体"/>
          <w:b/>
          <w:color w:val="auto"/>
          <w:sz w:val="24"/>
          <w:highlight w:val="none"/>
        </w:rPr>
      </w:pPr>
      <w:r>
        <w:rPr>
          <w:rFonts w:hint="eastAsia" w:ascii="黑体" w:hAnsi="黑体" w:eastAsia="黑体"/>
          <w:b/>
          <w:color w:val="auto"/>
          <w:sz w:val="24"/>
          <w:highlight w:val="none"/>
          <w:lang w:eastAsia="zh-CN"/>
        </w:rPr>
        <w:t>七</w:t>
      </w:r>
      <w:r>
        <w:rPr>
          <w:rFonts w:hint="eastAsia" w:ascii="黑体" w:hAnsi="黑体" w:eastAsia="黑体"/>
          <w:b/>
          <w:color w:val="auto"/>
          <w:sz w:val="24"/>
          <w:highlight w:val="none"/>
        </w:rPr>
        <w:t>、响应文件开启</w:t>
      </w:r>
    </w:p>
    <w:p w14:paraId="2B8A2CE2">
      <w:pPr>
        <w:spacing w:line="360" w:lineRule="auto"/>
        <w:ind w:firstLine="480" w:firstLineChars="200"/>
        <w:rPr>
          <w:rFonts w:hint="eastAsia" w:ascii="宋体" w:hAnsi="宋体" w:cs="宋体"/>
          <w:color w:val="auto"/>
          <w:sz w:val="24"/>
          <w:highlight w:val="none"/>
          <w:lang w:bidi="ar"/>
        </w:rPr>
      </w:pPr>
      <w:r>
        <w:rPr>
          <w:rFonts w:hint="eastAsia" w:ascii="宋体" w:hAnsi="宋体" w:cs="宋体"/>
          <w:color w:val="auto"/>
          <w:sz w:val="24"/>
          <w:highlight w:val="none"/>
          <w:lang w:bidi="ar"/>
        </w:rPr>
        <w:t>不邀请供应商参加响应文件开启。</w:t>
      </w:r>
    </w:p>
    <w:p w14:paraId="4D4FE1F6">
      <w:pPr>
        <w:spacing w:line="360" w:lineRule="auto"/>
        <w:ind w:firstLine="354" w:firstLineChars="147"/>
        <w:rPr>
          <w:rFonts w:ascii="黑体" w:hAnsi="黑体" w:eastAsia="黑体"/>
          <w:b/>
          <w:color w:val="auto"/>
          <w:sz w:val="24"/>
          <w:highlight w:val="none"/>
        </w:rPr>
      </w:pPr>
      <w:r>
        <w:rPr>
          <w:rFonts w:hint="eastAsia" w:ascii="黑体" w:hAnsi="黑体" w:eastAsia="黑体"/>
          <w:b/>
          <w:color w:val="auto"/>
          <w:sz w:val="24"/>
          <w:highlight w:val="none"/>
          <w:lang w:val="en-US" w:eastAsia="zh-CN"/>
        </w:rPr>
        <w:t>八</w:t>
      </w:r>
      <w:r>
        <w:rPr>
          <w:rFonts w:hint="eastAsia" w:ascii="黑体" w:hAnsi="黑体" w:eastAsia="黑体"/>
          <w:b/>
          <w:color w:val="auto"/>
          <w:sz w:val="24"/>
          <w:highlight w:val="none"/>
        </w:rPr>
        <w:t>、联系</w:t>
      </w:r>
      <w:r>
        <w:rPr>
          <w:rFonts w:ascii="黑体" w:hAnsi="黑体" w:eastAsia="黑体"/>
          <w:b/>
          <w:color w:val="auto"/>
          <w:sz w:val="24"/>
          <w:highlight w:val="none"/>
        </w:rPr>
        <w:t>方式</w:t>
      </w:r>
    </w:p>
    <w:p w14:paraId="687BEA14">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联系人：刘工  联系电话：0777-3889129。</w:t>
      </w:r>
    </w:p>
    <w:p w14:paraId="6A0524BC">
      <w:pPr>
        <w:spacing w:line="360" w:lineRule="auto"/>
        <w:ind w:firstLine="354" w:firstLineChars="147"/>
        <w:rPr>
          <w:rFonts w:ascii="黑体" w:hAnsi="黑体" w:eastAsia="黑体"/>
          <w:b/>
          <w:color w:val="auto"/>
          <w:sz w:val="24"/>
          <w:highlight w:val="none"/>
        </w:rPr>
      </w:pPr>
    </w:p>
    <w:p w14:paraId="625F267F">
      <w:pPr>
        <w:spacing w:line="360" w:lineRule="auto"/>
        <w:ind w:firstLine="480" w:firstLineChars="200"/>
        <w:rPr>
          <w:rFonts w:ascii="宋体" w:hAnsi="宋体" w:cs="宋体"/>
          <w:color w:val="auto"/>
          <w:sz w:val="24"/>
          <w:highlight w:val="none"/>
          <w:lang w:bidi="ar"/>
        </w:rPr>
      </w:pPr>
    </w:p>
    <w:p w14:paraId="7754CD0B">
      <w:pPr>
        <w:widowControl/>
        <w:spacing w:line="360" w:lineRule="auto"/>
        <w:ind w:firstLine="480" w:firstLineChars="200"/>
        <w:jc w:val="left"/>
        <w:rPr>
          <w:rFonts w:ascii="宋体" w:hAnsi="宋体" w:cs="宋体"/>
          <w:color w:val="auto"/>
          <w:sz w:val="24"/>
          <w:highlight w:val="none"/>
          <w:lang w:bidi="ar"/>
        </w:rPr>
      </w:pPr>
      <w:r>
        <w:rPr>
          <w:rFonts w:hint="eastAsia" w:ascii="宋体" w:hAnsi="宋体" w:cs="宋体"/>
          <w:color w:val="auto"/>
          <w:sz w:val="24"/>
          <w:highlight w:val="none"/>
          <w:lang w:bidi="ar"/>
        </w:rPr>
        <w:t xml:space="preserve">                           </w:t>
      </w:r>
    </w:p>
    <w:p w14:paraId="0B4B2951">
      <w:pPr>
        <w:widowControl/>
        <w:spacing w:line="360" w:lineRule="auto"/>
        <w:ind w:firstLine="2400" w:firstLineChars="1000"/>
        <w:jc w:val="left"/>
        <w:rPr>
          <w:rFonts w:ascii="宋体" w:hAnsi="宋体" w:cs="宋体"/>
          <w:color w:val="auto"/>
          <w:sz w:val="24"/>
          <w:highlight w:val="none"/>
          <w:lang w:bidi="ar"/>
        </w:rPr>
      </w:pPr>
      <w:r>
        <w:rPr>
          <w:rFonts w:hint="eastAsia" w:ascii="宋体" w:hAnsi="宋体" w:cs="宋体"/>
          <w:color w:val="auto"/>
          <w:sz w:val="24"/>
          <w:highlight w:val="none"/>
          <w:lang w:bidi="ar"/>
        </w:rPr>
        <w:t>采购人：广西壮族自治区北部湾港口管理局钦州分局</w:t>
      </w:r>
    </w:p>
    <w:p w14:paraId="5D7CC7E3">
      <w:pPr>
        <w:spacing w:line="360" w:lineRule="auto"/>
        <w:ind w:firstLine="480" w:firstLineChars="200"/>
        <w:jc w:val="left"/>
        <w:rPr>
          <w:rFonts w:ascii="宋体" w:hAnsi="宋体" w:cs="宋体"/>
          <w:color w:val="auto"/>
          <w:sz w:val="24"/>
          <w:highlight w:val="none"/>
          <w:lang w:bidi="ar"/>
        </w:rPr>
      </w:pPr>
      <w:r>
        <w:rPr>
          <w:rFonts w:hint="eastAsia" w:ascii="宋体" w:hAnsi="宋体" w:cs="宋体"/>
          <w:color w:val="auto"/>
          <w:sz w:val="24"/>
          <w:highlight w:val="none"/>
          <w:lang w:bidi="ar"/>
        </w:rPr>
        <w:t xml:space="preserve">                            2025年</w:t>
      </w:r>
      <w:r>
        <w:rPr>
          <w:rFonts w:hint="eastAsia" w:ascii="宋体" w:hAnsi="宋体" w:cs="宋体"/>
          <w:color w:val="auto"/>
          <w:sz w:val="24"/>
          <w:highlight w:val="none"/>
          <w:lang w:val="en-US" w:eastAsia="zh-CN" w:bidi="ar"/>
        </w:rPr>
        <w:t>7</w:t>
      </w:r>
      <w:r>
        <w:rPr>
          <w:rFonts w:hint="eastAsia" w:ascii="宋体" w:hAnsi="宋体" w:cs="宋体"/>
          <w:color w:val="auto"/>
          <w:sz w:val="24"/>
          <w:highlight w:val="none"/>
          <w:lang w:bidi="ar"/>
        </w:rPr>
        <w:t>月</w:t>
      </w:r>
      <w:r>
        <w:rPr>
          <w:rFonts w:hint="eastAsia" w:ascii="宋体" w:hAnsi="宋体" w:cs="宋体"/>
          <w:color w:val="auto"/>
          <w:sz w:val="24"/>
          <w:highlight w:val="none"/>
          <w:lang w:val="en-US" w:eastAsia="zh-CN" w:bidi="ar"/>
        </w:rPr>
        <w:t>4</w:t>
      </w:r>
      <w:r>
        <w:rPr>
          <w:rFonts w:hint="eastAsia" w:ascii="宋体" w:hAnsi="宋体" w:cs="宋体"/>
          <w:color w:val="auto"/>
          <w:sz w:val="24"/>
          <w:highlight w:val="none"/>
          <w:lang w:bidi="ar"/>
        </w:rPr>
        <w:t>日</w:t>
      </w:r>
    </w:p>
    <w:p w14:paraId="170D49E7">
      <w:pPr>
        <w:snapToGrid w:val="0"/>
        <w:spacing w:line="380" w:lineRule="exact"/>
        <w:ind w:left="238"/>
        <w:jc w:val="center"/>
        <w:rPr>
          <w:rFonts w:ascii="宋体" w:hAnsi="宋体"/>
          <w:b/>
          <w:bCs/>
          <w:color w:val="auto"/>
          <w:sz w:val="32"/>
          <w:szCs w:val="32"/>
          <w:highlight w:val="none"/>
        </w:rPr>
      </w:pPr>
    </w:p>
    <w:p w14:paraId="73D8CEC0">
      <w:pPr>
        <w:pStyle w:val="2"/>
        <w:spacing w:before="0" w:after="0" w:line="460" w:lineRule="exact"/>
        <w:jc w:val="center"/>
        <w:rPr>
          <w:color w:val="auto"/>
          <w:sz w:val="28"/>
          <w:szCs w:val="28"/>
          <w:highlight w:val="none"/>
        </w:rPr>
      </w:pPr>
      <w:r>
        <w:rPr>
          <w:rFonts w:hint="eastAsia"/>
          <w:color w:val="auto"/>
          <w:highlight w:val="none"/>
        </w:rPr>
        <w:br w:type="page"/>
      </w:r>
      <w:bookmarkStart w:id="9" w:name="_Toc16740"/>
      <w:bookmarkStart w:id="10" w:name="_Toc31261"/>
      <w:r>
        <w:rPr>
          <w:rFonts w:hint="eastAsia"/>
          <w:color w:val="auto"/>
          <w:sz w:val="28"/>
          <w:szCs w:val="28"/>
          <w:highlight w:val="none"/>
        </w:rPr>
        <w:t>第二章 供应商须知</w:t>
      </w:r>
      <w:bookmarkEnd w:id="9"/>
      <w:bookmarkEnd w:id="10"/>
    </w:p>
    <w:p w14:paraId="5F807F8E">
      <w:pPr>
        <w:spacing w:line="400" w:lineRule="exact"/>
        <w:jc w:val="center"/>
        <w:rPr>
          <w:rFonts w:ascii="宋体" w:hAnsi="宋体"/>
          <w:b/>
          <w:color w:val="auto"/>
          <w:sz w:val="32"/>
          <w:szCs w:val="32"/>
          <w:highlight w:val="none"/>
        </w:rPr>
      </w:pPr>
    </w:p>
    <w:p w14:paraId="5FAA4253">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一、本次采购采用总价包干，竞标报价包含但不限于从前期踏勘、资料收集、</w:t>
      </w:r>
      <w:r>
        <w:rPr>
          <w:rFonts w:hint="eastAsia" w:ascii="宋体" w:hAnsi="宋体" w:cs="宋体"/>
          <w:color w:val="auto"/>
          <w:sz w:val="24"/>
          <w:highlight w:val="none"/>
          <w:lang w:eastAsia="zh-CN" w:bidi="ar"/>
        </w:rPr>
        <w:t>水上水下施工许可证办理费用、</w:t>
      </w:r>
      <w:r>
        <w:rPr>
          <w:rFonts w:hint="eastAsia" w:ascii="宋体" w:hAnsi="宋体" w:cs="宋体"/>
          <w:color w:val="auto"/>
          <w:sz w:val="24"/>
          <w:highlight w:val="none"/>
          <w:lang w:bidi="ar"/>
        </w:rPr>
        <w:t>现场管理费、会议、</w:t>
      </w:r>
      <w:r>
        <w:rPr>
          <w:rFonts w:hint="eastAsia" w:ascii="宋体" w:hAnsi="宋体" w:cs="宋体"/>
          <w:color w:val="auto"/>
          <w:sz w:val="24"/>
          <w:highlight w:val="none"/>
          <w:lang w:eastAsia="zh-CN" w:bidi="ar"/>
        </w:rPr>
        <w:t>专家咨询费、</w:t>
      </w:r>
      <w:r>
        <w:rPr>
          <w:rFonts w:hint="eastAsia" w:ascii="宋体" w:hAnsi="宋体" w:cs="宋体"/>
          <w:color w:val="auto"/>
          <w:sz w:val="24"/>
          <w:highlight w:val="none"/>
          <w:lang w:bidi="ar"/>
        </w:rPr>
        <w:t>调研差旅费、管理费、文印费、设备耗材费、税费及合同包含的所有风险、责任及措施等费用，包含为完成钦州港公共水域浅点整治研究的全部工作以及可能发生的各种费用。本项目合同总价在合同执行过程中是固定的，不因情况变化而调整。</w:t>
      </w:r>
    </w:p>
    <w:p w14:paraId="21BF5EE5">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二、竞标报价为一次报价，此次报价即最终报价，不再就价格问题另行协商。</w:t>
      </w:r>
    </w:p>
    <w:p w14:paraId="45A82A84">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三、竞标报价不能超过采购公告规定的最高限价，超过最高限价作竞标无效处理。</w:t>
      </w:r>
    </w:p>
    <w:p w14:paraId="5F73F40D">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四、报价应为含税价格，并且能够提供增值税发票。</w:t>
      </w:r>
    </w:p>
    <w:p w14:paraId="7E66785A">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五、供应商如需现场考察，可自行前往，费用自理。</w:t>
      </w:r>
    </w:p>
    <w:p w14:paraId="3C240889">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六、供应商应针对本项目的特殊性和项目所在地的地理、人文、环境进行综合的评估，谨慎报价，合理安排各项工作。</w:t>
      </w:r>
    </w:p>
    <w:p w14:paraId="4D6842B7">
      <w:pPr>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七、响应文件应于采购公告规定的响应文件提交截止时间前提交，密封邮寄或亲自提交到广西壮族自治区北部湾港口管理局钦州分局（钦州市钦州港融和大街20号）419号办公室，逾期送达的，采购人将予以拒绝。</w:t>
      </w:r>
    </w:p>
    <w:p w14:paraId="33D4433E">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八、响应文件应按第五章响应文件格式要求编制。响应文件正本壹份、副本壹份。</w:t>
      </w:r>
    </w:p>
    <w:p w14:paraId="7124766A">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九、本项目不允许分包。</w:t>
      </w:r>
    </w:p>
    <w:p w14:paraId="1EDFB8FF">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十、竞标有效期为60</w:t>
      </w:r>
      <w:r>
        <w:rPr>
          <w:rFonts w:hint="eastAsia" w:ascii="宋体" w:hAnsi="宋体" w:cs="宋体"/>
          <w:color w:val="auto"/>
          <w:sz w:val="24"/>
          <w:highlight w:val="none"/>
          <w:lang w:eastAsia="zh-CN" w:bidi="ar"/>
        </w:rPr>
        <w:t>日历</w:t>
      </w:r>
      <w:r>
        <w:rPr>
          <w:rFonts w:hint="eastAsia" w:ascii="宋体" w:hAnsi="宋体" w:cs="宋体"/>
          <w:color w:val="auto"/>
          <w:sz w:val="24"/>
          <w:highlight w:val="none"/>
          <w:lang w:bidi="ar"/>
        </w:rPr>
        <w:t>天。</w:t>
      </w:r>
    </w:p>
    <w:p w14:paraId="07C8C51D">
      <w:pPr>
        <w:spacing w:line="360" w:lineRule="auto"/>
        <w:ind w:firstLine="480" w:firstLineChars="200"/>
        <w:rPr>
          <w:rFonts w:ascii="宋体" w:hAnsi="宋体" w:cs="宋体"/>
          <w:color w:val="auto"/>
          <w:sz w:val="24"/>
          <w:highlight w:val="none"/>
          <w:lang w:bidi="ar"/>
        </w:rPr>
      </w:pPr>
    </w:p>
    <w:p w14:paraId="3C3E9F09">
      <w:pPr>
        <w:pStyle w:val="10"/>
        <w:rPr>
          <w:rFonts w:ascii="宋体"/>
          <w:bCs/>
          <w:color w:val="auto"/>
          <w:kern w:val="0"/>
          <w:szCs w:val="21"/>
          <w:highlight w:val="none"/>
        </w:rPr>
      </w:pPr>
    </w:p>
    <w:p w14:paraId="4967EA45">
      <w:pPr>
        <w:pStyle w:val="10"/>
        <w:rPr>
          <w:rFonts w:ascii="宋体"/>
          <w:bCs/>
          <w:color w:val="auto"/>
          <w:kern w:val="0"/>
          <w:szCs w:val="21"/>
          <w:highlight w:val="none"/>
        </w:rPr>
      </w:pPr>
    </w:p>
    <w:p w14:paraId="32933647">
      <w:pPr>
        <w:pStyle w:val="16"/>
        <w:spacing w:line="360" w:lineRule="auto"/>
        <w:ind w:firstLine="643" w:firstLineChars="200"/>
        <w:textAlignment w:val="center"/>
        <w:rPr>
          <w:rFonts w:hAnsi="宋体" w:cs="宋体"/>
          <w:color w:val="auto"/>
          <w:kern w:val="2"/>
          <w:sz w:val="21"/>
          <w:highlight w:val="none"/>
        </w:rPr>
      </w:pPr>
      <w:r>
        <w:rPr>
          <w:rFonts w:hAnsi="宋体"/>
          <w:b/>
          <w:color w:val="auto"/>
          <w:sz w:val="32"/>
          <w:szCs w:val="32"/>
          <w:highlight w:val="none"/>
        </w:rPr>
        <w:br w:type="page"/>
      </w:r>
    </w:p>
    <w:p w14:paraId="54961A22">
      <w:pPr>
        <w:pStyle w:val="2"/>
        <w:spacing w:before="0" w:after="0" w:line="360" w:lineRule="auto"/>
        <w:jc w:val="center"/>
        <w:rPr>
          <w:color w:val="auto"/>
          <w:sz w:val="28"/>
          <w:szCs w:val="28"/>
          <w:highlight w:val="none"/>
        </w:rPr>
      </w:pPr>
      <w:bookmarkStart w:id="11" w:name="_Toc31960"/>
      <w:bookmarkStart w:id="12" w:name="_Toc2534"/>
      <w:r>
        <w:rPr>
          <w:rFonts w:hint="eastAsia"/>
          <w:color w:val="auto"/>
          <w:sz w:val="28"/>
          <w:szCs w:val="28"/>
          <w:highlight w:val="none"/>
        </w:rPr>
        <w:t>第三章 采购需求</w:t>
      </w:r>
      <w:bookmarkEnd w:id="11"/>
      <w:bookmarkEnd w:id="12"/>
    </w:p>
    <w:p w14:paraId="1D756A1D">
      <w:pPr>
        <w:widowControl/>
        <w:spacing w:line="360" w:lineRule="auto"/>
        <w:ind w:firstLine="482" w:firstLineChars="200"/>
        <w:rPr>
          <w:rFonts w:ascii="宋体" w:hAnsi="宋体" w:cs="宋体"/>
          <w:b/>
          <w:bCs/>
          <w:color w:val="auto"/>
          <w:sz w:val="24"/>
          <w:highlight w:val="none"/>
          <w:lang w:bidi="ar"/>
        </w:rPr>
      </w:pPr>
      <w:r>
        <w:rPr>
          <w:rFonts w:hint="eastAsia" w:ascii="宋体" w:hAnsi="宋体" w:cs="宋体"/>
          <w:b/>
          <w:bCs/>
          <w:color w:val="auto"/>
          <w:sz w:val="24"/>
          <w:highlight w:val="none"/>
          <w:lang w:bidi="ar"/>
        </w:rPr>
        <w:t>一、项目概况</w:t>
      </w:r>
    </w:p>
    <w:p w14:paraId="3C749342">
      <w:pPr>
        <w:pStyle w:val="6"/>
        <w:ind w:firstLine="480" w:firstLineChars="200"/>
        <w:rPr>
          <w:rFonts w:ascii="宋体" w:hAnsi="宋体" w:cs="宋体"/>
          <w:color w:val="auto"/>
          <w:sz w:val="24"/>
          <w:highlight w:val="none"/>
        </w:rPr>
      </w:pPr>
      <w:r>
        <w:rPr>
          <w:rFonts w:hint="eastAsia" w:ascii="宋体" w:hAnsi="宋体" w:cs="宋体"/>
          <w:b w:val="0"/>
          <w:color w:val="auto"/>
          <w:sz w:val="24"/>
          <w:szCs w:val="24"/>
          <w:highlight w:val="none"/>
        </w:rPr>
        <w:t>为落实部门预算，保障港口公共水域通航安全，开展钦州港公共水域浅点整治研究勘察、设计单位采购工作，由勘察单位负责开展钦州港公共水域浅点排查工作，明确浅点范围，设计单位编制浅点整治实施方案，主要内容包括：钦州港码头之间公共水域采用多波束全覆盖扫测，确定浅点区、浅点区地质勘探、编制钦州港公共水域浅点整治实施方案。</w:t>
      </w:r>
    </w:p>
    <w:p w14:paraId="5F4211B5">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采购预算</w:t>
      </w:r>
      <w:r>
        <w:rPr>
          <w:rFonts w:hint="eastAsia" w:ascii="宋体" w:hAnsi="宋体" w:cs="宋体"/>
          <w:color w:val="auto"/>
          <w:sz w:val="24"/>
          <w:highlight w:val="none"/>
          <w:lang w:val="en-US" w:eastAsia="zh-CN" w:bidi="ar"/>
        </w:rPr>
        <w:t>金额</w:t>
      </w:r>
      <w:r>
        <w:rPr>
          <w:rFonts w:hint="eastAsia" w:ascii="宋体" w:hAnsi="宋体" w:cs="宋体"/>
          <w:color w:val="auto"/>
          <w:sz w:val="24"/>
          <w:highlight w:val="none"/>
          <w:lang w:bidi="ar"/>
        </w:rPr>
        <w:t>：43万元。</w:t>
      </w:r>
    </w:p>
    <w:p w14:paraId="04AE3894">
      <w:pPr>
        <w:widowControl/>
        <w:spacing w:line="360" w:lineRule="auto"/>
        <w:ind w:firstLine="482" w:firstLineChars="200"/>
        <w:rPr>
          <w:rFonts w:ascii="宋体" w:hAnsi="宋体" w:cs="宋体"/>
          <w:b/>
          <w:bCs/>
          <w:color w:val="auto"/>
          <w:sz w:val="24"/>
          <w:highlight w:val="none"/>
          <w:lang w:bidi="ar"/>
        </w:rPr>
      </w:pPr>
      <w:r>
        <w:rPr>
          <w:rFonts w:hint="eastAsia" w:ascii="宋体" w:hAnsi="宋体" w:cs="宋体"/>
          <w:b/>
          <w:bCs/>
          <w:color w:val="auto"/>
          <w:sz w:val="24"/>
          <w:highlight w:val="none"/>
          <w:lang w:bidi="ar"/>
        </w:rPr>
        <w:t>二、采购项目服务内容</w:t>
      </w:r>
    </w:p>
    <w:p w14:paraId="2ABD47DB">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（一）采购项目服务的主要任务</w:t>
      </w:r>
    </w:p>
    <w:p w14:paraId="3FDB1AF7">
      <w:pPr>
        <w:pStyle w:val="6"/>
        <w:ind w:firstLine="480" w:firstLineChars="200"/>
        <w:rPr>
          <w:rFonts w:ascii="宋体" w:hAnsi="宋体"/>
          <w:b w:val="0"/>
          <w:bCs w:val="0"/>
          <w:color w:val="auto"/>
          <w:sz w:val="24"/>
          <w:szCs w:val="24"/>
          <w:highlight w:val="none"/>
        </w:rPr>
      </w:pPr>
      <w:r>
        <w:rPr>
          <w:rFonts w:hint="eastAsia" w:ascii="宋体" w:hAnsi="宋体" w:cs="Times New Roman"/>
          <w:b w:val="0"/>
          <w:bCs w:val="0"/>
          <w:color w:val="auto"/>
          <w:sz w:val="24"/>
          <w:szCs w:val="24"/>
          <w:highlight w:val="none"/>
          <w:lang w:val="en-US" w:eastAsia="zh-CN"/>
        </w:rPr>
        <w:t>对</w:t>
      </w:r>
      <w:r>
        <w:rPr>
          <w:rFonts w:hint="eastAsia" w:ascii="宋体" w:hAnsi="宋体" w:cs="Times New Roman"/>
          <w:b w:val="0"/>
          <w:bCs w:val="0"/>
          <w:color w:val="auto"/>
          <w:sz w:val="24"/>
          <w:szCs w:val="24"/>
          <w:highlight w:val="none"/>
        </w:rPr>
        <w:t>钦州港金谷港区中石油码头与国投电厂码头之间、</w:t>
      </w:r>
      <w:r>
        <w:rPr>
          <w:rFonts w:hint="eastAsia" w:ascii="宋体" w:hAnsi="宋体" w:cs="Times New Roman"/>
          <w:b w:val="0"/>
          <w:bCs w:val="0"/>
          <w:color w:val="auto"/>
          <w:sz w:val="24"/>
          <w:szCs w:val="24"/>
          <w:highlight w:val="none"/>
          <w:lang w:eastAsia="zh-CN"/>
        </w:rPr>
        <w:t>中石化码头与天盛煤码头之间、勒沟航道、</w:t>
      </w:r>
      <w:r>
        <w:rPr>
          <w:rFonts w:hint="eastAsia" w:ascii="宋体" w:hAnsi="宋体" w:cs="Times New Roman"/>
          <w:b w:val="0"/>
          <w:bCs w:val="0"/>
          <w:color w:val="auto"/>
          <w:sz w:val="24"/>
          <w:szCs w:val="24"/>
          <w:highlight w:val="none"/>
        </w:rPr>
        <w:t>勒沟航道口门附近等存在浅点的公共水域</w:t>
      </w:r>
      <w:r>
        <w:rPr>
          <w:rFonts w:hint="eastAsia" w:ascii="宋体" w:hAnsi="宋体"/>
          <w:b w:val="0"/>
          <w:bCs w:val="0"/>
          <w:color w:val="auto"/>
          <w:sz w:val="24"/>
          <w:szCs w:val="24"/>
          <w:highlight w:val="none"/>
        </w:rPr>
        <w:t>采用多波束全覆盖扫测，确定浅点区、浅点区地质勘探、编制钦州港公共水域浅点整治实施方案。</w:t>
      </w:r>
    </w:p>
    <w:p w14:paraId="028DED3D">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（二）采购项目服务的主要工作内容</w:t>
      </w:r>
    </w:p>
    <w:p w14:paraId="19D2E15A">
      <w:pPr>
        <w:pStyle w:val="6"/>
        <w:ind w:firstLine="480" w:firstLineChars="200"/>
        <w:rPr>
          <w:rFonts w:ascii="宋体" w:hAnsi="宋体" w:cs="宋体"/>
          <w:b w:val="0"/>
          <w:color w:val="auto"/>
          <w:sz w:val="24"/>
          <w:szCs w:val="24"/>
          <w:highlight w:val="none"/>
          <w:lang w:bidi="ar"/>
        </w:rPr>
      </w:pPr>
      <w:r>
        <w:rPr>
          <w:rFonts w:hint="eastAsia" w:ascii="宋体" w:hAnsi="宋体" w:cs="宋体"/>
          <w:b w:val="0"/>
          <w:color w:val="auto"/>
          <w:sz w:val="24"/>
          <w:szCs w:val="24"/>
          <w:highlight w:val="none"/>
        </w:rPr>
        <w:t>多波束</w:t>
      </w:r>
      <w:r>
        <w:rPr>
          <w:rFonts w:hint="eastAsia" w:ascii="宋体" w:hAnsi="宋体"/>
          <w:b w:val="0"/>
          <w:bCs/>
          <w:color w:val="auto"/>
          <w:sz w:val="24"/>
          <w:szCs w:val="24"/>
          <w:highlight w:val="none"/>
          <w:lang w:eastAsia="zh-CN"/>
        </w:rPr>
        <w:t>1:1000</w:t>
      </w:r>
      <w:r>
        <w:rPr>
          <w:rFonts w:hint="eastAsia" w:ascii="宋体" w:hAnsi="宋体" w:cs="宋体"/>
          <w:b w:val="0"/>
          <w:color w:val="auto"/>
          <w:sz w:val="24"/>
          <w:szCs w:val="24"/>
          <w:highlight w:val="none"/>
        </w:rPr>
        <w:t>全覆盖扫测</w:t>
      </w:r>
      <w:r>
        <w:rPr>
          <w:rFonts w:hint="eastAsia" w:ascii="宋体" w:hAnsi="宋体"/>
          <w:b w:val="0"/>
          <w:bCs w:val="0"/>
          <w:color w:val="auto"/>
          <w:sz w:val="24"/>
          <w:szCs w:val="24"/>
          <w:highlight w:val="none"/>
        </w:rPr>
        <w:t>钦州港公共水域</w:t>
      </w:r>
      <w:r>
        <w:rPr>
          <w:rFonts w:hint="eastAsia" w:ascii="宋体" w:hAnsi="宋体" w:cs="宋体"/>
          <w:b w:val="0"/>
          <w:color w:val="auto"/>
          <w:sz w:val="24"/>
          <w:szCs w:val="24"/>
          <w:highlight w:val="none"/>
          <w:lang w:eastAsia="zh-CN"/>
        </w:rPr>
        <w:t>，</w:t>
      </w:r>
      <w:r>
        <w:rPr>
          <w:rFonts w:hint="eastAsia"/>
          <w:b w:val="0"/>
          <w:color w:val="auto"/>
          <w:sz w:val="24"/>
          <w:szCs w:val="24"/>
          <w:highlight w:val="none"/>
        </w:rPr>
        <w:t>面积约</w:t>
      </w:r>
      <w:r>
        <w:rPr>
          <w:rFonts w:hint="eastAsia"/>
          <w:b w:val="0"/>
          <w:color w:val="auto"/>
          <w:sz w:val="24"/>
          <w:szCs w:val="24"/>
          <w:highlight w:val="none"/>
          <w:lang w:val="en-US" w:eastAsia="zh-CN"/>
        </w:rPr>
        <w:t>3.3</w:t>
      </w:r>
      <w:r>
        <w:rPr>
          <w:rFonts w:hint="eastAsia"/>
          <w:b w:val="0"/>
          <w:color w:val="auto"/>
          <w:sz w:val="24"/>
          <w:szCs w:val="24"/>
          <w:highlight w:val="none"/>
        </w:rPr>
        <w:t>平方公里，地勘钻孔暂估12个（实际数量以满足设计及规范要求为准）</w:t>
      </w:r>
      <w:r>
        <w:rPr>
          <w:b w:val="0"/>
          <w:color w:val="auto"/>
          <w:sz w:val="24"/>
          <w:szCs w:val="24"/>
          <w:highlight w:val="none"/>
        </w:rPr>
        <w:t>，编制</w:t>
      </w:r>
      <w:r>
        <w:rPr>
          <w:rFonts w:hint="eastAsia"/>
          <w:b w:val="0"/>
          <w:color w:val="auto"/>
          <w:sz w:val="24"/>
          <w:szCs w:val="24"/>
          <w:highlight w:val="none"/>
        </w:rPr>
        <w:t>钦州港公共水域浅点整治实施方案1项。</w:t>
      </w:r>
    </w:p>
    <w:p w14:paraId="4A1C0945">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（三）采购项目服务的基本目标</w:t>
      </w:r>
    </w:p>
    <w:p w14:paraId="309C892A">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1.质量目标：确保钦州港公共水域浅点整治研究质量满足合同要求。</w:t>
      </w:r>
    </w:p>
    <w:p w14:paraId="0046D5B8">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2.进度目标：按照</w:t>
      </w:r>
      <w:r>
        <w:rPr>
          <w:rFonts w:hint="eastAsia" w:ascii="宋体" w:hAnsi="宋体" w:cs="宋体"/>
          <w:color w:val="auto"/>
          <w:sz w:val="24"/>
          <w:highlight w:val="none"/>
          <w:lang w:eastAsia="zh-CN" w:bidi="ar"/>
        </w:rPr>
        <w:t>采购人</w:t>
      </w:r>
      <w:r>
        <w:rPr>
          <w:rFonts w:hint="eastAsia" w:ascii="宋体" w:hAnsi="宋体" w:cs="宋体"/>
          <w:color w:val="auto"/>
          <w:sz w:val="24"/>
          <w:highlight w:val="none"/>
          <w:lang w:bidi="ar"/>
        </w:rPr>
        <w:t>的工期要求，按时完成钦州港公共水域浅点整治研究工作。</w:t>
      </w:r>
    </w:p>
    <w:p w14:paraId="3881B5EE">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3.安全目标：无重大安全责任事故。</w:t>
      </w:r>
    </w:p>
    <w:p w14:paraId="632D4D3E">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（四）采购项目的工作程序及流程</w:t>
      </w:r>
    </w:p>
    <w:p w14:paraId="5BF92D52">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 xml:space="preserve">采用多波束全覆盖扫测，确定钦州港码头之间公共水域浅点区、浅点区地质勘探，编制钦州港公共水域浅点整治实施方案，通过验收。 </w:t>
      </w:r>
    </w:p>
    <w:p w14:paraId="014C8EEA">
      <w:pPr>
        <w:widowControl/>
        <w:spacing w:line="360" w:lineRule="auto"/>
        <w:ind w:firstLine="482" w:firstLineChars="200"/>
        <w:rPr>
          <w:rFonts w:ascii="宋体" w:hAnsi="宋体" w:cs="宋体"/>
          <w:b/>
          <w:bCs/>
          <w:color w:val="auto"/>
          <w:sz w:val="24"/>
          <w:highlight w:val="none"/>
          <w:lang w:bidi="ar"/>
        </w:rPr>
      </w:pPr>
      <w:r>
        <w:rPr>
          <w:rFonts w:hint="eastAsia" w:ascii="宋体" w:hAnsi="宋体" w:cs="宋体"/>
          <w:b/>
          <w:bCs/>
          <w:color w:val="auto"/>
          <w:sz w:val="24"/>
          <w:highlight w:val="none"/>
          <w:lang w:bidi="ar"/>
        </w:rPr>
        <w:t>三、技术要求</w:t>
      </w:r>
    </w:p>
    <w:p w14:paraId="71135E9A">
      <w:pPr>
        <w:widowControl/>
        <w:spacing w:line="360" w:lineRule="auto"/>
        <w:ind w:firstLine="482" w:firstLineChars="200"/>
        <w:rPr>
          <w:rFonts w:ascii="宋体" w:hAnsi="宋体" w:cs="宋体"/>
          <w:b/>
          <w:bCs/>
          <w:color w:val="auto"/>
          <w:sz w:val="24"/>
          <w:highlight w:val="none"/>
          <w:lang w:bidi="ar"/>
        </w:rPr>
      </w:pPr>
      <w:r>
        <w:rPr>
          <w:rFonts w:hint="eastAsia" w:ascii="宋体" w:hAnsi="宋体" w:cs="宋体"/>
          <w:b/>
          <w:bCs/>
          <w:color w:val="auto"/>
          <w:sz w:val="24"/>
          <w:highlight w:val="none"/>
          <w:lang w:bidi="ar"/>
        </w:rPr>
        <w:t>（一）技术标准</w:t>
      </w:r>
    </w:p>
    <w:p w14:paraId="0F21319C">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符合交通运输部现行相关规定。</w:t>
      </w:r>
    </w:p>
    <w:p w14:paraId="0778EFD6">
      <w:pPr>
        <w:widowControl/>
        <w:spacing w:line="360" w:lineRule="auto"/>
        <w:ind w:firstLine="482" w:firstLineChars="200"/>
        <w:rPr>
          <w:rFonts w:ascii="宋体" w:hAnsi="宋体" w:cs="宋体"/>
          <w:b/>
          <w:bCs/>
          <w:color w:val="auto"/>
          <w:sz w:val="24"/>
          <w:highlight w:val="none"/>
          <w:lang w:bidi="ar"/>
        </w:rPr>
      </w:pPr>
      <w:r>
        <w:rPr>
          <w:rFonts w:hint="eastAsia" w:ascii="宋体" w:hAnsi="宋体" w:cs="宋体"/>
          <w:b/>
          <w:bCs/>
          <w:color w:val="auto"/>
          <w:sz w:val="24"/>
          <w:highlight w:val="none"/>
          <w:lang w:bidi="ar"/>
        </w:rPr>
        <w:t>（二）质量要求</w:t>
      </w:r>
    </w:p>
    <w:p w14:paraId="4595A721">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工作程序、工作成果符合交通运输部现行相关规定。</w:t>
      </w:r>
    </w:p>
    <w:p w14:paraId="19397448">
      <w:pPr>
        <w:widowControl/>
        <w:spacing w:line="360" w:lineRule="auto"/>
        <w:ind w:firstLine="482" w:firstLineChars="200"/>
        <w:rPr>
          <w:rFonts w:ascii="宋体" w:hAnsi="宋体" w:cs="宋体"/>
          <w:b/>
          <w:bCs/>
          <w:color w:val="auto"/>
          <w:sz w:val="24"/>
          <w:highlight w:val="none"/>
          <w:lang w:bidi="ar"/>
        </w:rPr>
      </w:pPr>
      <w:r>
        <w:rPr>
          <w:rFonts w:hint="eastAsia" w:ascii="宋体" w:hAnsi="宋体" w:cs="宋体"/>
          <w:b/>
          <w:bCs/>
          <w:color w:val="auto"/>
          <w:sz w:val="24"/>
          <w:highlight w:val="none"/>
          <w:lang w:bidi="ar"/>
        </w:rPr>
        <w:t>四、商务要求</w:t>
      </w:r>
    </w:p>
    <w:p w14:paraId="4C2EB916">
      <w:pPr>
        <w:widowControl/>
        <w:spacing w:line="360" w:lineRule="auto"/>
        <w:ind w:firstLine="482" w:firstLineChars="200"/>
        <w:rPr>
          <w:rFonts w:ascii="宋体" w:hAnsi="宋体" w:cs="宋体"/>
          <w:b/>
          <w:bCs/>
          <w:color w:val="auto"/>
          <w:sz w:val="24"/>
          <w:highlight w:val="none"/>
          <w:lang w:bidi="ar"/>
        </w:rPr>
      </w:pPr>
      <w:r>
        <w:rPr>
          <w:rFonts w:hint="eastAsia" w:ascii="宋体" w:hAnsi="宋体" w:cs="宋体"/>
          <w:b/>
          <w:bCs/>
          <w:color w:val="auto"/>
          <w:sz w:val="24"/>
          <w:highlight w:val="none"/>
          <w:lang w:bidi="ar"/>
        </w:rPr>
        <w:t>（一）报价要求</w:t>
      </w:r>
    </w:p>
    <w:p w14:paraId="377F4D0C">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1.竞标报价为完成采购人指定服务全部内容的报价，必须包含：履行合同的最终价格，包括了供应商完成本项目所需的一切工作内容而发生的所有直接费用、间接费用、其他费用、税金等全部费用和供应商要求获得的利润以及应由供应商承担的义务、责任和风险所发生的一切费用。</w:t>
      </w:r>
    </w:p>
    <w:p w14:paraId="29BB86D9">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2.本次采购采用总价包干，竞标报价包含但不限于从前期踏勘、资料收集、</w:t>
      </w:r>
      <w:r>
        <w:rPr>
          <w:rFonts w:hint="eastAsia" w:ascii="宋体" w:hAnsi="宋体" w:cs="宋体"/>
          <w:color w:val="auto"/>
          <w:sz w:val="24"/>
          <w:highlight w:val="none"/>
          <w:lang w:eastAsia="zh-CN" w:bidi="ar"/>
        </w:rPr>
        <w:t>水上水下施工许可证办理费用、</w:t>
      </w:r>
      <w:r>
        <w:rPr>
          <w:rFonts w:hint="eastAsia" w:ascii="宋体" w:hAnsi="宋体" w:cs="宋体"/>
          <w:color w:val="auto"/>
          <w:sz w:val="24"/>
          <w:highlight w:val="none"/>
          <w:lang w:bidi="ar"/>
        </w:rPr>
        <w:t>现场管理费、会议、</w:t>
      </w:r>
      <w:r>
        <w:rPr>
          <w:rFonts w:hint="eastAsia" w:ascii="宋体" w:hAnsi="宋体" w:cs="宋体"/>
          <w:color w:val="auto"/>
          <w:sz w:val="24"/>
          <w:highlight w:val="none"/>
          <w:lang w:eastAsia="zh-CN" w:bidi="ar"/>
        </w:rPr>
        <w:t>专家咨询费、</w:t>
      </w:r>
      <w:r>
        <w:rPr>
          <w:rFonts w:hint="eastAsia" w:ascii="宋体" w:hAnsi="宋体" w:cs="宋体"/>
          <w:color w:val="auto"/>
          <w:sz w:val="24"/>
          <w:highlight w:val="none"/>
          <w:lang w:bidi="ar"/>
        </w:rPr>
        <w:t>调研差旅费、管理费、文印费、设备耗材费、税费及合同包含的所有风险、责任及措施等费用，包含为完成钦州港公共水域浅点整治研究的全部工作以及可能发生的各种费用。本项目合同总价在合同执行过程中固定不变，不因各种情况变化而调整。</w:t>
      </w:r>
    </w:p>
    <w:p w14:paraId="1A31033C">
      <w:pPr>
        <w:widowControl/>
        <w:spacing w:line="360" w:lineRule="auto"/>
        <w:ind w:firstLine="482" w:firstLineChars="200"/>
        <w:rPr>
          <w:rFonts w:ascii="宋体" w:hAnsi="宋体" w:cs="宋体"/>
          <w:b/>
          <w:bCs/>
          <w:color w:val="auto"/>
          <w:sz w:val="24"/>
          <w:highlight w:val="none"/>
          <w:lang w:bidi="ar"/>
        </w:rPr>
      </w:pPr>
      <w:r>
        <w:rPr>
          <w:rFonts w:hint="eastAsia" w:ascii="宋体" w:hAnsi="宋体" w:cs="宋体"/>
          <w:b/>
          <w:bCs/>
          <w:color w:val="auto"/>
          <w:sz w:val="24"/>
          <w:highlight w:val="none"/>
          <w:lang w:bidi="ar"/>
        </w:rPr>
        <w:t>（二）进度要求</w:t>
      </w:r>
    </w:p>
    <w:p w14:paraId="6555C473">
      <w:pPr>
        <w:widowControl/>
        <w:spacing w:line="360" w:lineRule="auto"/>
        <w:ind w:firstLine="480" w:firstLineChars="200"/>
        <w:rPr>
          <w:rFonts w:ascii="宋体" w:hAnsi="宋体" w:cs="宋体"/>
          <w:bCs/>
          <w:color w:val="auto"/>
          <w:sz w:val="24"/>
          <w:highlight w:val="none"/>
        </w:rPr>
      </w:pPr>
      <w:r>
        <w:rPr>
          <w:rFonts w:hint="eastAsia" w:ascii="宋体" w:hAnsi="宋体" w:cs="宋体"/>
          <w:bCs/>
          <w:color w:val="auto"/>
          <w:sz w:val="24"/>
          <w:highlight w:val="none"/>
        </w:rPr>
        <w:t>服务总工期：</w:t>
      </w:r>
      <w:r>
        <w:rPr>
          <w:rFonts w:hint="eastAsia" w:ascii="宋体" w:hAnsi="宋体" w:cs="宋体"/>
          <w:b/>
          <w:bCs/>
          <w:snapToGrid w:val="0"/>
          <w:color w:val="auto"/>
          <w:kern w:val="0"/>
          <w:sz w:val="24"/>
          <w:highlight w:val="none"/>
        </w:rPr>
        <w:t>合同签订后60日历天</w:t>
      </w:r>
      <w:r>
        <w:rPr>
          <w:rFonts w:hint="eastAsia" w:ascii="宋体" w:hAnsi="宋体" w:cs="宋体"/>
          <w:color w:val="auto"/>
          <w:sz w:val="24"/>
          <w:highlight w:val="none"/>
          <w:lang w:bidi="ar"/>
        </w:rPr>
        <w:t>。</w:t>
      </w:r>
    </w:p>
    <w:p w14:paraId="265E5DB3">
      <w:pPr>
        <w:widowControl/>
        <w:spacing w:line="360" w:lineRule="auto"/>
        <w:ind w:firstLine="482" w:firstLineChars="200"/>
        <w:rPr>
          <w:rFonts w:ascii="宋体" w:hAnsi="宋体" w:cs="宋体"/>
          <w:b/>
          <w:bCs/>
          <w:color w:val="auto"/>
          <w:sz w:val="24"/>
          <w:highlight w:val="none"/>
          <w:lang w:bidi="ar"/>
        </w:rPr>
      </w:pPr>
      <w:r>
        <w:rPr>
          <w:rFonts w:hint="eastAsia" w:ascii="宋体" w:hAnsi="宋体" w:cs="宋体"/>
          <w:b/>
          <w:bCs/>
          <w:color w:val="auto"/>
          <w:sz w:val="24"/>
          <w:highlight w:val="none"/>
          <w:lang w:bidi="ar"/>
        </w:rPr>
        <w:t>（四）验收方式</w:t>
      </w:r>
    </w:p>
    <w:p w14:paraId="0D3D616A">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eastAsia="zh-CN" w:bidi="ar"/>
        </w:rPr>
        <w:t>由采购人组织</w:t>
      </w:r>
      <w:r>
        <w:rPr>
          <w:rFonts w:hint="eastAsia" w:ascii="宋体" w:hAnsi="宋体" w:cs="宋体"/>
          <w:color w:val="auto"/>
          <w:sz w:val="24"/>
          <w:highlight w:val="none"/>
          <w:lang w:bidi="ar"/>
        </w:rPr>
        <w:t>自行验收</w:t>
      </w:r>
      <w:r>
        <w:rPr>
          <w:rFonts w:hint="eastAsia" w:ascii="宋体" w:hAnsi="宋体" w:cs="宋体"/>
          <w:color w:val="auto"/>
          <w:sz w:val="24"/>
          <w:highlight w:val="none"/>
          <w:lang w:eastAsia="zh-CN" w:bidi="ar"/>
        </w:rPr>
        <w:t>，并邀请</w:t>
      </w:r>
      <w:r>
        <w:rPr>
          <w:rFonts w:hint="eastAsia" w:ascii="宋体" w:hAnsi="宋体" w:cs="宋体"/>
          <w:color w:val="auto"/>
          <w:sz w:val="24"/>
          <w:highlight w:val="none"/>
          <w:lang w:val="en-US" w:eastAsia="zh-CN" w:bidi="ar"/>
        </w:rPr>
        <w:t>3名及</w:t>
      </w:r>
      <w:r>
        <w:rPr>
          <w:rFonts w:hint="eastAsia" w:ascii="宋体" w:hAnsi="宋体" w:cs="宋体"/>
          <w:color w:val="auto"/>
          <w:sz w:val="24"/>
          <w:highlight w:val="none"/>
          <w:lang w:eastAsia="zh-CN" w:bidi="ar"/>
        </w:rPr>
        <w:t>以上（人数为单数）行业专家参与</w:t>
      </w:r>
      <w:r>
        <w:rPr>
          <w:rFonts w:hint="eastAsia" w:ascii="宋体" w:hAnsi="宋体" w:cs="宋体"/>
          <w:color w:val="auto"/>
          <w:sz w:val="24"/>
          <w:highlight w:val="none"/>
          <w:lang w:bidi="ar"/>
        </w:rPr>
        <w:t>。</w:t>
      </w:r>
    </w:p>
    <w:p w14:paraId="06CEDAA1">
      <w:pPr>
        <w:widowControl/>
        <w:spacing w:line="360" w:lineRule="auto"/>
        <w:ind w:firstLine="482" w:firstLineChars="200"/>
        <w:rPr>
          <w:rFonts w:ascii="宋体" w:hAnsi="宋体" w:cs="宋体"/>
          <w:b/>
          <w:bCs/>
          <w:color w:val="auto"/>
          <w:sz w:val="24"/>
          <w:highlight w:val="none"/>
          <w:lang w:bidi="ar"/>
        </w:rPr>
      </w:pPr>
      <w:r>
        <w:rPr>
          <w:rFonts w:hint="eastAsia" w:ascii="宋体" w:hAnsi="宋体" w:cs="宋体"/>
          <w:b/>
          <w:bCs/>
          <w:color w:val="auto"/>
          <w:sz w:val="24"/>
          <w:highlight w:val="none"/>
          <w:lang w:bidi="ar"/>
        </w:rPr>
        <w:t>（五）付款方式</w:t>
      </w:r>
    </w:p>
    <w:p w14:paraId="48A61207">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1.本次合同价格采用总价包干，包含但不限于从前期踏勘、资料收集、</w:t>
      </w:r>
      <w:r>
        <w:rPr>
          <w:rFonts w:hint="eastAsia" w:ascii="宋体" w:hAnsi="宋体" w:cs="宋体"/>
          <w:color w:val="auto"/>
          <w:sz w:val="24"/>
          <w:highlight w:val="none"/>
          <w:lang w:eastAsia="zh-CN" w:bidi="ar"/>
        </w:rPr>
        <w:t>水上水下施工许可证办理费用、</w:t>
      </w:r>
      <w:r>
        <w:rPr>
          <w:rFonts w:hint="eastAsia" w:ascii="宋体" w:hAnsi="宋体" w:cs="宋体"/>
          <w:color w:val="auto"/>
          <w:sz w:val="24"/>
          <w:highlight w:val="none"/>
          <w:lang w:bidi="ar"/>
        </w:rPr>
        <w:t>现场管理费、会议、</w:t>
      </w:r>
      <w:r>
        <w:rPr>
          <w:rFonts w:hint="eastAsia" w:ascii="宋体" w:hAnsi="宋体" w:cs="宋体"/>
          <w:color w:val="auto"/>
          <w:sz w:val="24"/>
          <w:highlight w:val="none"/>
          <w:lang w:eastAsia="zh-CN" w:bidi="ar"/>
        </w:rPr>
        <w:t>专家咨询费、</w:t>
      </w:r>
      <w:r>
        <w:rPr>
          <w:rFonts w:hint="eastAsia" w:ascii="宋体" w:hAnsi="宋体" w:cs="宋体"/>
          <w:color w:val="auto"/>
          <w:sz w:val="24"/>
          <w:highlight w:val="none"/>
          <w:lang w:bidi="ar"/>
        </w:rPr>
        <w:t>调研差旅费、管理费、文印费、设备耗材费、税费及合同包含的所有风险、责任及措施等费用，包含为完成钦州港公共水域浅点整治研究的全部工作以及可能发生的各种费用,不作任何调整；按合同价进行结算。</w:t>
      </w:r>
    </w:p>
    <w:p w14:paraId="260E7195">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2.分期支付</w:t>
      </w:r>
    </w:p>
    <w:p w14:paraId="13282F35">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（1）第一期支付</w:t>
      </w:r>
    </w:p>
    <w:p w14:paraId="2A2F51E1">
      <w:pPr>
        <w:widowControl/>
        <w:spacing w:line="360" w:lineRule="auto"/>
        <w:ind w:firstLine="480" w:firstLineChars="200"/>
        <w:rPr>
          <w:rFonts w:hint="eastAsia" w:ascii="宋体" w:hAnsi="宋体" w:cs="宋体"/>
          <w:color w:val="auto"/>
          <w:sz w:val="24"/>
          <w:highlight w:val="none"/>
          <w:lang w:bidi="ar"/>
        </w:rPr>
      </w:pPr>
      <w:r>
        <w:rPr>
          <w:rFonts w:hint="eastAsia" w:ascii="宋体" w:hAnsi="宋体" w:cs="宋体"/>
          <w:color w:val="auto"/>
          <w:sz w:val="24"/>
          <w:highlight w:val="none"/>
          <w:lang w:bidi="ar"/>
        </w:rPr>
        <w:t>合同签署后，由供应商提交支付申请</w:t>
      </w:r>
      <w:r>
        <w:rPr>
          <w:rFonts w:hint="eastAsia" w:ascii="宋体" w:hAnsi="宋体" w:cs="宋体"/>
          <w:color w:val="auto"/>
          <w:sz w:val="24"/>
          <w:highlight w:val="none"/>
          <w:lang w:eastAsia="zh-CN" w:bidi="ar"/>
        </w:rPr>
        <w:t>（</w:t>
      </w:r>
      <w:r>
        <w:rPr>
          <w:rFonts w:hint="eastAsia" w:ascii="宋体" w:hAnsi="宋体" w:cs="宋体"/>
          <w:color w:val="auto"/>
          <w:sz w:val="24"/>
          <w:highlight w:val="none"/>
          <w:lang w:bidi="ar"/>
        </w:rPr>
        <w:t>提供等额的增值税发票</w:t>
      </w:r>
      <w:r>
        <w:rPr>
          <w:rFonts w:hint="eastAsia" w:ascii="宋体" w:hAnsi="宋体" w:cs="宋体"/>
          <w:color w:val="auto"/>
          <w:sz w:val="24"/>
          <w:highlight w:val="none"/>
          <w:lang w:eastAsia="zh-CN" w:bidi="ar"/>
        </w:rPr>
        <w:t>），</w:t>
      </w:r>
      <w:r>
        <w:rPr>
          <w:rFonts w:hint="eastAsia" w:ascii="宋体" w:hAnsi="宋体" w:cs="宋体"/>
          <w:color w:val="auto"/>
          <w:sz w:val="24"/>
          <w:highlight w:val="none"/>
          <w:lang w:val="en-US" w:eastAsia="zh-CN" w:bidi="ar"/>
        </w:rPr>
        <w:t>采购人收到支付材料后</w:t>
      </w:r>
      <w:r>
        <w:rPr>
          <w:rFonts w:hint="eastAsia" w:ascii="宋体" w:hAnsi="宋体" w:cs="宋体"/>
          <w:color w:val="auto"/>
          <w:sz w:val="24"/>
          <w:highlight w:val="none"/>
          <w:lang w:bidi="ar"/>
        </w:rPr>
        <w:t>14</w:t>
      </w:r>
      <w:r>
        <w:rPr>
          <w:rFonts w:hint="eastAsia" w:ascii="宋体" w:hAnsi="宋体" w:cs="宋体"/>
          <w:color w:val="auto"/>
          <w:sz w:val="24"/>
          <w:highlight w:val="none"/>
          <w:lang w:eastAsia="zh-CN" w:bidi="ar"/>
        </w:rPr>
        <w:t>日历天内，</w:t>
      </w:r>
      <w:r>
        <w:rPr>
          <w:rFonts w:hint="eastAsia" w:ascii="宋体" w:hAnsi="宋体" w:cs="宋体"/>
          <w:color w:val="auto"/>
          <w:sz w:val="24"/>
          <w:highlight w:val="none"/>
          <w:lang w:bidi="ar"/>
        </w:rPr>
        <w:t>向供应商支付合同金额的30%。</w:t>
      </w:r>
    </w:p>
    <w:p w14:paraId="49CD00C2">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（2）第二期支付</w:t>
      </w:r>
    </w:p>
    <w:p w14:paraId="469A5803">
      <w:pPr>
        <w:widowControl/>
        <w:spacing w:line="360" w:lineRule="auto"/>
        <w:ind w:firstLine="480" w:firstLineChars="200"/>
        <w:rPr>
          <w:rFonts w:hint="eastAsia" w:ascii="宋体" w:hAnsi="宋体" w:cs="宋体"/>
          <w:color w:val="auto"/>
          <w:sz w:val="24"/>
          <w:highlight w:val="none"/>
          <w:lang w:bidi="ar"/>
        </w:rPr>
      </w:pPr>
      <w:r>
        <w:rPr>
          <w:rFonts w:hint="eastAsia" w:ascii="宋体" w:hAnsi="宋体" w:cs="宋体"/>
          <w:color w:val="auto"/>
          <w:sz w:val="24"/>
          <w:highlight w:val="none"/>
          <w:lang w:bidi="ar"/>
        </w:rPr>
        <w:t>在所有合同工作完成后，</w:t>
      </w:r>
      <w:r>
        <w:rPr>
          <w:rFonts w:hint="eastAsia" w:ascii="宋体" w:hAnsi="宋体" w:cs="宋体"/>
          <w:color w:val="auto"/>
          <w:sz w:val="24"/>
          <w:highlight w:val="none"/>
          <w:lang w:eastAsia="zh-CN" w:bidi="ar"/>
        </w:rPr>
        <w:t>经</w:t>
      </w:r>
      <w:r>
        <w:rPr>
          <w:rFonts w:hint="eastAsia" w:ascii="宋体" w:hAnsi="宋体" w:cs="宋体"/>
          <w:color w:val="auto"/>
          <w:sz w:val="24"/>
          <w:highlight w:val="none"/>
          <w:lang w:bidi="ar"/>
        </w:rPr>
        <w:t>验收合格</w:t>
      </w:r>
      <w:r>
        <w:rPr>
          <w:rFonts w:hint="eastAsia" w:ascii="宋体" w:hAnsi="宋体" w:cs="宋体"/>
          <w:color w:val="auto"/>
          <w:sz w:val="24"/>
          <w:highlight w:val="none"/>
          <w:lang w:eastAsia="zh-CN" w:bidi="ar"/>
        </w:rPr>
        <w:t>，</w:t>
      </w:r>
      <w:r>
        <w:rPr>
          <w:rFonts w:hint="eastAsia" w:ascii="宋体" w:hAnsi="宋体" w:cs="宋体"/>
          <w:color w:val="auto"/>
          <w:sz w:val="24"/>
          <w:highlight w:val="none"/>
          <w:lang w:bidi="ar"/>
        </w:rPr>
        <w:t>供应商提交支付申请</w:t>
      </w:r>
      <w:r>
        <w:rPr>
          <w:rFonts w:hint="eastAsia" w:ascii="宋体" w:hAnsi="宋体" w:cs="宋体"/>
          <w:color w:val="auto"/>
          <w:sz w:val="24"/>
          <w:highlight w:val="none"/>
          <w:lang w:eastAsia="zh-CN" w:bidi="ar"/>
        </w:rPr>
        <w:t>（</w:t>
      </w:r>
      <w:r>
        <w:rPr>
          <w:rFonts w:hint="eastAsia" w:ascii="宋体" w:hAnsi="宋体" w:cs="宋体"/>
          <w:color w:val="auto"/>
          <w:sz w:val="24"/>
          <w:highlight w:val="none"/>
          <w:lang w:bidi="ar"/>
        </w:rPr>
        <w:t>提供等额的增值税发票</w:t>
      </w:r>
      <w:r>
        <w:rPr>
          <w:rFonts w:hint="eastAsia" w:ascii="宋体" w:hAnsi="宋体" w:cs="宋体"/>
          <w:color w:val="auto"/>
          <w:sz w:val="24"/>
          <w:highlight w:val="none"/>
          <w:lang w:eastAsia="zh-CN" w:bidi="ar"/>
        </w:rPr>
        <w:t>），</w:t>
      </w:r>
      <w:r>
        <w:rPr>
          <w:rFonts w:hint="eastAsia" w:ascii="宋体" w:hAnsi="宋体" w:cs="宋体"/>
          <w:color w:val="auto"/>
          <w:sz w:val="24"/>
          <w:highlight w:val="none"/>
          <w:lang w:val="en-US" w:eastAsia="zh-CN" w:bidi="ar"/>
        </w:rPr>
        <w:t>采购人收到支付材料后</w:t>
      </w:r>
      <w:r>
        <w:rPr>
          <w:rFonts w:hint="eastAsia" w:ascii="宋体" w:hAnsi="宋体" w:cs="宋体"/>
          <w:color w:val="auto"/>
          <w:sz w:val="24"/>
          <w:highlight w:val="none"/>
          <w:lang w:bidi="ar"/>
        </w:rPr>
        <w:t>14</w:t>
      </w:r>
      <w:r>
        <w:rPr>
          <w:rFonts w:hint="eastAsia" w:ascii="宋体" w:hAnsi="宋体" w:cs="宋体"/>
          <w:color w:val="auto"/>
          <w:sz w:val="24"/>
          <w:highlight w:val="none"/>
          <w:lang w:eastAsia="zh-CN" w:bidi="ar"/>
        </w:rPr>
        <w:t>日历天内，</w:t>
      </w:r>
      <w:r>
        <w:rPr>
          <w:rFonts w:hint="eastAsia" w:ascii="宋体" w:hAnsi="宋体" w:cs="宋体"/>
          <w:color w:val="auto"/>
          <w:sz w:val="24"/>
          <w:highlight w:val="none"/>
          <w:lang w:bidi="ar"/>
        </w:rPr>
        <w:t>向供应商支付合同</w:t>
      </w:r>
      <w:r>
        <w:rPr>
          <w:rFonts w:hint="eastAsia" w:ascii="宋体" w:hAnsi="宋体" w:cs="宋体"/>
          <w:color w:val="auto"/>
          <w:sz w:val="24"/>
          <w:highlight w:val="none"/>
          <w:lang w:eastAsia="zh-CN" w:bidi="ar"/>
        </w:rPr>
        <w:t>剩余款项</w:t>
      </w:r>
      <w:r>
        <w:rPr>
          <w:rFonts w:hint="eastAsia" w:ascii="宋体" w:hAnsi="宋体" w:cs="宋体"/>
          <w:color w:val="auto"/>
          <w:sz w:val="24"/>
          <w:highlight w:val="none"/>
          <w:lang w:bidi="ar"/>
        </w:rPr>
        <w:t>。</w:t>
      </w:r>
    </w:p>
    <w:p w14:paraId="7E42263B">
      <w:pPr>
        <w:widowControl/>
        <w:spacing w:line="360" w:lineRule="auto"/>
        <w:ind w:firstLine="482" w:firstLineChars="200"/>
        <w:rPr>
          <w:rFonts w:ascii="宋体" w:hAnsi="宋体" w:cs="宋体"/>
          <w:b/>
          <w:bCs/>
          <w:color w:val="auto"/>
          <w:sz w:val="24"/>
          <w:highlight w:val="none"/>
          <w:lang w:bidi="ar"/>
        </w:rPr>
      </w:pPr>
      <w:r>
        <w:rPr>
          <w:rFonts w:hint="eastAsia" w:ascii="宋体" w:hAnsi="宋体" w:cs="宋体"/>
          <w:b/>
          <w:bCs/>
          <w:color w:val="auto"/>
          <w:sz w:val="24"/>
          <w:highlight w:val="none"/>
          <w:lang w:bidi="ar"/>
        </w:rPr>
        <w:t>（六）其他要求</w:t>
      </w:r>
    </w:p>
    <w:p w14:paraId="4AC1A449">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1.供应商应根据有关法律法规和国家现行有关技术标准、规范和规程要求，以及主管部门要求，完成合同工作。</w:t>
      </w:r>
    </w:p>
    <w:p w14:paraId="01C8724B">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2.供应商承担本项目必要的基础数据资料收集，完成整个项目的服务工作，并保证资料数据准确，满足服务要求，且费用由供应商承担。</w:t>
      </w:r>
    </w:p>
    <w:p w14:paraId="01D55EB2">
      <w:pPr>
        <w:pStyle w:val="10"/>
        <w:rPr>
          <w:rFonts w:ascii="宋体" w:hAnsi="宋体" w:cs="宋体"/>
          <w:color w:val="auto"/>
          <w:sz w:val="32"/>
          <w:szCs w:val="32"/>
          <w:highlight w:val="none"/>
        </w:rPr>
      </w:pPr>
    </w:p>
    <w:p w14:paraId="2598A03D">
      <w:pPr>
        <w:rPr>
          <w:rFonts w:hint="eastAsia"/>
          <w:color w:val="auto"/>
          <w:sz w:val="28"/>
          <w:szCs w:val="28"/>
          <w:highlight w:val="none"/>
        </w:rPr>
      </w:pPr>
      <w:bookmarkStart w:id="13" w:name="_Toc23331"/>
      <w:bookmarkStart w:id="14" w:name="_Toc6863"/>
      <w:bookmarkStart w:id="15" w:name="_Toc12517"/>
      <w:r>
        <w:rPr>
          <w:rFonts w:hint="eastAsia"/>
          <w:color w:val="auto"/>
          <w:sz w:val="28"/>
          <w:szCs w:val="28"/>
          <w:highlight w:val="none"/>
        </w:rPr>
        <w:br w:type="page"/>
      </w:r>
    </w:p>
    <w:p w14:paraId="719E9606">
      <w:pPr>
        <w:pStyle w:val="2"/>
        <w:spacing w:before="0" w:after="0" w:line="360" w:lineRule="auto"/>
        <w:jc w:val="center"/>
        <w:rPr>
          <w:color w:val="auto"/>
          <w:sz w:val="28"/>
          <w:szCs w:val="28"/>
          <w:highlight w:val="none"/>
        </w:rPr>
      </w:pPr>
      <w:r>
        <w:rPr>
          <w:rFonts w:hint="eastAsia"/>
          <w:color w:val="auto"/>
          <w:sz w:val="28"/>
          <w:szCs w:val="28"/>
          <w:highlight w:val="none"/>
        </w:rPr>
        <w:t>第四章  评审办法</w:t>
      </w:r>
      <w:bookmarkEnd w:id="13"/>
      <w:bookmarkEnd w:id="14"/>
    </w:p>
    <w:p w14:paraId="6BEE6054">
      <w:pPr>
        <w:spacing w:line="360" w:lineRule="auto"/>
        <w:jc w:val="center"/>
        <w:outlineLvl w:val="1"/>
        <w:rPr>
          <w:rFonts w:ascii="宋体" w:hAnsi="宋体"/>
          <w:b/>
          <w:color w:val="auto"/>
          <w:sz w:val="24"/>
          <w:highlight w:val="none"/>
        </w:rPr>
      </w:pPr>
      <w:bookmarkStart w:id="16" w:name="_Toc17459"/>
      <w:bookmarkStart w:id="17" w:name="_Toc28533"/>
      <w:r>
        <w:rPr>
          <w:rFonts w:hint="eastAsia" w:ascii="宋体" w:hAnsi="宋体"/>
          <w:b/>
          <w:color w:val="auto"/>
          <w:sz w:val="24"/>
          <w:highlight w:val="none"/>
        </w:rPr>
        <w:t>第一节  评审程序和评审方法</w:t>
      </w:r>
      <w:bookmarkEnd w:id="16"/>
      <w:bookmarkEnd w:id="17"/>
    </w:p>
    <w:bookmarkEnd w:id="15"/>
    <w:p w14:paraId="32F26E54">
      <w:pPr>
        <w:spacing w:line="360" w:lineRule="auto"/>
        <w:ind w:firstLine="480" w:firstLineChars="200"/>
        <w:rPr>
          <w:rFonts w:ascii="宋体" w:hAnsi="宋体" w:eastAsia="宋体" w:cs="宋体"/>
          <w:b w:val="0"/>
          <w:bCs w:val="0"/>
          <w:color w:val="auto"/>
          <w:sz w:val="24"/>
          <w:highlight w:val="none"/>
        </w:rPr>
      </w:pPr>
      <w:r>
        <w:rPr>
          <w:rFonts w:hint="default" w:ascii="宋体" w:hAnsi="宋体" w:eastAsia="宋体" w:cs="宋体"/>
          <w:b w:val="0"/>
          <w:bCs w:val="0"/>
          <w:color w:val="auto"/>
          <w:sz w:val="24"/>
          <w:highlight w:val="none"/>
        </w:rPr>
        <w:t>根据</w:t>
      </w:r>
      <w:r>
        <w:rPr>
          <w:rFonts w:ascii="宋体" w:hAnsi="宋体" w:eastAsia="宋体" w:cs="宋体"/>
          <w:b w:val="0"/>
          <w:bCs w:val="0"/>
          <w:color w:val="auto"/>
          <w:sz w:val="24"/>
          <w:szCs w:val="24"/>
          <w:highlight w:val="none"/>
        </w:rPr>
        <w:t>《中华人民共和国政府采购法》</w:t>
      </w:r>
      <w:r>
        <w:rPr>
          <w:rFonts w:hint="default" w:ascii="宋体" w:hAnsi="宋体" w:cs="宋体"/>
          <w:b w:val="0"/>
          <w:bCs w:val="0"/>
          <w:color w:val="auto"/>
          <w:sz w:val="24"/>
          <w:szCs w:val="24"/>
          <w:highlight w:val="none"/>
          <w:lang w:eastAsia="zh-CN"/>
        </w:rPr>
        <w:t>、</w:t>
      </w:r>
      <w:r>
        <w:rPr>
          <w:rFonts w:ascii="宋体" w:hAnsi="宋体" w:eastAsia="宋体" w:cs="宋体"/>
          <w:b w:val="0"/>
          <w:bCs w:val="0"/>
          <w:color w:val="auto"/>
          <w:sz w:val="24"/>
          <w:szCs w:val="24"/>
          <w:highlight w:val="none"/>
        </w:rPr>
        <w:t>《中华人民共和国民法典》</w:t>
      </w:r>
      <w:r>
        <w:rPr>
          <w:rFonts w:hint="default" w:ascii="宋体" w:hAnsi="宋体" w:cs="宋体"/>
          <w:b w:val="0"/>
          <w:bCs w:val="0"/>
          <w:color w:val="auto"/>
          <w:sz w:val="24"/>
          <w:szCs w:val="24"/>
          <w:highlight w:val="none"/>
          <w:lang w:eastAsia="zh-CN"/>
        </w:rPr>
        <w:t>、</w:t>
      </w:r>
      <w:r>
        <w:rPr>
          <w:rFonts w:ascii="宋体" w:hAnsi="宋体" w:eastAsia="宋体" w:cs="宋体"/>
          <w:b w:val="0"/>
          <w:bCs w:val="0"/>
          <w:color w:val="auto"/>
          <w:sz w:val="24"/>
          <w:szCs w:val="24"/>
          <w:highlight w:val="none"/>
        </w:rPr>
        <w:t xml:space="preserve"> 《广西壮族自治区港航发展中心自行采购管理办法》</w:t>
      </w:r>
      <w:r>
        <w:rPr>
          <w:rFonts w:hint="default" w:ascii="宋体" w:hAnsi="宋体" w:eastAsia="宋体" w:cs="宋体"/>
          <w:b w:val="0"/>
          <w:bCs w:val="0"/>
          <w:color w:val="auto"/>
          <w:sz w:val="24"/>
          <w:highlight w:val="none"/>
        </w:rPr>
        <w:t>等有关规定，采购人组建合议小组（评审小组）按本采购文件规定，对响应文件进行评审。</w:t>
      </w:r>
    </w:p>
    <w:p w14:paraId="44562776">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一、资格审查</w:t>
      </w:r>
    </w:p>
    <w:p w14:paraId="3834A060">
      <w:pPr>
        <w:snapToGrid w:val="0"/>
        <w:spacing w:line="360" w:lineRule="auto"/>
        <w:ind w:firstLine="420" w:firstLineChars="200"/>
        <w:rPr>
          <w:rFonts w:ascii="宋体" w:hAnsi="宋体"/>
          <w:color w:val="auto"/>
          <w:szCs w:val="21"/>
          <w:highlight w:val="none"/>
        </w:rPr>
      </w:pPr>
      <w:r>
        <w:rPr>
          <w:rFonts w:hint="eastAsia" w:ascii="宋体" w:hAnsi="宋体" w:cs="宋体"/>
          <w:color w:val="auto"/>
          <w:szCs w:val="21"/>
          <w:highlight w:val="none"/>
        </w:rPr>
        <w:t>（一）</w:t>
      </w:r>
      <w:r>
        <w:rPr>
          <w:rFonts w:hint="eastAsia" w:ascii="宋体" w:hAnsi="宋体"/>
          <w:color w:val="auto"/>
          <w:szCs w:val="21"/>
          <w:highlight w:val="none"/>
        </w:rPr>
        <w:t>评审小组依法对供应商的响应文件中资格证明文件进行审查。</w:t>
      </w:r>
    </w:p>
    <w:p w14:paraId="55F959CA">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1.查询渠道：</w:t>
      </w:r>
      <w:r>
        <w:rPr>
          <w:rFonts w:ascii="宋体" w:hAnsi="宋体" w:cs="宋体"/>
          <w:color w:val="auto"/>
          <w:szCs w:val="21"/>
          <w:highlight w:val="none"/>
        </w:rPr>
        <w:t>“信用中国”网站、中国政府采购网</w:t>
      </w:r>
      <w:r>
        <w:rPr>
          <w:rFonts w:hint="eastAsia" w:ascii="宋体" w:hAnsi="宋体" w:cs="宋体"/>
          <w:color w:val="auto"/>
          <w:szCs w:val="21"/>
          <w:highlight w:val="none"/>
        </w:rPr>
        <w:t>。</w:t>
      </w:r>
    </w:p>
    <w:p w14:paraId="59F68F32">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2.信用查询截止时点：</w:t>
      </w:r>
      <w:r>
        <w:rPr>
          <w:rFonts w:ascii="宋体" w:hAnsi="宋体" w:cs="宋体"/>
          <w:color w:val="auto"/>
          <w:szCs w:val="21"/>
          <w:highlight w:val="none"/>
        </w:rPr>
        <w:t>资格审查结束前</w:t>
      </w:r>
    </w:p>
    <w:p w14:paraId="62E051D2">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3.查询记录和证据留存方式：将查询网站中的查询记录截图并作为评审资料保存。</w:t>
      </w:r>
    </w:p>
    <w:p w14:paraId="6FC8AE0E">
      <w:pPr>
        <w:snapToGrid w:val="0"/>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4.信用信息使用规则：</w:t>
      </w:r>
    </w:p>
    <w:p w14:paraId="52AFCB44">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eastAsia="zh-CN"/>
        </w:rPr>
        <w:t>（一）</w:t>
      </w:r>
      <w:r>
        <w:rPr>
          <w:rFonts w:hint="eastAsia" w:ascii="宋体" w:hAnsi="宋体" w:cs="宋体"/>
          <w:color w:val="auto"/>
          <w:szCs w:val="21"/>
          <w:highlight w:val="none"/>
        </w:rPr>
        <w:t>对在“信用中国”网站、中国政府采购网被列入失信被执行人、重大税收违法案件当事人名单、政府采购严重违法失信行为记录名单及其他不符合《中华人民共和国政府采购法》第二十二条规定条件的供应商，不得参与政府采购活动。</w:t>
      </w:r>
    </w:p>
    <w:p w14:paraId="3D15D1B6">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（二)资格审查标准为本采购文件中载明对供应商资格要求的条件。资格审查采用合格制，凡符合采购文件规定的供应商资格要求的响应文件均通过资格审查。</w:t>
      </w:r>
    </w:p>
    <w:p w14:paraId="091AFD13">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(三)供应商资格审查不通过的，其响应文件按无效响应处理。</w:t>
      </w:r>
    </w:p>
    <w:p w14:paraId="328854FA">
      <w:pPr>
        <w:tabs>
          <w:tab w:val="left" w:pos="3150"/>
        </w:tabs>
        <w:spacing w:line="360" w:lineRule="auto"/>
        <w:ind w:firstLine="420" w:firstLineChars="200"/>
        <w:rPr>
          <w:rFonts w:hint="eastAsia"/>
          <w:highlight w:val="none"/>
          <w:lang w:eastAsia="zh-CN"/>
        </w:rPr>
      </w:pPr>
      <w:r>
        <w:rPr>
          <w:rFonts w:hint="eastAsia" w:ascii="宋体" w:hAnsi="宋体" w:cs="宋体"/>
          <w:color w:val="auto"/>
          <w:szCs w:val="21"/>
          <w:highlight w:val="none"/>
        </w:rPr>
        <w:t>(</w:t>
      </w:r>
      <w:r>
        <w:rPr>
          <w:rFonts w:hint="eastAsia" w:ascii="宋体" w:hAnsi="宋体" w:cs="宋体"/>
          <w:color w:val="auto"/>
          <w:szCs w:val="21"/>
          <w:highlight w:val="none"/>
          <w:lang w:eastAsia="zh-CN"/>
        </w:rPr>
        <w:t>四</w:t>
      </w:r>
      <w:r>
        <w:rPr>
          <w:rFonts w:hint="eastAsia" w:ascii="宋体" w:hAnsi="宋体" w:cs="宋体"/>
          <w:color w:val="auto"/>
          <w:szCs w:val="21"/>
          <w:highlight w:val="none"/>
        </w:rPr>
        <w:t>)</w:t>
      </w:r>
      <w:r>
        <w:rPr>
          <w:rFonts w:hint="eastAsia"/>
          <w:highlight w:val="none"/>
          <w:lang w:eastAsia="zh-CN"/>
        </w:rPr>
        <w:t>凡是不满足资格审查中的任意一条，均为不通过资格审查。</w:t>
      </w:r>
    </w:p>
    <w:p w14:paraId="286DD8E3">
      <w:pPr>
        <w:tabs>
          <w:tab w:val="left" w:pos="3150"/>
        </w:tabs>
        <w:spacing w:line="360" w:lineRule="auto"/>
        <w:ind w:firstLine="420" w:firstLineChars="200"/>
        <w:rPr>
          <w:rFonts w:hint="eastAsia"/>
          <w:highlight w:val="none"/>
          <w:lang w:eastAsia="zh-CN"/>
        </w:rPr>
      </w:pPr>
      <w:r>
        <w:rPr>
          <w:rFonts w:hint="eastAsia" w:ascii="宋体" w:hAnsi="宋体" w:cs="宋体"/>
          <w:color w:val="auto"/>
          <w:szCs w:val="21"/>
          <w:highlight w:val="none"/>
        </w:rPr>
        <w:t>(</w:t>
      </w:r>
      <w:r>
        <w:rPr>
          <w:rFonts w:hint="eastAsia" w:ascii="宋体" w:hAnsi="宋体" w:cs="宋体"/>
          <w:color w:val="auto"/>
          <w:szCs w:val="21"/>
          <w:highlight w:val="none"/>
          <w:lang w:eastAsia="zh-CN"/>
        </w:rPr>
        <w:t>五</w:t>
      </w:r>
      <w:r>
        <w:rPr>
          <w:rFonts w:hint="eastAsia" w:ascii="宋体" w:hAnsi="宋体" w:cs="宋体"/>
          <w:color w:val="auto"/>
          <w:szCs w:val="21"/>
          <w:highlight w:val="none"/>
        </w:rPr>
        <w:t>)</w:t>
      </w:r>
      <w:r>
        <w:rPr>
          <w:rFonts w:hint="eastAsia"/>
          <w:highlight w:val="none"/>
          <w:lang w:eastAsia="zh-CN"/>
        </w:rPr>
        <w:t>如果通过资格审查的投标供应商不足三家：</w:t>
      </w:r>
    </w:p>
    <w:p w14:paraId="75E04B7F">
      <w:pPr>
        <w:tabs>
          <w:tab w:val="left" w:pos="3150"/>
        </w:tabs>
        <w:spacing w:line="360" w:lineRule="auto"/>
        <w:ind w:firstLine="420" w:firstLineChars="200"/>
        <w:rPr>
          <w:rFonts w:hint="eastAsia"/>
          <w:highlight w:val="none"/>
          <w:lang w:eastAsia="zh-CN"/>
        </w:rPr>
      </w:pPr>
      <w:r>
        <w:rPr>
          <w:rFonts w:hint="eastAsia"/>
          <w:highlight w:val="none"/>
          <w:lang w:eastAsia="zh-CN"/>
        </w:rPr>
        <w:t>（</w:t>
      </w:r>
      <w:r>
        <w:rPr>
          <w:rFonts w:hint="eastAsia"/>
          <w:highlight w:val="none"/>
          <w:lang w:val="en-US" w:eastAsia="zh-CN"/>
        </w:rPr>
        <w:t>1</w:t>
      </w:r>
      <w:r>
        <w:rPr>
          <w:rFonts w:hint="eastAsia"/>
          <w:highlight w:val="none"/>
          <w:lang w:eastAsia="zh-CN"/>
        </w:rPr>
        <w:t>）延长采购公告时间，延期3个</w:t>
      </w:r>
      <w:r>
        <w:rPr>
          <w:rFonts w:hint="eastAsia"/>
          <w:highlight w:val="none"/>
          <w:lang w:val="en-US" w:eastAsia="zh-CN"/>
        </w:rPr>
        <w:t>工作日</w:t>
      </w:r>
      <w:r>
        <w:rPr>
          <w:rFonts w:hint="eastAsia"/>
          <w:highlight w:val="none"/>
          <w:lang w:eastAsia="zh-CN"/>
        </w:rPr>
        <w:t>。</w:t>
      </w:r>
    </w:p>
    <w:p w14:paraId="1D058CCB">
      <w:pPr>
        <w:tabs>
          <w:tab w:val="left" w:pos="3150"/>
        </w:tabs>
        <w:spacing w:line="360" w:lineRule="auto"/>
        <w:ind w:firstLine="420" w:firstLineChars="200"/>
        <w:rPr>
          <w:rFonts w:hint="eastAsia"/>
          <w:highlight w:val="none"/>
          <w:lang w:eastAsia="zh-CN"/>
        </w:rPr>
      </w:pPr>
      <w:r>
        <w:rPr>
          <w:rFonts w:hint="eastAsia"/>
          <w:highlight w:val="none"/>
          <w:lang w:eastAsia="zh-CN"/>
        </w:rPr>
        <w:t>（</w:t>
      </w:r>
      <w:r>
        <w:rPr>
          <w:rFonts w:hint="eastAsia"/>
          <w:highlight w:val="none"/>
          <w:lang w:val="en-US" w:eastAsia="zh-CN"/>
        </w:rPr>
        <w:t>2</w:t>
      </w:r>
      <w:r>
        <w:rPr>
          <w:rFonts w:hint="eastAsia"/>
          <w:highlight w:val="none"/>
          <w:lang w:eastAsia="zh-CN"/>
        </w:rPr>
        <w:t>）延期时间截止，响应供应商为2家或2家以上的，按照正常采购流程开展。</w:t>
      </w:r>
    </w:p>
    <w:p w14:paraId="36A76710">
      <w:pPr>
        <w:snapToGrid w:val="0"/>
        <w:spacing w:line="360" w:lineRule="auto"/>
        <w:ind w:firstLine="420" w:firstLineChars="200"/>
        <w:jc w:val="left"/>
        <w:rPr>
          <w:rFonts w:hint="eastAsia" w:ascii="宋体" w:hAnsi="宋体" w:cs="宋体"/>
          <w:color w:val="auto"/>
          <w:szCs w:val="21"/>
          <w:highlight w:val="none"/>
        </w:rPr>
      </w:pPr>
      <w:r>
        <w:rPr>
          <w:rFonts w:hint="eastAsia"/>
          <w:highlight w:val="none"/>
          <w:lang w:eastAsia="zh-CN"/>
        </w:rPr>
        <w:t>（</w:t>
      </w:r>
      <w:r>
        <w:rPr>
          <w:rFonts w:hint="eastAsia"/>
          <w:highlight w:val="none"/>
          <w:lang w:val="en-US" w:eastAsia="zh-CN"/>
        </w:rPr>
        <w:t>3</w:t>
      </w:r>
      <w:r>
        <w:rPr>
          <w:rFonts w:hint="eastAsia"/>
          <w:highlight w:val="none"/>
          <w:lang w:eastAsia="zh-CN"/>
        </w:rPr>
        <w:t>）延期时间截止，响应供应商为1家的，由</w:t>
      </w:r>
      <w:r>
        <w:rPr>
          <w:rFonts w:hint="eastAsia" w:ascii="宋体" w:hAnsi="宋体" w:cs="宋体"/>
          <w:color w:val="auto"/>
          <w:szCs w:val="21"/>
          <w:highlight w:val="none"/>
          <w:lang w:val="en-US" w:eastAsia="zh-CN"/>
        </w:rPr>
        <w:t>采购人</w:t>
      </w:r>
      <w:r>
        <w:rPr>
          <w:rFonts w:hint="eastAsia"/>
          <w:highlight w:val="none"/>
          <w:lang w:eastAsia="zh-CN"/>
        </w:rPr>
        <w:t>审核供应商投标文件，</w:t>
      </w:r>
      <w:r>
        <w:rPr>
          <w:rFonts w:hint="eastAsia" w:ascii="宋体" w:hAnsi="宋体" w:cs="宋体"/>
          <w:color w:val="auto"/>
          <w:szCs w:val="21"/>
          <w:highlight w:val="none"/>
          <w:lang w:val="en-US" w:eastAsia="zh-CN"/>
        </w:rPr>
        <w:t>确定满足采购方案的条件后，组成谈判小组与供应商谈判。根据采购人内部程序，确定中标人，签订采购合同、支付合同款等。</w:t>
      </w:r>
    </w:p>
    <w:p w14:paraId="6B6B8017">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二、符合性审查</w:t>
      </w:r>
    </w:p>
    <w:p w14:paraId="161DE96B">
      <w:pPr>
        <w:spacing w:line="360" w:lineRule="auto"/>
        <w:ind w:firstLine="420" w:firstLineChars="200"/>
        <w:rPr>
          <w:rFonts w:ascii="宋体" w:hAnsi="宋体" w:cs="宋体"/>
          <w:color w:val="auto"/>
          <w:szCs w:val="21"/>
          <w:highlight w:val="none"/>
        </w:rPr>
      </w:pPr>
      <w:bookmarkStart w:id="18" w:name="_Hlk42528882"/>
      <w:r>
        <w:rPr>
          <w:rFonts w:hint="eastAsia" w:ascii="宋体" w:hAnsi="宋体" w:cs="宋体"/>
          <w:color w:val="auto"/>
          <w:szCs w:val="21"/>
          <w:highlight w:val="none"/>
        </w:rPr>
        <w:t>（一）由评审小组对</w:t>
      </w:r>
      <w:r>
        <w:rPr>
          <w:rFonts w:hint="eastAsia" w:ascii="宋体" w:hAnsi="宋体"/>
          <w:color w:val="auto"/>
          <w:szCs w:val="21"/>
          <w:highlight w:val="none"/>
        </w:rPr>
        <w:t>资格审查的合格供应商</w:t>
      </w:r>
      <w:r>
        <w:rPr>
          <w:rFonts w:hint="eastAsia" w:ascii="宋体" w:hAnsi="宋体" w:cs="宋体"/>
          <w:color w:val="auto"/>
          <w:szCs w:val="21"/>
          <w:highlight w:val="none"/>
        </w:rPr>
        <w:t>的响应文件进行符合性审查，以确定其是否满足采购文件的实质性要求。</w:t>
      </w:r>
    </w:p>
    <w:bookmarkEnd w:id="18"/>
    <w:p w14:paraId="1490797A">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二）评审小组在对响应文件进行符合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0590FB5D">
      <w:pPr>
        <w:spacing w:line="360" w:lineRule="auto"/>
        <w:ind w:firstLine="420" w:firstLineChars="200"/>
        <w:rPr>
          <w:rFonts w:ascii="宋体" w:hAnsi="宋体" w:cs="宋体"/>
          <w:color w:val="auto"/>
          <w:spacing w:val="-6"/>
          <w:szCs w:val="21"/>
          <w:highlight w:val="none"/>
        </w:rPr>
      </w:pPr>
      <w:r>
        <w:rPr>
          <w:rFonts w:hint="eastAsia" w:ascii="宋体" w:hAnsi="宋体" w:cs="宋体"/>
          <w:color w:val="auto"/>
          <w:szCs w:val="21"/>
          <w:highlight w:val="none"/>
        </w:rPr>
        <w:t>（三）评审小组要求供应商澄清、说明或者更正响应文件应当以正式函形式作出。供应商的澄清、说明或者更正应当以正式形式按照评审小组的要求作出明确的澄清、说明或者更正，未按评审小组的要求作出明确澄清、说明或者更正的供应商的响应文件将按照有利于采购人的原则由评审小组进行判定。供应商的澄清、说明或者更正必须由法定代表人或者其授权代表签字或加盖供应商公章</w:t>
      </w:r>
      <w:r>
        <w:rPr>
          <w:rFonts w:hint="eastAsia" w:ascii="宋体" w:hAnsi="宋体" w:cs="宋体"/>
          <w:color w:val="auto"/>
          <w:spacing w:val="-6"/>
          <w:szCs w:val="21"/>
          <w:highlight w:val="none"/>
        </w:rPr>
        <w:t>。</w:t>
      </w:r>
    </w:p>
    <w:p w14:paraId="2607E18C">
      <w:pPr>
        <w:spacing w:line="360" w:lineRule="auto"/>
        <w:ind w:firstLine="396" w:firstLineChars="200"/>
        <w:rPr>
          <w:rFonts w:ascii="宋体" w:hAnsi="宋体" w:cs="宋体"/>
          <w:color w:val="auto"/>
          <w:szCs w:val="21"/>
          <w:highlight w:val="none"/>
        </w:rPr>
      </w:pPr>
      <w:r>
        <w:rPr>
          <w:rFonts w:hint="eastAsia" w:ascii="宋体" w:hAnsi="宋体" w:cs="宋体"/>
          <w:color w:val="auto"/>
          <w:spacing w:val="-6"/>
          <w:szCs w:val="21"/>
          <w:highlight w:val="none"/>
        </w:rPr>
        <w:t>（四）</w:t>
      </w:r>
      <w:r>
        <w:rPr>
          <w:rFonts w:hint="eastAsia" w:ascii="宋体" w:hAnsi="宋体" w:cs="宋体"/>
          <w:color w:val="auto"/>
          <w:szCs w:val="21"/>
          <w:highlight w:val="none"/>
        </w:rPr>
        <w:t xml:space="preserve">响应文件报价出现前后不一致的，按照下列规定修正： </w:t>
      </w:r>
    </w:p>
    <w:p w14:paraId="17648BA2">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1.响应文件中报价表内容与响应文件中相应内容不一致的，以报价表为准；</w:t>
      </w:r>
    </w:p>
    <w:p w14:paraId="074D7C2E">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2.大写金额和小写金额不一致的，以大写金额为准；</w:t>
      </w:r>
    </w:p>
    <w:p w14:paraId="42A19846">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3.单价金额小数点或者百分比有明显错位的，以报价表的总价为准，并修改单价；</w:t>
      </w:r>
    </w:p>
    <w:p w14:paraId="4C5B8BA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4.总价金额与按单价汇总金额不一致的，以单价金额计算结果为准。</w:t>
      </w:r>
    </w:p>
    <w:p w14:paraId="6F0A21F1">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同时出现两种以上不一致的，按照以上1-4规定的顺序逐条进行修正。修正后的报价经供应商确认后产生约束力，供应商不确认的，其响应文件按无效响应处理。</w:t>
      </w:r>
    </w:p>
    <w:p w14:paraId="72C5204C">
      <w:pPr>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（五）报价评审</w:t>
      </w:r>
    </w:p>
    <w:p w14:paraId="0F74E64B">
      <w:pPr>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在评审时，如发现下列情形之一的，将被视为响应文件无效响应处理：</w:t>
      </w:r>
    </w:p>
    <w:p w14:paraId="12B38744">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1.商务技术评审</w:t>
      </w:r>
    </w:p>
    <w:p w14:paraId="0C590224">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1）响应文件未按采购文件要求签署、盖章；</w:t>
      </w:r>
    </w:p>
    <w:p w14:paraId="4DB3C8AA">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2）委托代理人未能出具有效身份证或者出具的身份证与授权委托书中的信息不符的； </w:t>
      </w:r>
    </w:p>
    <w:p w14:paraId="0525F455">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3）响应文件的实质性内容未使用中文表述、使用计量单位不符合采购文件要求；</w:t>
      </w:r>
    </w:p>
    <w:p w14:paraId="1C1B1ACD">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4）响应文件中的文件资料因填写不齐全或者内容虚假或者出现其他情形而导致被评审小组认定无效；</w:t>
      </w:r>
    </w:p>
    <w:p w14:paraId="56DFED9B">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5）响应文件含有采购人不能接受的附加条件；</w:t>
      </w:r>
    </w:p>
    <w:p w14:paraId="67AB49EB">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6）虚假竞标，或者出现其他情形而导致被评审小组认定无效；</w:t>
      </w:r>
    </w:p>
    <w:p w14:paraId="313FAAD1">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7）</w:t>
      </w:r>
      <w:bookmarkStart w:id="19" w:name="_Hlk71704147"/>
      <w:r>
        <w:rPr>
          <w:rFonts w:hint="eastAsia" w:ascii="宋体" w:hAnsi="宋体" w:cs="宋体"/>
          <w:color w:val="auto"/>
          <w:szCs w:val="21"/>
          <w:highlight w:val="none"/>
        </w:rPr>
        <w:t>采购文件未载明允许提供备选（替代）竞标方案或明确不允许提供备选（替代）竞标方案时，供应商提供了备选（替代）竞标方案的；</w:t>
      </w:r>
      <w:bookmarkEnd w:id="19"/>
    </w:p>
    <w:p w14:paraId="7288E3B9">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8）响应文件标注的项目名称或者项目编号与采购文件标注的项目名称或者项目编号不一致的；</w:t>
      </w:r>
    </w:p>
    <w:p w14:paraId="08951B35">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9）</w:t>
      </w:r>
      <w:r>
        <w:rPr>
          <w:rFonts w:hint="eastAsia" w:ascii="宋体" w:hAnsi="宋体"/>
          <w:color w:val="auto"/>
          <w:szCs w:val="21"/>
          <w:highlight w:val="none"/>
        </w:rPr>
        <w:t>采购文件明确不允许分包，响应文件拟分包的；</w:t>
      </w:r>
    </w:p>
    <w:p w14:paraId="5B41826A">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1</w:t>
      </w:r>
      <w:r>
        <w:rPr>
          <w:rFonts w:hint="eastAsia" w:ascii="宋体" w:hAnsi="宋体" w:cs="宋体"/>
          <w:color w:val="auto"/>
          <w:szCs w:val="21"/>
          <w:highlight w:val="none"/>
        </w:rPr>
        <w:t>0）未响应采购文件实质性要求；</w:t>
      </w:r>
    </w:p>
    <w:p w14:paraId="7B350541">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11）法律、法规和采购文件规定的其他无效情形。</w:t>
      </w:r>
    </w:p>
    <w:p w14:paraId="3C178C45">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2.报价评审</w:t>
      </w:r>
    </w:p>
    <w:p w14:paraId="6E6CFE11">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ascii="宋体" w:hAnsi="宋体" w:cs="宋体"/>
          <w:color w:val="auto"/>
          <w:szCs w:val="21"/>
          <w:highlight w:val="none"/>
        </w:rPr>
        <w:t xml:space="preserve"> </w:t>
      </w:r>
      <w:r>
        <w:rPr>
          <w:rFonts w:hint="eastAsia" w:ascii="宋体" w:hAnsi="宋体" w:cs="宋体"/>
          <w:color w:val="auto"/>
          <w:szCs w:val="21"/>
          <w:highlight w:val="none"/>
        </w:rPr>
        <w:t>响应文件未提供采购文件中规定的“竞标报价表”；</w:t>
      </w:r>
    </w:p>
    <w:p w14:paraId="665BCB8F">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2）未采用人民币报价或者未按照采购文件标明的币种报价；</w:t>
      </w:r>
    </w:p>
    <w:p w14:paraId="6A9D10AD">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供应商未就所竞标分标进行报价或者存在漏项报价；供应商未就所竞标分标的单项内容作唯一报价；供应商未就所竞标分标的全部内容作完整唯一总价报价；供应商响应文件中存在有选择、有条件报价的（采购文件允许有备选方案或者其他约定的除外）；</w:t>
      </w:r>
    </w:p>
    <w:p w14:paraId="2695B3F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4）报价超过最高限价的（如本项目公布了最高限价）；</w:t>
      </w:r>
      <w:bookmarkStart w:id="20" w:name="_Hlk42596405"/>
      <w:r>
        <w:rPr>
          <w:rFonts w:hint="eastAsia" w:ascii="宋体" w:hAnsi="宋体" w:cs="宋体"/>
          <w:color w:val="auto"/>
          <w:szCs w:val="21"/>
          <w:highlight w:val="none"/>
        </w:rPr>
        <w:t xml:space="preserve"> </w:t>
      </w:r>
      <w:bookmarkEnd w:id="20"/>
    </w:p>
    <w:p w14:paraId="58269D0B">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5）修正后的报价，供应商不确认的；或者经供应商确认修正后的最后报价超过最高限价（如本项目公布了最高限价）；</w:t>
      </w:r>
    </w:p>
    <w:p w14:paraId="5C63884F">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6）</w:t>
      </w:r>
      <w:r>
        <w:rPr>
          <w:rFonts w:hint="eastAsia" w:ascii="宋体" w:hAnsi="宋体"/>
          <w:color w:val="auto"/>
          <w:szCs w:val="21"/>
          <w:highlight w:val="none"/>
        </w:rPr>
        <w:t>响应文件响应的标的数量及单位与采购文件要求实质性不一致的。</w:t>
      </w:r>
    </w:p>
    <w:p w14:paraId="71712C51">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三、比较与评价</w:t>
      </w:r>
    </w:p>
    <w:p w14:paraId="1DBE15AA">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（一）评审方法：综合评分法。</w:t>
      </w:r>
    </w:p>
    <w:p w14:paraId="2051E683">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（二）由评审小组采用综合评分法对有效响应文件进行综合评分。</w:t>
      </w:r>
    </w:p>
    <w:p w14:paraId="0104FB92">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（三）评审时，评审小组各成员应当对每个有效响应的文件进行评价、打分，然后汇总每个供应商每项评分因素的得分。</w:t>
      </w:r>
    </w:p>
    <w:p w14:paraId="3733CA8F">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1.评审小组按照采购文件中规定的评审标准计算各供应商的报价得分。项目评审过程中，不得去掉最后报价中的最高报价和最低报价。</w:t>
      </w:r>
    </w:p>
    <w:p w14:paraId="58EEA47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2.以投标人的有效报价的算术平均值为基准价</w:t>
      </w:r>
      <w:r>
        <w:rPr>
          <w:rFonts w:hint="eastAsia" w:ascii="宋体" w:hAnsi="宋体" w:cs="宋体"/>
          <w:color w:val="auto"/>
          <w:szCs w:val="21"/>
          <w:highlight w:val="none"/>
          <w:lang w:eastAsia="zh-CN"/>
        </w:rPr>
        <w:t>，</w:t>
      </w:r>
      <w:r>
        <w:rPr>
          <w:rFonts w:hint="eastAsia" w:ascii="宋体" w:hAnsi="宋体" w:cs="宋体"/>
          <w:color w:val="auto"/>
          <w:szCs w:val="21"/>
          <w:highlight w:val="none"/>
        </w:rPr>
        <w:t>报价与基准价的差取绝对值。</w:t>
      </w:r>
    </w:p>
    <w:p w14:paraId="562870B3">
      <w:pPr>
        <w:spacing w:line="360" w:lineRule="auto"/>
        <w:ind w:firstLine="420" w:firstLineChars="200"/>
        <w:rPr>
          <w:rFonts w:ascii="宋体" w:hAnsi="宋体"/>
          <w:color w:val="auto"/>
          <w:kern w:val="0"/>
          <w:szCs w:val="21"/>
          <w:highlight w:val="none"/>
        </w:rPr>
      </w:pPr>
      <w:r>
        <w:rPr>
          <w:rFonts w:hint="eastAsia" w:ascii="宋体" w:hAnsi="宋体" w:cs="宋体"/>
          <w:color w:val="auto"/>
          <w:szCs w:val="21"/>
          <w:highlight w:val="none"/>
        </w:rPr>
        <w:t>（四）由评审小组根据综合评分情况，按照评审得分由高到低顺序推荐3名成交候选供应商，并编写评</w:t>
      </w:r>
      <w:r>
        <w:rPr>
          <w:rFonts w:hint="eastAsia" w:ascii="宋体" w:hAnsi="宋体"/>
          <w:color w:val="auto"/>
          <w:kern w:val="0"/>
          <w:szCs w:val="21"/>
          <w:highlight w:val="none"/>
        </w:rPr>
        <w:t>审报告。评审得分相同的，按照最后报价由低到高的顺序推荐。</w:t>
      </w:r>
    </w:p>
    <w:p w14:paraId="68786C73">
      <w:pPr>
        <w:spacing w:line="360" w:lineRule="auto"/>
        <w:ind w:firstLine="420" w:firstLineChars="200"/>
        <w:rPr>
          <w:rFonts w:ascii="宋体" w:hAnsi="宋体" w:cs="宋体"/>
          <w:color w:val="auto"/>
          <w:szCs w:val="21"/>
          <w:highlight w:val="none"/>
        </w:rPr>
      </w:pPr>
      <w:r>
        <w:rPr>
          <w:rFonts w:hint="eastAsia" w:ascii="宋体" w:hAnsi="宋体"/>
          <w:color w:val="auto"/>
          <w:kern w:val="0"/>
          <w:szCs w:val="21"/>
          <w:highlight w:val="none"/>
        </w:rPr>
        <w:t>（五）评审报告应当由评审小组全体人员签字认可。评审小组成员对评审报告有异议的，评审小组按照少数服从多数的原则推荐成交候选供应商，采购程序继续进行。对评审报告有异议的评审小组成员，应当在报告上签署不同意见并说明理由，由评审小组书面记录相关情况。评审小组成员拒绝在报告上签字又不书面说明其不同意见和理由的，视为同意评审报告。</w:t>
      </w:r>
    </w:p>
    <w:p w14:paraId="6EE5676B">
      <w:pPr>
        <w:widowControl/>
        <w:spacing w:line="360" w:lineRule="auto"/>
        <w:jc w:val="center"/>
        <w:outlineLvl w:val="1"/>
        <w:rPr>
          <w:rFonts w:ascii="宋体" w:hAnsi="宋体"/>
          <w:b/>
          <w:color w:val="auto"/>
          <w:sz w:val="24"/>
          <w:highlight w:val="none"/>
        </w:rPr>
      </w:pPr>
      <w:r>
        <w:rPr>
          <w:rFonts w:ascii="宋体" w:hAnsi="宋体"/>
          <w:b/>
          <w:color w:val="auto"/>
          <w:sz w:val="32"/>
          <w:szCs w:val="32"/>
          <w:highlight w:val="none"/>
        </w:rPr>
        <w:br w:type="page"/>
      </w:r>
      <w:bookmarkStart w:id="21" w:name="_Toc2435"/>
      <w:bookmarkStart w:id="22" w:name="_Toc8537"/>
      <w:bookmarkStart w:id="23" w:name="_Toc7508"/>
      <w:r>
        <w:rPr>
          <w:rFonts w:hint="eastAsia" w:ascii="宋体" w:hAnsi="宋体"/>
          <w:b/>
          <w:color w:val="auto"/>
          <w:sz w:val="24"/>
          <w:highlight w:val="none"/>
        </w:rPr>
        <w:t>第二节  评审标准</w:t>
      </w:r>
      <w:bookmarkEnd w:id="21"/>
      <w:bookmarkEnd w:id="22"/>
      <w:bookmarkEnd w:id="23"/>
    </w:p>
    <w:p w14:paraId="71BD666F">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评审小组将以采购文件为评审依据，对供应商的报价、技术、商务等方面内容按百分制打分。（计分方法按四舍五入取至百分位）</w:t>
      </w:r>
    </w:p>
    <w:tbl>
      <w:tblPr>
        <w:tblStyle w:val="25"/>
        <w:tblW w:w="9118" w:type="dxa"/>
        <w:jc w:val="center"/>
        <w:tblLayout w:type="fixed"/>
        <w:tblCellMar>
          <w:top w:w="28" w:type="dxa"/>
          <w:left w:w="28" w:type="dxa"/>
          <w:bottom w:w="28" w:type="dxa"/>
          <w:right w:w="28" w:type="dxa"/>
        </w:tblCellMar>
      </w:tblPr>
      <w:tblGrid>
        <w:gridCol w:w="592"/>
        <w:gridCol w:w="1671"/>
        <w:gridCol w:w="6855"/>
      </w:tblGrid>
      <w:tr w14:paraId="44CD5425">
        <w:tblPrEx>
          <w:tblCellMar>
            <w:top w:w="28" w:type="dxa"/>
            <w:left w:w="28" w:type="dxa"/>
            <w:bottom w:w="28" w:type="dxa"/>
            <w:right w:w="28" w:type="dxa"/>
          </w:tblCellMar>
        </w:tblPrEx>
        <w:trPr>
          <w:trHeight w:val="461"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0A0FA631">
            <w:pPr>
              <w:spacing w:line="240" w:lineRule="atLeast"/>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71" w:type="dxa"/>
            <w:tcBorders>
              <w:top w:val="single" w:color="000000" w:sz="4" w:space="0"/>
              <w:left w:val="single" w:color="000000" w:sz="4" w:space="0"/>
              <w:bottom w:val="single" w:color="000000" w:sz="4" w:space="0"/>
              <w:right w:val="single" w:color="000000" w:sz="4" w:space="0"/>
            </w:tcBorders>
            <w:vAlign w:val="center"/>
          </w:tcPr>
          <w:p w14:paraId="15674EA4">
            <w:pPr>
              <w:widowControl/>
              <w:spacing w:line="240" w:lineRule="atLeast"/>
              <w:jc w:val="center"/>
              <w:textAlignment w:val="center"/>
              <w:rPr>
                <w:rFonts w:ascii="宋体" w:hAnsi="宋体" w:cs="宋体"/>
                <w:b/>
                <w:bCs/>
                <w:color w:val="auto"/>
                <w:szCs w:val="21"/>
                <w:highlight w:val="none"/>
              </w:rPr>
            </w:pPr>
            <w:r>
              <w:rPr>
                <w:rFonts w:hint="eastAsia" w:ascii="宋体" w:hAnsi="宋体" w:cs="宋体"/>
                <w:b/>
                <w:bCs/>
                <w:color w:val="auto"/>
                <w:szCs w:val="21"/>
                <w:highlight w:val="none"/>
              </w:rPr>
              <w:t>评审因素</w:t>
            </w:r>
          </w:p>
        </w:tc>
        <w:tc>
          <w:tcPr>
            <w:tcW w:w="6855" w:type="dxa"/>
            <w:tcBorders>
              <w:top w:val="single" w:color="000000" w:sz="4" w:space="0"/>
              <w:left w:val="single" w:color="000000" w:sz="4" w:space="0"/>
              <w:bottom w:val="single" w:color="000000" w:sz="4" w:space="0"/>
              <w:right w:val="single" w:color="000000" w:sz="4" w:space="0"/>
            </w:tcBorders>
            <w:vAlign w:val="center"/>
          </w:tcPr>
          <w:p w14:paraId="37409CD4">
            <w:pPr>
              <w:widowControl/>
              <w:spacing w:line="240" w:lineRule="atLeast"/>
              <w:jc w:val="center"/>
              <w:textAlignment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r>
      <w:tr w14:paraId="2E8694F8">
        <w:tblPrEx>
          <w:tblCellMar>
            <w:top w:w="28" w:type="dxa"/>
            <w:left w:w="28" w:type="dxa"/>
            <w:bottom w:w="28" w:type="dxa"/>
            <w:right w:w="28" w:type="dxa"/>
          </w:tblCellMar>
        </w:tblPrEx>
        <w:trPr>
          <w:trHeight w:val="1647"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1421F532">
            <w:pPr>
              <w:spacing w:line="240" w:lineRule="atLeast"/>
              <w:jc w:val="center"/>
              <w:rPr>
                <w:rFonts w:ascii="宋体" w:hAnsi="宋体" w:cs="宋体"/>
                <w:color w:val="auto"/>
                <w:szCs w:val="21"/>
                <w:highlight w:val="none"/>
              </w:rPr>
            </w:pPr>
            <w:r>
              <w:rPr>
                <w:rFonts w:hint="eastAsia" w:ascii="宋体" w:hAnsi="宋体" w:cs="宋体"/>
                <w:color w:val="auto"/>
                <w:szCs w:val="21"/>
                <w:highlight w:val="none"/>
              </w:rPr>
              <w:t>一</w:t>
            </w:r>
          </w:p>
        </w:tc>
        <w:tc>
          <w:tcPr>
            <w:tcW w:w="1671" w:type="dxa"/>
            <w:tcBorders>
              <w:top w:val="single" w:color="000000" w:sz="4" w:space="0"/>
              <w:left w:val="single" w:color="000000" w:sz="4" w:space="0"/>
              <w:bottom w:val="single" w:color="000000" w:sz="4" w:space="0"/>
              <w:right w:val="single" w:color="000000" w:sz="4" w:space="0"/>
            </w:tcBorders>
            <w:vAlign w:val="center"/>
          </w:tcPr>
          <w:p w14:paraId="75C84C43">
            <w:pPr>
              <w:widowControl/>
              <w:spacing w:line="240" w:lineRule="atLeast"/>
              <w:jc w:val="center"/>
              <w:textAlignment w:val="center"/>
              <w:rPr>
                <w:rFonts w:ascii="宋体" w:hAnsi="宋体" w:cs="宋体"/>
                <w:color w:val="auto"/>
                <w:szCs w:val="21"/>
                <w:highlight w:val="none"/>
              </w:rPr>
            </w:pPr>
            <w:r>
              <w:rPr>
                <w:rFonts w:hint="eastAsia" w:ascii="宋体" w:hAnsi="宋体" w:cs="宋体"/>
                <w:color w:val="auto"/>
                <w:szCs w:val="21"/>
                <w:highlight w:val="none"/>
              </w:rPr>
              <w:t>价格</w:t>
            </w:r>
          </w:p>
          <w:p w14:paraId="2022A306">
            <w:pPr>
              <w:widowControl/>
              <w:spacing w:line="240" w:lineRule="atLeast"/>
              <w:jc w:val="center"/>
              <w:textAlignment w:val="center"/>
              <w:rPr>
                <w:rFonts w:ascii="宋体" w:hAnsi="宋体" w:cs="宋体"/>
                <w:color w:val="auto"/>
                <w:szCs w:val="21"/>
                <w:highlight w:val="none"/>
              </w:rPr>
            </w:pPr>
            <w:r>
              <w:rPr>
                <w:rFonts w:hint="eastAsia" w:ascii="宋体" w:hAnsi="宋体" w:cs="宋体"/>
                <w:color w:val="auto"/>
                <w:szCs w:val="21"/>
                <w:highlight w:val="none"/>
              </w:rPr>
              <w:t>（满分</w:t>
            </w:r>
            <w:r>
              <w:rPr>
                <w:rFonts w:ascii="宋体" w:hAnsi="宋体" w:cs="宋体"/>
                <w:color w:val="auto"/>
                <w:szCs w:val="21"/>
                <w:highlight w:val="none"/>
              </w:rPr>
              <w:t>20</w:t>
            </w:r>
            <w:r>
              <w:rPr>
                <w:rFonts w:hint="eastAsia" w:ascii="宋体" w:hAnsi="宋体" w:cs="宋体"/>
                <w:color w:val="auto"/>
                <w:szCs w:val="21"/>
                <w:highlight w:val="none"/>
              </w:rPr>
              <w:t>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6BD4DA3E">
            <w:pPr>
              <w:widowControl/>
              <w:spacing w:line="240" w:lineRule="atLeast"/>
              <w:ind w:firstLine="420" w:firstLineChars="200"/>
              <w:textAlignment w:val="center"/>
              <w:rPr>
                <w:rFonts w:ascii="宋体" w:hAnsi="宋体" w:cs="宋体"/>
                <w:color w:val="auto"/>
                <w:szCs w:val="21"/>
                <w:highlight w:val="none"/>
              </w:rPr>
            </w:pPr>
            <w:r>
              <w:rPr>
                <w:rFonts w:hint="eastAsia" w:ascii="宋体" w:hAnsi="宋体" w:cs="宋体"/>
                <w:color w:val="auto"/>
                <w:szCs w:val="21"/>
                <w:highlight w:val="none"/>
              </w:rPr>
              <w:t>以投标人的有效报价的算术平均值为基准价</w:t>
            </w:r>
            <w:r>
              <w:rPr>
                <w:rFonts w:hint="eastAsia" w:ascii="宋体" w:hAnsi="宋体" w:cs="宋体"/>
                <w:color w:val="auto"/>
                <w:szCs w:val="21"/>
                <w:highlight w:val="none"/>
                <w:lang w:eastAsia="zh-CN"/>
              </w:rPr>
              <w:t>，</w:t>
            </w:r>
            <w:r>
              <w:rPr>
                <w:rFonts w:hint="eastAsia" w:ascii="宋体" w:hAnsi="宋体" w:cs="宋体"/>
                <w:color w:val="auto"/>
                <w:szCs w:val="21"/>
                <w:highlight w:val="none"/>
              </w:rPr>
              <w:t>报价与基准价的差取绝对值。有效报价为：投标人的报价未超过最高控制价，且投标人符合参与条件要求。</w:t>
            </w:r>
          </w:p>
          <w:p w14:paraId="5FC57E26">
            <w:pPr>
              <w:widowControl/>
              <w:spacing w:line="240" w:lineRule="atLeast"/>
              <w:ind w:firstLine="420" w:firstLineChars="200"/>
              <w:textAlignment w:val="center"/>
              <w:rPr>
                <w:rFonts w:ascii="宋体" w:hAnsi="宋体" w:cs="宋体"/>
                <w:color w:val="auto"/>
                <w:szCs w:val="21"/>
                <w:highlight w:val="none"/>
              </w:rPr>
            </w:pPr>
            <w:r>
              <w:rPr>
                <w:rFonts w:hint="eastAsia" w:ascii="宋体" w:hAnsi="宋体" w:cs="宋体"/>
                <w:color w:val="auto"/>
                <w:szCs w:val="21"/>
                <w:highlight w:val="none"/>
              </w:rPr>
              <w:t>偏差率=100%×∣（报价-基准价）∣/基准价。</w:t>
            </w:r>
          </w:p>
          <w:p w14:paraId="36855AF0">
            <w:pPr>
              <w:widowControl/>
              <w:spacing w:line="240" w:lineRule="atLeast"/>
              <w:ind w:firstLine="420" w:firstLineChars="200"/>
              <w:textAlignment w:val="center"/>
              <w:rPr>
                <w:rFonts w:ascii="宋体" w:hAnsi="宋体" w:cs="宋体"/>
                <w:color w:val="auto"/>
                <w:szCs w:val="21"/>
                <w:highlight w:val="none"/>
              </w:rPr>
            </w:pPr>
            <w:r>
              <w:rPr>
                <w:rFonts w:hint="eastAsia" w:ascii="宋体" w:hAnsi="宋体" w:cs="宋体"/>
                <w:color w:val="auto"/>
                <w:szCs w:val="21"/>
                <w:highlight w:val="none"/>
              </w:rPr>
              <w:t>若投标人报价&gt;评标基准价，则得分=20-偏差率×100×0.2；</w:t>
            </w:r>
          </w:p>
          <w:p w14:paraId="34FE6894">
            <w:pPr>
              <w:widowControl/>
              <w:spacing w:line="240" w:lineRule="atLeast"/>
              <w:ind w:firstLine="420" w:firstLineChars="200"/>
              <w:textAlignment w:val="center"/>
              <w:rPr>
                <w:rFonts w:ascii="宋体" w:hAnsi="宋体" w:cs="宋体"/>
                <w:color w:val="auto"/>
                <w:szCs w:val="21"/>
                <w:highlight w:val="none"/>
              </w:rPr>
            </w:pPr>
            <w:r>
              <w:rPr>
                <w:rFonts w:hint="eastAsia" w:ascii="宋体" w:hAnsi="宋体" w:cs="宋体"/>
                <w:color w:val="auto"/>
                <w:szCs w:val="21"/>
                <w:highlight w:val="none"/>
              </w:rPr>
              <w:t>若投标人报价≤评标基准价，则得分=20-偏差率×100×0.1。</w:t>
            </w:r>
          </w:p>
          <w:p w14:paraId="1EFEC2DF">
            <w:pPr>
              <w:widowControl/>
              <w:spacing w:line="240" w:lineRule="atLeast"/>
              <w:textAlignment w:val="center"/>
              <w:rPr>
                <w:rFonts w:ascii="宋体" w:hAnsi="宋体" w:cs="宋体"/>
                <w:color w:val="auto"/>
                <w:szCs w:val="21"/>
                <w:highlight w:val="none"/>
              </w:rPr>
            </w:pPr>
            <w:r>
              <w:rPr>
                <w:rFonts w:hint="eastAsia" w:ascii="宋体" w:hAnsi="宋体" w:cs="宋体"/>
                <w:color w:val="auto"/>
                <w:szCs w:val="21"/>
                <w:highlight w:val="none"/>
              </w:rPr>
              <w:t>注：分数取小数点后两位。</w:t>
            </w:r>
          </w:p>
        </w:tc>
      </w:tr>
      <w:tr w14:paraId="714EF7AC">
        <w:tblPrEx>
          <w:tblCellMar>
            <w:top w:w="28" w:type="dxa"/>
            <w:left w:w="28" w:type="dxa"/>
            <w:bottom w:w="28" w:type="dxa"/>
            <w:right w:w="28" w:type="dxa"/>
          </w:tblCellMar>
        </w:tblPrEx>
        <w:trPr>
          <w:trHeight w:val="1508" w:hRule="atLeast"/>
          <w:jc w:val="center"/>
        </w:trPr>
        <w:tc>
          <w:tcPr>
            <w:tcW w:w="592" w:type="dxa"/>
            <w:tcBorders>
              <w:top w:val="single" w:color="000000" w:sz="4" w:space="0"/>
              <w:left w:val="single" w:color="000000" w:sz="4" w:space="0"/>
              <w:bottom w:val="single" w:color="auto" w:sz="4" w:space="0"/>
              <w:right w:val="single" w:color="auto" w:sz="4" w:space="0"/>
            </w:tcBorders>
            <w:vAlign w:val="center"/>
          </w:tcPr>
          <w:p w14:paraId="7C0DAB28">
            <w:pPr>
              <w:widowControl/>
              <w:spacing w:line="240" w:lineRule="atLeast"/>
              <w:jc w:val="center"/>
              <w:textAlignment w:val="center"/>
              <w:rPr>
                <w:rFonts w:ascii="宋体" w:hAnsi="宋体" w:cs="宋体"/>
                <w:color w:val="auto"/>
                <w:szCs w:val="21"/>
                <w:highlight w:val="none"/>
              </w:rPr>
            </w:pPr>
            <w:r>
              <w:rPr>
                <w:rFonts w:hint="eastAsia" w:ascii="宋体" w:hAnsi="宋体" w:cs="宋体"/>
                <w:color w:val="auto"/>
                <w:szCs w:val="21"/>
                <w:highlight w:val="none"/>
              </w:rPr>
              <w:t>二</w:t>
            </w:r>
          </w:p>
        </w:tc>
        <w:tc>
          <w:tcPr>
            <w:tcW w:w="1671" w:type="dxa"/>
            <w:tcBorders>
              <w:top w:val="single" w:color="000000" w:sz="4" w:space="0"/>
              <w:left w:val="single" w:color="auto" w:sz="4" w:space="0"/>
              <w:bottom w:val="single" w:color="000000" w:sz="4" w:space="0"/>
              <w:right w:val="single" w:color="000000" w:sz="4" w:space="0"/>
            </w:tcBorders>
            <w:vAlign w:val="center"/>
          </w:tcPr>
          <w:p w14:paraId="336C1F29">
            <w:pPr>
              <w:widowControl/>
              <w:spacing w:line="240" w:lineRule="atLeast"/>
              <w:jc w:val="center"/>
              <w:textAlignment w:val="center"/>
              <w:rPr>
                <w:rFonts w:ascii="宋体" w:hAnsi="宋体" w:cs="宋体"/>
                <w:color w:val="auto"/>
                <w:szCs w:val="21"/>
                <w:highlight w:val="none"/>
              </w:rPr>
            </w:pPr>
            <w:r>
              <w:rPr>
                <w:rFonts w:hint="eastAsia" w:ascii="宋体" w:hAnsi="宋体" w:cs="宋体"/>
                <w:color w:val="auto"/>
                <w:szCs w:val="21"/>
                <w:highlight w:val="none"/>
              </w:rPr>
              <w:t>资信业绩</w:t>
            </w:r>
          </w:p>
          <w:p w14:paraId="55F424A9">
            <w:pPr>
              <w:widowControl/>
              <w:spacing w:line="240" w:lineRule="atLeast"/>
              <w:jc w:val="center"/>
              <w:textAlignment w:val="center"/>
              <w:rPr>
                <w:rFonts w:ascii="宋体" w:hAnsi="宋体" w:cs="宋体"/>
                <w:color w:val="auto"/>
                <w:szCs w:val="21"/>
                <w:highlight w:val="none"/>
              </w:rPr>
            </w:pPr>
            <w:r>
              <w:rPr>
                <w:rFonts w:hint="eastAsia" w:ascii="宋体" w:hAnsi="宋体" w:cs="宋体"/>
                <w:color w:val="auto"/>
                <w:szCs w:val="21"/>
                <w:highlight w:val="none"/>
              </w:rPr>
              <w:t>（满分</w:t>
            </w:r>
            <w:r>
              <w:rPr>
                <w:rFonts w:ascii="宋体" w:hAnsi="宋体" w:cs="宋体"/>
                <w:color w:val="auto"/>
                <w:szCs w:val="21"/>
                <w:highlight w:val="none"/>
              </w:rPr>
              <w:t>20</w:t>
            </w:r>
            <w:r>
              <w:rPr>
                <w:rFonts w:hint="eastAsia" w:ascii="宋体" w:hAnsi="宋体" w:cs="宋体"/>
                <w:color w:val="auto"/>
                <w:szCs w:val="21"/>
                <w:highlight w:val="none"/>
              </w:rPr>
              <w:t>分）</w:t>
            </w:r>
          </w:p>
        </w:tc>
        <w:tc>
          <w:tcPr>
            <w:tcW w:w="6855" w:type="dxa"/>
            <w:tcBorders>
              <w:top w:val="nil"/>
              <w:left w:val="single" w:color="000000" w:sz="4" w:space="0"/>
              <w:bottom w:val="single" w:color="000000" w:sz="4" w:space="0"/>
              <w:right w:val="single" w:color="000000" w:sz="4" w:space="0"/>
            </w:tcBorders>
            <w:vAlign w:val="center"/>
          </w:tcPr>
          <w:p w14:paraId="049112C8">
            <w:pPr>
              <w:pStyle w:val="31"/>
              <w:rPr>
                <w:rFonts w:hint="eastAsia" w:ascii="Times New Roman" w:hAnsi="Times New Roman" w:cs="Times New Roman"/>
                <w:bCs w:val="0"/>
                <w:color w:val="auto"/>
                <w:spacing w:val="0"/>
                <w:kern w:val="2"/>
                <w:sz w:val="21"/>
                <w:szCs w:val="21"/>
                <w:highlight w:val="none"/>
              </w:rPr>
            </w:pPr>
            <w:r>
              <w:rPr>
                <w:rFonts w:hint="eastAsia"/>
                <w:bCs w:val="0"/>
                <w:color w:val="auto"/>
                <w:spacing w:val="0"/>
                <w:kern w:val="2"/>
                <w:sz w:val="21"/>
                <w:szCs w:val="21"/>
                <w:highlight w:val="none"/>
              </w:rPr>
              <w:t>1. 2022年1月1日</w:t>
            </w:r>
            <w:r>
              <w:rPr>
                <w:rFonts w:hint="eastAsia" w:ascii="Times New Roman" w:hAnsi="Times New Roman" w:cs="Times New Roman"/>
                <w:bCs w:val="0"/>
                <w:color w:val="auto"/>
                <w:spacing w:val="0"/>
                <w:kern w:val="2"/>
                <w:sz w:val="21"/>
                <w:szCs w:val="21"/>
                <w:highlight w:val="none"/>
              </w:rPr>
              <w:t>至今完成类似项目（沿海5千吨级</w:t>
            </w:r>
            <w:r>
              <w:rPr>
                <w:rFonts w:hint="eastAsia" w:cs="Times New Roman"/>
                <w:bCs w:val="0"/>
                <w:color w:val="auto"/>
                <w:spacing w:val="0"/>
                <w:kern w:val="2"/>
                <w:sz w:val="21"/>
                <w:szCs w:val="21"/>
                <w:highlight w:val="none"/>
                <w:lang w:eastAsia="zh-CN"/>
              </w:rPr>
              <w:t>码</w:t>
            </w:r>
            <w:r>
              <w:rPr>
                <w:rFonts w:hint="eastAsia" w:ascii="Times New Roman" w:hAnsi="Times New Roman" w:cs="Times New Roman"/>
                <w:bCs w:val="0"/>
                <w:color w:val="auto"/>
                <w:spacing w:val="0"/>
                <w:kern w:val="2"/>
                <w:sz w:val="21"/>
                <w:szCs w:val="21"/>
                <w:highlight w:val="none"/>
              </w:rPr>
              <w:t>头或航道</w:t>
            </w:r>
            <w:r>
              <w:rPr>
                <w:rFonts w:hint="eastAsia" w:ascii="Times New Roman" w:hAnsi="Times New Roman" w:cs="Times New Roman"/>
                <w:bCs w:val="0"/>
                <w:color w:val="auto"/>
                <w:spacing w:val="0"/>
                <w:kern w:val="2"/>
                <w:sz w:val="21"/>
                <w:szCs w:val="21"/>
                <w:highlight w:val="none"/>
                <w:lang w:val="en-US" w:eastAsia="zh-CN"/>
              </w:rPr>
              <w:t>锚地</w:t>
            </w:r>
            <w:r>
              <w:rPr>
                <w:rFonts w:hint="eastAsia" w:ascii="Times New Roman" w:hAnsi="Times New Roman" w:cs="Times New Roman"/>
                <w:bCs w:val="0"/>
                <w:color w:val="auto"/>
                <w:spacing w:val="0"/>
                <w:kern w:val="2"/>
                <w:sz w:val="21"/>
                <w:szCs w:val="21"/>
                <w:highlight w:val="none"/>
              </w:rPr>
              <w:t>工程的测量和地质勘察业绩）的，每项得3分</w:t>
            </w:r>
            <w:r>
              <w:rPr>
                <w:rFonts w:hint="eastAsia" w:cs="Times New Roman"/>
                <w:bCs w:val="0"/>
                <w:color w:val="auto"/>
                <w:spacing w:val="0"/>
                <w:kern w:val="2"/>
                <w:sz w:val="21"/>
                <w:szCs w:val="21"/>
                <w:highlight w:val="none"/>
                <w:lang w:eastAsia="zh-CN"/>
              </w:rPr>
              <w:t>；</w:t>
            </w:r>
            <w:r>
              <w:rPr>
                <w:rFonts w:hint="eastAsia" w:ascii="Times New Roman" w:hAnsi="Times New Roman" w:cs="Times New Roman"/>
                <w:bCs w:val="0"/>
                <w:color w:val="auto"/>
                <w:spacing w:val="0"/>
                <w:kern w:val="2"/>
                <w:sz w:val="21"/>
                <w:szCs w:val="21"/>
                <w:highlight w:val="none"/>
              </w:rPr>
              <w:t>（沿海5千吨级</w:t>
            </w:r>
            <w:r>
              <w:rPr>
                <w:rFonts w:hint="eastAsia" w:cs="Times New Roman"/>
                <w:bCs w:val="0"/>
                <w:color w:val="auto"/>
                <w:spacing w:val="0"/>
                <w:kern w:val="2"/>
                <w:sz w:val="21"/>
                <w:szCs w:val="21"/>
                <w:highlight w:val="none"/>
                <w:lang w:eastAsia="zh-CN"/>
              </w:rPr>
              <w:t>至</w:t>
            </w:r>
            <w:r>
              <w:rPr>
                <w:rFonts w:hint="eastAsia" w:cs="Times New Roman"/>
                <w:bCs w:val="0"/>
                <w:color w:val="auto"/>
                <w:spacing w:val="0"/>
                <w:kern w:val="2"/>
                <w:sz w:val="21"/>
                <w:szCs w:val="21"/>
                <w:highlight w:val="none"/>
                <w:lang w:val="en-US" w:eastAsia="zh-CN"/>
              </w:rPr>
              <w:t>5万吨级</w:t>
            </w:r>
            <w:r>
              <w:rPr>
                <w:rFonts w:hint="eastAsia" w:cs="Times New Roman"/>
                <w:bCs w:val="0"/>
                <w:color w:val="auto"/>
                <w:spacing w:val="0"/>
                <w:kern w:val="2"/>
                <w:sz w:val="21"/>
                <w:szCs w:val="21"/>
                <w:highlight w:val="none"/>
                <w:lang w:eastAsia="zh-CN"/>
              </w:rPr>
              <w:t>码</w:t>
            </w:r>
            <w:r>
              <w:rPr>
                <w:rFonts w:hint="eastAsia" w:ascii="Times New Roman" w:hAnsi="Times New Roman" w:cs="Times New Roman"/>
                <w:bCs w:val="0"/>
                <w:color w:val="auto"/>
                <w:spacing w:val="0"/>
                <w:kern w:val="2"/>
                <w:sz w:val="21"/>
                <w:szCs w:val="21"/>
                <w:highlight w:val="none"/>
              </w:rPr>
              <w:t>头</w:t>
            </w:r>
            <w:r>
              <w:rPr>
                <w:rFonts w:hint="eastAsia" w:cs="Times New Roman"/>
                <w:bCs w:val="0"/>
                <w:color w:val="auto"/>
                <w:spacing w:val="0"/>
                <w:kern w:val="2"/>
                <w:sz w:val="21"/>
                <w:szCs w:val="21"/>
                <w:highlight w:val="none"/>
                <w:lang w:eastAsia="zh-CN"/>
              </w:rPr>
              <w:t>以上</w:t>
            </w:r>
            <w:r>
              <w:rPr>
                <w:rFonts w:hint="eastAsia" w:ascii="Times New Roman" w:hAnsi="Times New Roman" w:cs="Times New Roman"/>
                <w:bCs w:val="0"/>
                <w:color w:val="auto"/>
                <w:spacing w:val="0"/>
                <w:kern w:val="2"/>
                <w:sz w:val="21"/>
                <w:szCs w:val="21"/>
                <w:highlight w:val="none"/>
              </w:rPr>
              <w:t>或航道</w:t>
            </w:r>
            <w:r>
              <w:rPr>
                <w:rFonts w:hint="eastAsia" w:ascii="Times New Roman" w:hAnsi="Times New Roman" w:cs="Times New Roman"/>
                <w:bCs w:val="0"/>
                <w:color w:val="auto"/>
                <w:spacing w:val="0"/>
                <w:kern w:val="2"/>
                <w:sz w:val="21"/>
                <w:szCs w:val="21"/>
                <w:highlight w:val="none"/>
                <w:lang w:val="en-US" w:eastAsia="zh-CN"/>
              </w:rPr>
              <w:t>锚地</w:t>
            </w:r>
            <w:r>
              <w:rPr>
                <w:rFonts w:hint="eastAsia" w:ascii="Times New Roman" w:hAnsi="Times New Roman" w:cs="Times New Roman"/>
                <w:bCs w:val="0"/>
                <w:color w:val="auto"/>
                <w:spacing w:val="0"/>
                <w:kern w:val="2"/>
                <w:sz w:val="21"/>
                <w:szCs w:val="21"/>
                <w:highlight w:val="none"/>
              </w:rPr>
              <w:t>工程的测量和地质勘察业绩）的，每项得</w:t>
            </w:r>
            <w:r>
              <w:rPr>
                <w:rFonts w:hint="eastAsia" w:cs="Times New Roman"/>
                <w:bCs w:val="0"/>
                <w:color w:val="auto"/>
                <w:spacing w:val="0"/>
                <w:kern w:val="2"/>
                <w:sz w:val="21"/>
                <w:szCs w:val="21"/>
                <w:highlight w:val="none"/>
                <w:lang w:val="en-US" w:eastAsia="zh-CN"/>
              </w:rPr>
              <w:t>4</w:t>
            </w:r>
            <w:r>
              <w:rPr>
                <w:rFonts w:hint="eastAsia" w:ascii="Times New Roman" w:hAnsi="Times New Roman" w:cs="Times New Roman"/>
                <w:bCs w:val="0"/>
                <w:color w:val="auto"/>
                <w:spacing w:val="0"/>
                <w:kern w:val="2"/>
                <w:sz w:val="21"/>
                <w:szCs w:val="21"/>
                <w:highlight w:val="none"/>
              </w:rPr>
              <w:t>分</w:t>
            </w:r>
            <w:r>
              <w:rPr>
                <w:rFonts w:hint="eastAsia" w:cs="Times New Roman"/>
                <w:bCs w:val="0"/>
                <w:color w:val="auto"/>
                <w:spacing w:val="0"/>
                <w:kern w:val="2"/>
                <w:sz w:val="21"/>
                <w:szCs w:val="21"/>
                <w:highlight w:val="none"/>
                <w:lang w:eastAsia="zh-CN"/>
              </w:rPr>
              <w:t>；</w:t>
            </w:r>
            <w:r>
              <w:rPr>
                <w:rFonts w:hint="eastAsia" w:ascii="Times New Roman" w:hAnsi="Times New Roman" w:cs="Times New Roman"/>
                <w:bCs w:val="0"/>
                <w:color w:val="auto"/>
                <w:spacing w:val="0"/>
                <w:kern w:val="2"/>
                <w:sz w:val="21"/>
                <w:szCs w:val="21"/>
                <w:highlight w:val="none"/>
              </w:rPr>
              <w:t>（沿海</w:t>
            </w:r>
            <w:r>
              <w:rPr>
                <w:rFonts w:hint="eastAsia" w:cs="Times New Roman"/>
                <w:bCs w:val="0"/>
                <w:color w:val="auto"/>
                <w:spacing w:val="0"/>
                <w:kern w:val="2"/>
                <w:sz w:val="21"/>
                <w:szCs w:val="21"/>
                <w:highlight w:val="none"/>
                <w:lang w:val="en-US" w:eastAsia="zh-CN"/>
              </w:rPr>
              <w:t>5万</w:t>
            </w:r>
            <w:r>
              <w:rPr>
                <w:rFonts w:hint="eastAsia" w:ascii="Times New Roman" w:hAnsi="Times New Roman" w:cs="Times New Roman"/>
                <w:bCs w:val="0"/>
                <w:color w:val="auto"/>
                <w:spacing w:val="0"/>
                <w:kern w:val="2"/>
                <w:sz w:val="21"/>
                <w:szCs w:val="21"/>
                <w:highlight w:val="none"/>
              </w:rPr>
              <w:t>吨级</w:t>
            </w:r>
            <w:r>
              <w:rPr>
                <w:rFonts w:hint="eastAsia" w:cs="Times New Roman"/>
                <w:bCs w:val="0"/>
                <w:color w:val="auto"/>
                <w:spacing w:val="0"/>
                <w:kern w:val="2"/>
                <w:sz w:val="21"/>
                <w:szCs w:val="21"/>
                <w:highlight w:val="none"/>
                <w:lang w:eastAsia="zh-CN"/>
              </w:rPr>
              <w:t>码</w:t>
            </w:r>
            <w:r>
              <w:rPr>
                <w:rFonts w:hint="eastAsia" w:ascii="Times New Roman" w:hAnsi="Times New Roman" w:cs="Times New Roman"/>
                <w:bCs w:val="0"/>
                <w:color w:val="auto"/>
                <w:spacing w:val="0"/>
                <w:kern w:val="2"/>
                <w:sz w:val="21"/>
                <w:szCs w:val="21"/>
                <w:highlight w:val="none"/>
              </w:rPr>
              <w:t>头</w:t>
            </w:r>
            <w:r>
              <w:rPr>
                <w:rFonts w:hint="eastAsia" w:cs="Times New Roman"/>
                <w:bCs w:val="0"/>
                <w:color w:val="auto"/>
                <w:spacing w:val="0"/>
                <w:kern w:val="2"/>
                <w:sz w:val="21"/>
                <w:szCs w:val="21"/>
                <w:highlight w:val="none"/>
                <w:lang w:eastAsia="zh-CN"/>
              </w:rPr>
              <w:t>以上</w:t>
            </w:r>
            <w:r>
              <w:rPr>
                <w:rFonts w:hint="eastAsia" w:ascii="Times New Roman" w:hAnsi="Times New Roman" w:cs="Times New Roman"/>
                <w:bCs w:val="0"/>
                <w:color w:val="auto"/>
                <w:spacing w:val="0"/>
                <w:kern w:val="2"/>
                <w:sz w:val="21"/>
                <w:szCs w:val="21"/>
                <w:highlight w:val="none"/>
              </w:rPr>
              <w:t>或航道</w:t>
            </w:r>
            <w:r>
              <w:rPr>
                <w:rFonts w:hint="eastAsia" w:ascii="Times New Roman" w:hAnsi="Times New Roman" w:cs="Times New Roman"/>
                <w:bCs w:val="0"/>
                <w:color w:val="auto"/>
                <w:spacing w:val="0"/>
                <w:kern w:val="2"/>
                <w:sz w:val="21"/>
                <w:szCs w:val="21"/>
                <w:highlight w:val="none"/>
                <w:lang w:val="en-US" w:eastAsia="zh-CN"/>
              </w:rPr>
              <w:t>锚地</w:t>
            </w:r>
            <w:r>
              <w:rPr>
                <w:rFonts w:hint="eastAsia" w:ascii="Times New Roman" w:hAnsi="Times New Roman" w:cs="Times New Roman"/>
                <w:bCs w:val="0"/>
                <w:color w:val="auto"/>
                <w:spacing w:val="0"/>
                <w:kern w:val="2"/>
                <w:sz w:val="21"/>
                <w:szCs w:val="21"/>
                <w:highlight w:val="none"/>
              </w:rPr>
              <w:t>工程的测量和地质勘察业绩）的，每项得</w:t>
            </w:r>
            <w:r>
              <w:rPr>
                <w:rFonts w:hint="eastAsia" w:cs="Times New Roman"/>
                <w:bCs w:val="0"/>
                <w:color w:val="auto"/>
                <w:spacing w:val="0"/>
                <w:kern w:val="2"/>
                <w:sz w:val="21"/>
                <w:szCs w:val="21"/>
                <w:highlight w:val="none"/>
                <w:lang w:val="en-US" w:eastAsia="zh-CN"/>
              </w:rPr>
              <w:t>5</w:t>
            </w:r>
            <w:r>
              <w:rPr>
                <w:rFonts w:hint="eastAsia" w:ascii="Times New Roman" w:hAnsi="Times New Roman" w:cs="Times New Roman"/>
                <w:bCs w:val="0"/>
                <w:color w:val="auto"/>
                <w:spacing w:val="0"/>
                <w:kern w:val="2"/>
                <w:sz w:val="21"/>
                <w:szCs w:val="21"/>
                <w:highlight w:val="none"/>
              </w:rPr>
              <w:t>分，最高分</w:t>
            </w:r>
            <w:r>
              <w:rPr>
                <w:rFonts w:hint="eastAsia" w:cs="Times New Roman"/>
                <w:bCs w:val="0"/>
                <w:color w:val="auto"/>
                <w:spacing w:val="0"/>
                <w:kern w:val="2"/>
                <w:sz w:val="21"/>
                <w:szCs w:val="21"/>
                <w:highlight w:val="none"/>
                <w:lang w:val="en-US" w:eastAsia="zh-CN"/>
              </w:rPr>
              <w:t>10</w:t>
            </w:r>
            <w:r>
              <w:rPr>
                <w:rFonts w:hint="eastAsia" w:ascii="Times New Roman" w:hAnsi="Times New Roman" w:cs="Times New Roman"/>
                <w:bCs w:val="0"/>
                <w:color w:val="auto"/>
                <w:spacing w:val="0"/>
                <w:kern w:val="2"/>
                <w:sz w:val="21"/>
                <w:szCs w:val="21"/>
                <w:highlight w:val="none"/>
              </w:rPr>
              <w:t>分。</w:t>
            </w:r>
          </w:p>
          <w:p w14:paraId="3A67F54F">
            <w:pPr>
              <w:pStyle w:val="31"/>
              <w:rPr>
                <w:rFonts w:hint="eastAsia" w:ascii="Times New Roman" w:hAnsi="Times New Roman" w:cs="Times New Roman"/>
                <w:bCs w:val="0"/>
                <w:color w:val="auto"/>
                <w:spacing w:val="0"/>
                <w:kern w:val="2"/>
                <w:sz w:val="21"/>
                <w:szCs w:val="21"/>
                <w:highlight w:val="none"/>
              </w:rPr>
            </w:pPr>
            <w:r>
              <w:rPr>
                <w:rFonts w:hint="eastAsia" w:ascii="Times New Roman" w:hAnsi="Times New Roman" w:cs="Times New Roman"/>
                <w:bCs w:val="0"/>
                <w:color w:val="auto"/>
                <w:spacing w:val="0"/>
                <w:kern w:val="2"/>
                <w:sz w:val="21"/>
                <w:szCs w:val="21"/>
                <w:highlight w:val="none"/>
              </w:rPr>
              <w:t>注：业绩需提供</w:t>
            </w:r>
            <w:r>
              <w:rPr>
                <w:rFonts w:hint="eastAsia"/>
                <w:bCs w:val="0"/>
                <w:color w:val="auto"/>
                <w:spacing w:val="0"/>
                <w:kern w:val="2"/>
                <w:sz w:val="21"/>
                <w:szCs w:val="21"/>
                <w:highlight w:val="none"/>
              </w:rPr>
              <w:t>合同复印件</w:t>
            </w:r>
            <w:r>
              <w:rPr>
                <w:rFonts w:hint="eastAsia" w:ascii="Times New Roman" w:hAnsi="Times New Roman" w:cs="Times New Roman"/>
                <w:bCs w:val="0"/>
                <w:color w:val="auto"/>
                <w:spacing w:val="0"/>
                <w:kern w:val="2"/>
                <w:sz w:val="21"/>
                <w:szCs w:val="21"/>
                <w:highlight w:val="none"/>
              </w:rPr>
              <w:t>作为评审依据，同一个项目测量和地质勘察分属不同合同均予以认可，证明材料均加盖公章。</w:t>
            </w:r>
          </w:p>
          <w:p w14:paraId="5380054B">
            <w:pPr>
              <w:pStyle w:val="11"/>
              <w:rPr>
                <w:rFonts w:hint="eastAsia"/>
                <w:bCs w:val="0"/>
                <w:color w:val="auto"/>
                <w:spacing w:val="0"/>
                <w:kern w:val="2"/>
                <w:sz w:val="21"/>
                <w:szCs w:val="21"/>
                <w:highlight w:val="none"/>
              </w:rPr>
            </w:pPr>
            <w:r>
              <w:rPr>
                <w:rFonts w:hint="eastAsia"/>
                <w:bCs w:val="0"/>
                <w:color w:val="auto"/>
                <w:spacing w:val="0"/>
                <w:kern w:val="2"/>
                <w:sz w:val="21"/>
                <w:szCs w:val="21"/>
                <w:highlight w:val="none"/>
              </w:rPr>
              <w:t>2. 具有有效的工程勘察甲级</w:t>
            </w:r>
            <w:r>
              <w:rPr>
                <w:rFonts w:hint="eastAsia"/>
                <w:bCs w:val="0"/>
                <w:color w:val="auto"/>
                <w:spacing w:val="0"/>
                <w:kern w:val="2"/>
                <w:sz w:val="21"/>
                <w:szCs w:val="21"/>
                <w:highlight w:val="none"/>
                <w:lang w:eastAsia="zh-CN"/>
              </w:rPr>
              <w:t>及以上</w:t>
            </w:r>
            <w:r>
              <w:rPr>
                <w:rFonts w:hint="eastAsia"/>
                <w:bCs w:val="0"/>
                <w:color w:val="auto"/>
                <w:spacing w:val="0"/>
                <w:kern w:val="2"/>
                <w:sz w:val="21"/>
                <w:szCs w:val="21"/>
                <w:highlight w:val="none"/>
              </w:rPr>
              <w:t>资质证书</w:t>
            </w:r>
            <w:r>
              <w:rPr>
                <w:rFonts w:hint="eastAsia"/>
                <w:bCs w:val="0"/>
                <w:color w:val="auto"/>
                <w:spacing w:val="0"/>
                <w:kern w:val="2"/>
                <w:sz w:val="21"/>
                <w:szCs w:val="21"/>
                <w:highlight w:val="none"/>
                <w:lang w:eastAsia="zh-CN"/>
              </w:rPr>
              <w:t>和</w:t>
            </w:r>
            <w:r>
              <w:rPr>
                <w:rFonts w:hint="eastAsia"/>
                <w:bCs w:val="0"/>
                <w:color w:val="auto"/>
                <w:spacing w:val="0"/>
                <w:kern w:val="2"/>
                <w:sz w:val="21"/>
                <w:szCs w:val="21"/>
                <w:highlight w:val="none"/>
              </w:rPr>
              <w:t>自然资源部颁发的测绘甲级</w:t>
            </w:r>
            <w:r>
              <w:rPr>
                <w:rFonts w:hint="eastAsia"/>
                <w:bCs w:val="0"/>
                <w:color w:val="auto"/>
                <w:spacing w:val="0"/>
                <w:kern w:val="2"/>
                <w:sz w:val="21"/>
                <w:szCs w:val="21"/>
                <w:highlight w:val="none"/>
                <w:lang w:eastAsia="zh-CN"/>
              </w:rPr>
              <w:t>及以上</w:t>
            </w:r>
            <w:r>
              <w:rPr>
                <w:rFonts w:hint="eastAsia"/>
                <w:bCs w:val="0"/>
                <w:color w:val="auto"/>
                <w:spacing w:val="0"/>
                <w:kern w:val="2"/>
                <w:sz w:val="21"/>
                <w:szCs w:val="21"/>
                <w:highlight w:val="none"/>
              </w:rPr>
              <w:t>资质证书的</w:t>
            </w:r>
            <w:r>
              <w:rPr>
                <w:rFonts w:hint="eastAsia"/>
                <w:bCs w:val="0"/>
                <w:color w:val="auto"/>
                <w:spacing w:val="0"/>
                <w:kern w:val="2"/>
                <w:sz w:val="21"/>
                <w:szCs w:val="21"/>
                <w:highlight w:val="none"/>
                <w:lang w:eastAsia="zh-CN"/>
              </w:rPr>
              <w:t>，每项得</w:t>
            </w:r>
            <w:r>
              <w:rPr>
                <w:rFonts w:hint="eastAsia"/>
                <w:bCs w:val="0"/>
                <w:color w:val="auto"/>
                <w:spacing w:val="0"/>
                <w:kern w:val="2"/>
                <w:sz w:val="21"/>
                <w:szCs w:val="21"/>
                <w:highlight w:val="none"/>
                <w:lang w:val="en-US" w:eastAsia="zh-CN"/>
              </w:rPr>
              <w:t>2分，</w:t>
            </w:r>
            <w:r>
              <w:rPr>
                <w:rFonts w:hint="eastAsia"/>
                <w:bCs w:val="0"/>
                <w:color w:val="auto"/>
                <w:spacing w:val="0"/>
                <w:kern w:val="2"/>
                <w:sz w:val="21"/>
                <w:szCs w:val="21"/>
                <w:highlight w:val="none"/>
              </w:rPr>
              <w:t>满分为4分。</w:t>
            </w:r>
          </w:p>
          <w:p w14:paraId="606EB644">
            <w:pPr>
              <w:pStyle w:val="11"/>
              <w:rPr>
                <w:rFonts w:hint="eastAsia"/>
                <w:bCs w:val="0"/>
                <w:color w:val="auto"/>
                <w:spacing w:val="0"/>
                <w:kern w:val="2"/>
                <w:sz w:val="21"/>
                <w:szCs w:val="21"/>
                <w:highlight w:val="none"/>
              </w:rPr>
            </w:pPr>
            <w:r>
              <w:rPr>
                <w:rFonts w:hint="eastAsia"/>
                <w:bCs w:val="0"/>
                <w:color w:val="auto"/>
                <w:spacing w:val="0"/>
                <w:kern w:val="2"/>
                <w:sz w:val="21"/>
                <w:szCs w:val="21"/>
                <w:highlight w:val="none"/>
              </w:rPr>
              <w:t>3. 投标人自2022年1月1日以来承担过的沿海</w:t>
            </w:r>
            <w:r>
              <w:rPr>
                <w:rFonts w:hint="eastAsia" w:ascii="Times New Roman" w:hAnsi="Times New Roman" w:cs="Times New Roman"/>
                <w:bCs w:val="0"/>
                <w:color w:val="auto"/>
                <w:spacing w:val="0"/>
                <w:kern w:val="2"/>
                <w:sz w:val="21"/>
                <w:szCs w:val="21"/>
                <w:highlight w:val="none"/>
              </w:rPr>
              <w:t>5千吨级及以上</w:t>
            </w:r>
            <w:r>
              <w:rPr>
                <w:rFonts w:hint="eastAsia"/>
                <w:bCs w:val="0"/>
                <w:color w:val="auto"/>
                <w:spacing w:val="0"/>
                <w:kern w:val="2"/>
                <w:sz w:val="21"/>
                <w:szCs w:val="21"/>
                <w:highlight w:val="none"/>
              </w:rPr>
              <w:t>码头或航道</w:t>
            </w:r>
            <w:r>
              <w:rPr>
                <w:rFonts w:hint="eastAsia"/>
                <w:bCs w:val="0"/>
                <w:color w:val="auto"/>
                <w:spacing w:val="0"/>
                <w:kern w:val="2"/>
                <w:sz w:val="21"/>
                <w:szCs w:val="21"/>
                <w:highlight w:val="none"/>
                <w:lang w:val="en-US" w:eastAsia="zh-CN"/>
              </w:rPr>
              <w:t>锚地</w:t>
            </w:r>
            <w:r>
              <w:rPr>
                <w:rFonts w:hint="eastAsia"/>
                <w:bCs w:val="0"/>
                <w:color w:val="auto"/>
                <w:spacing w:val="0"/>
                <w:kern w:val="2"/>
                <w:sz w:val="21"/>
                <w:szCs w:val="21"/>
                <w:highlight w:val="none"/>
              </w:rPr>
              <w:t>工程项目获得省部级以上优秀勘察或设计成果奖项的，每有一项得1分，最多得</w:t>
            </w:r>
            <w:r>
              <w:rPr>
                <w:rFonts w:hint="eastAsia"/>
                <w:bCs w:val="0"/>
                <w:color w:val="auto"/>
                <w:spacing w:val="0"/>
                <w:kern w:val="2"/>
                <w:sz w:val="21"/>
                <w:szCs w:val="21"/>
                <w:highlight w:val="none"/>
                <w:lang w:val="en-US" w:eastAsia="zh-CN"/>
              </w:rPr>
              <w:t>4</w:t>
            </w:r>
            <w:r>
              <w:rPr>
                <w:rFonts w:hint="eastAsia"/>
                <w:bCs w:val="0"/>
                <w:color w:val="auto"/>
                <w:spacing w:val="0"/>
                <w:kern w:val="2"/>
                <w:sz w:val="21"/>
                <w:szCs w:val="21"/>
                <w:highlight w:val="none"/>
              </w:rPr>
              <w:t>分。（奖项时间认定以获奖时间为准，须提供获奖证书或证明材料复印件（或彩色扫描件），未按要求提供相关证明材料的不得分。）</w:t>
            </w:r>
          </w:p>
          <w:p w14:paraId="7F8D7859">
            <w:pPr>
              <w:pStyle w:val="11"/>
              <w:ind w:firstLine="0" w:firstLineChars="0"/>
              <w:rPr>
                <w:color w:val="auto"/>
                <w:highlight w:val="none"/>
              </w:rPr>
            </w:pPr>
            <w:r>
              <w:rPr>
                <w:rFonts w:hint="eastAsia"/>
                <w:bCs w:val="0"/>
                <w:color w:val="auto"/>
                <w:spacing w:val="0"/>
                <w:kern w:val="2"/>
                <w:sz w:val="21"/>
                <w:szCs w:val="21"/>
                <w:highlight w:val="none"/>
              </w:rPr>
              <w:t xml:space="preserve">4. </w:t>
            </w:r>
            <w:r>
              <w:rPr>
                <w:rFonts w:hint="eastAsia"/>
                <w:color w:val="auto"/>
                <w:kern w:val="2"/>
                <w:sz w:val="21"/>
                <w:szCs w:val="21"/>
                <w:highlight w:val="none"/>
              </w:rPr>
              <w:t>投标人202</w:t>
            </w:r>
            <w:r>
              <w:rPr>
                <w:rFonts w:hint="eastAsia"/>
                <w:color w:val="auto"/>
                <w:kern w:val="2"/>
                <w:sz w:val="21"/>
                <w:szCs w:val="21"/>
                <w:highlight w:val="none"/>
                <w:lang w:val="en-US" w:eastAsia="zh-CN"/>
              </w:rPr>
              <w:t>4</w:t>
            </w:r>
            <w:r>
              <w:rPr>
                <w:rFonts w:hint="eastAsia"/>
                <w:color w:val="auto"/>
                <w:kern w:val="2"/>
                <w:sz w:val="21"/>
                <w:szCs w:val="21"/>
                <w:highlight w:val="none"/>
              </w:rPr>
              <w:t>年度获得水运建设市场设计企业信用评价为AA级，得</w:t>
            </w:r>
            <w:r>
              <w:rPr>
                <w:rFonts w:hint="eastAsia"/>
                <w:color w:val="auto"/>
                <w:kern w:val="2"/>
                <w:sz w:val="21"/>
                <w:szCs w:val="21"/>
                <w:highlight w:val="none"/>
                <w:lang w:val="en-US" w:eastAsia="zh-CN"/>
              </w:rPr>
              <w:t>2</w:t>
            </w:r>
            <w:r>
              <w:rPr>
                <w:rFonts w:hint="eastAsia"/>
                <w:color w:val="auto"/>
                <w:kern w:val="2"/>
                <w:sz w:val="21"/>
                <w:szCs w:val="21"/>
                <w:highlight w:val="none"/>
              </w:rPr>
              <w:t>分；如信用评价仅为A级，得1分；其他等级或无等级，得0分。投标人的设计企业信用等级优先顺序：（1）202</w:t>
            </w:r>
            <w:r>
              <w:rPr>
                <w:rFonts w:hint="eastAsia"/>
                <w:color w:val="auto"/>
                <w:kern w:val="2"/>
                <w:sz w:val="21"/>
                <w:szCs w:val="21"/>
                <w:highlight w:val="none"/>
                <w:lang w:val="en-US" w:eastAsia="zh-CN"/>
              </w:rPr>
              <w:t>4</w:t>
            </w:r>
            <w:r>
              <w:rPr>
                <w:rFonts w:hint="eastAsia"/>
                <w:color w:val="auto"/>
                <w:kern w:val="2"/>
                <w:sz w:val="21"/>
                <w:szCs w:val="21"/>
                <w:highlight w:val="none"/>
              </w:rPr>
              <w:t>年度广西壮族自治区交通运输厅公布的广西水运建设市场设计企业信用评价结果的等级；（2）202</w:t>
            </w:r>
            <w:r>
              <w:rPr>
                <w:rFonts w:hint="eastAsia"/>
                <w:color w:val="auto"/>
                <w:kern w:val="2"/>
                <w:sz w:val="21"/>
                <w:szCs w:val="21"/>
                <w:highlight w:val="none"/>
                <w:lang w:val="en-US" w:eastAsia="zh-CN"/>
              </w:rPr>
              <w:t>4</w:t>
            </w:r>
            <w:r>
              <w:rPr>
                <w:rFonts w:hint="eastAsia"/>
                <w:color w:val="auto"/>
                <w:kern w:val="2"/>
                <w:sz w:val="21"/>
                <w:szCs w:val="21"/>
                <w:highlight w:val="none"/>
              </w:rPr>
              <w:t>年度交通运输部公布的广西水运建设市场设计企业信用评价结果的等级；（3）202</w:t>
            </w:r>
            <w:r>
              <w:rPr>
                <w:rFonts w:hint="eastAsia"/>
                <w:color w:val="auto"/>
                <w:kern w:val="2"/>
                <w:sz w:val="21"/>
                <w:szCs w:val="21"/>
                <w:highlight w:val="none"/>
                <w:lang w:val="en-US" w:eastAsia="zh-CN"/>
              </w:rPr>
              <w:t>4</w:t>
            </w:r>
            <w:r>
              <w:rPr>
                <w:rFonts w:hint="eastAsia"/>
                <w:color w:val="auto"/>
                <w:kern w:val="2"/>
                <w:sz w:val="21"/>
                <w:szCs w:val="21"/>
                <w:highlight w:val="none"/>
              </w:rPr>
              <w:t>年度广西壮族自治区交通运输厅公布的全国水运工程设计企业信用评价结果的等级；（4）202</w:t>
            </w:r>
            <w:r>
              <w:rPr>
                <w:rFonts w:hint="eastAsia"/>
                <w:color w:val="auto"/>
                <w:kern w:val="2"/>
                <w:sz w:val="21"/>
                <w:szCs w:val="21"/>
                <w:highlight w:val="none"/>
                <w:lang w:val="en-US" w:eastAsia="zh-CN"/>
              </w:rPr>
              <w:t>4</w:t>
            </w:r>
            <w:r>
              <w:rPr>
                <w:rFonts w:hint="eastAsia"/>
                <w:color w:val="auto"/>
                <w:kern w:val="2"/>
                <w:sz w:val="21"/>
                <w:szCs w:val="21"/>
                <w:highlight w:val="none"/>
              </w:rPr>
              <w:t>年度交通运输部公布的全国水运工程设计企业信用评价结果的等级。本项满分2分。</w:t>
            </w:r>
          </w:p>
        </w:tc>
      </w:tr>
      <w:tr w14:paraId="1DA8D9E3">
        <w:tblPrEx>
          <w:tblCellMar>
            <w:top w:w="28" w:type="dxa"/>
            <w:left w:w="28" w:type="dxa"/>
            <w:bottom w:w="28" w:type="dxa"/>
            <w:right w:w="28" w:type="dxa"/>
          </w:tblCellMar>
        </w:tblPrEx>
        <w:trPr>
          <w:trHeight w:val="1372"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7D807FBC">
            <w:pPr>
              <w:spacing w:line="240" w:lineRule="atLeast"/>
              <w:jc w:val="center"/>
              <w:textAlignment w:val="center"/>
              <w:rPr>
                <w:rFonts w:ascii="宋体" w:hAnsi="宋体" w:cs="宋体"/>
                <w:color w:val="auto"/>
                <w:szCs w:val="21"/>
                <w:highlight w:val="none"/>
              </w:rPr>
            </w:pPr>
            <w:r>
              <w:rPr>
                <w:rFonts w:hint="eastAsia" w:ascii="宋体" w:hAnsi="宋体" w:cs="宋体"/>
                <w:color w:val="auto"/>
                <w:szCs w:val="21"/>
                <w:highlight w:val="none"/>
              </w:rPr>
              <w:t>三</w:t>
            </w:r>
          </w:p>
        </w:tc>
        <w:tc>
          <w:tcPr>
            <w:tcW w:w="1671" w:type="dxa"/>
            <w:tcBorders>
              <w:top w:val="single" w:color="000000" w:sz="4" w:space="0"/>
              <w:left w:val="single" w:color="auto" w:sz="4" w:space="0"/>
              <w:bottom w:val="single" w:color="000000" w:sz="4" w:space="0"/>
              <w:right w:val="single" w:color="000000" w:sz="4" w:space="0"/>
            </w:tcBorders>
            <w:vAlign w:val="center"/>
          </w:tcPr>
          <w:p w14:paraId="45B1520C">
            <w:pPr>
              <w:widowControl/>
              <w:spacing w:line="240" w:lineRule="atLeast"/>
              <w:jc w:val="center"/>
              <w:textAlignment w:val="center"/>
              <w:rPr>
                <w:rFonts w:ascii="宋体" w:hAnsi="宋体" w:cs="宋体"/>
                <w:color w:val="auto"/>
                <w:szCs w:val="21"/>
                <w:highlight w:val="none"/>
              </w:rPr>
            </w:pPr>
            <w:r>
              <w:rPr>
                <w:rFonts w:hint="eastAsia" w:ascii="宋体" w:hAnsi="宋体" w:cs="宋体"/>
                <w:color w:val="auto"/>
                <w:szCs w:val="21"/>
                <w:highlight w:val="none"/>
              </w:rPr>
              <w:t>人员配置</w:t>
            </w:r>
          </w:p>
          <w:p w14:paraId="3EA56EDA">
            <w:pPr>
              <w:widowControl/>
              <w:spacing w:line="240" w:lineRule="atLeast"/>
              <w:jc w:val="center"/>
              <w:textAlignment w:val="center"/>
              <w:rPr>
                <w:rFonts w:ascii="宋体" w:hAnsi="宋体" w:cs="宋体"/>
                <w:color w:val="auto"/>
                <w:szCs w:val="21"/>
                <w:highlight w:val="none"/>
              </w:rPr>
            </w:pPr>
            <w:r>
              <w:rPr>
                <w:rFonts w:hint="eastAsia" w:ascii="宋体" w:hAnsi="宋体" w:cs="宋体"/>
                <w:color w:val="auto"/>
                <w:szCs w:val="21"/>
                <w:highlight w:val="none"/>
              </w:rPr>
              <w:t>（满分</w:t>
            </w:r>
            <w:r>
              <w:rPr>
                <w:rFonts w:ascii="宋体" w:hAnsi="宋体" w:cs="宋体"/>
                <w:color w:val="auto"/>
                <w:szCs w:val="21"/>
                <w:highlight w:val="none"/>
              </w:rPr>
              <w:t>2</w:t>
            </w:r>
            <w:r>
              <w:rPr>
                <w:rFonts w:hint="eastAsia" w:ascii="宋体" w:hAnsi="宋体" w:cs="宋体"/>
                <w:color w:val="auto"/>
                <w:szCs w:val="21"/>
                <w:highlight w:val="none"/>
              </w:rPr>
              <w:t>0分）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6B9A6886">
            <w:pPr>
              <w:pStyle w:val="31"/>
              <w:rPr>
                <w:color w:val="auto"/>
                <w:highlight w:val="none"/>
              </w:rPr>
            </w:pPr>
            <w:r>
              <w:rPr>
                <w:rFonts w:hint="eastAsia" w:ascii="Times New Roman" w:hAnsi="Times New Roman" w:cs="Times New Roman"/>
                <w:bCs w:val="0"/>
                <w:color w:val="auto"/>
                <w:spacing w:val="0"/>
                <w:kern w:val="2"/>
                <w:sz w:val="21"/>
                <w:szCs w:val="21"/>
                <w:highlight w:val="none"/>
              </w:rPr>
              <w:t>拟投入人员（勘察负责人、测量负责人和项目实施方案技术负责人之外）中具有高级职称且注册土木工程师（岩土）或注册测绘师或注册土木工程师（港口与航道工程）执业证书的每人得3分，具有中级职称且注册土木工程师（岩土）或注册测绘师或注册土木工程师（港口与航道工程）执业证书的每人得1分，满分20分。（注：同一人员不重复计分。）注：提供职称证书复印件、人员工作经历表作为评审依据，证明材料均需加盖公章。</w:t>
            </w:r>
          </w:p>
        </w:tc>
      </w:tr>
      <w:tr w14:paraId="33CFF324">
        <w:tblPrEx>
          <w:tblCellMar>
            <w:top w:w="28" w:type="dxa"/>
            <w:left w:w="28" w:type="dxa"/>
            <w:bottom w:w="28" w:type="dxa"/>
            <w:right w:w="28" w:type="dxa"/>
          </w:tblCellMar>
        </w:tblPrEx>
        <w:trPr>
          <w:trHeight w:val="2893"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71BBA105">
            <w:pPr>
              <w:spacing w:line="240" w:lineRule="atLeast"/>
              <w:jc w:val="center"/>
              <w:rPr>
                <w:rFonts w:ascii="宋体" w:hAnsi="宋体" w:cs="宋体"/>
                <w:color w:val="auto"/>
                <w:szCs w:val="21"/>
                <w:highlight w:val="none"/>
              </w:rPr>
            </w:pPr>
            <w:r>
              <w:rPr>
                <w:rFonts w:hint="eastAsia" w:ascii="宋体" w:hAnsi="宋体" w:cs="宋体"/>
                <w:color w:val="auto"/>
                <w:szCs w:val="21"/>
                <w:highlight w:val="none"/>
              </w:rPr>
              <w:t>四</w:t>
            </w:r>
          </w:p>
        </w:tc>
        <w:tc>
          <w:tcPr>
            <w:tcW w:w="1671" w:type="dxa"/>
            <w:tcBorders>
              <w:top w:val="single" w:color="000000" w:sz="4" w:space="0"/>
              <w:left w:val="single" w:color="auto" w:sz="4" w:space="0"/>
              <w:bottom w:val="single" w:color="000000" w:sz="4" w:space="0"/>
              <w:right w:val="single" w:color="000000" w:sz="4" w:space="0"/>
            </w:tcBorders>
            <w:vAlign w:val="center"/>
          </w:tcPr>
          <w:p w14:paraId="461D2890">
            <w:pPr>
              <w:widowControl/>
              <w:spacing w:line="240" w:lineRule="atLeast"/>
              <w:jc w:val="center"/>
              <w:textAlignment w:val="center"/>
              <w:rPr>
                <w:rFonts w:ascii="宋体" w:hAnsi="宋体" w:cs="宋体"/>
                <w:color w:val="auto"/>
                <w:szCs w:val="21"/>
                <w:highlight w:val="none"/>
              </w:rPr>
            </w:pPr>
            <w:r>
              <w:rPr>
                <w:rFonts w:hint="eastAsia" w:ascii="宋体" w:hAnsi="宋体" w:cs="宋体"/>
                <w:color w:val="auto"/>
                <w:szCs w:val="21"/>
                <w:highlight w:val="none"/>
              </w:rPr>
              <w:t>服务方案</w:t>
            </w:r>
          </w:p>
          <w:p w14:paraId="67A9FDF1">
            <w:pPr>
              <w:widowControl/>
              <w:spacing w:line="240" w:lineRule="atLeast"/>
              <w:jc w:val="center"/>
              <w:textAlignment w:val="center"/>
              <w:rPr>
                <w:rFonts w:ascii="宋体" w:hAnsi="宋体" w:cs="宋体"/>
                <w:color w:val="auto"/>
                <w:szCs w:val="21"/>
                <w:highlight w:val="none"/>
              </w:rPr>
            </w:pPr>
            <w:r>
              <w:rPr>
                <w:rFonts w:hint="eastAsia" w:ascii="宋体" w:hAnsi="宋体" w:cs="宋体"/>
                <w:color w:val="auto"/>
                <w:szCs w:val="21"/>
                <w:highlight w:val="none"/>
              </w:rPr>
              <w:t>（满分40分）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7F7FFA63">
            <w:pPr>
              <w:widowControl/>
              <w:spacing w:line="240" w:lineRule="atLeast"/>
              <w:textAlignment w:val="center"/>
              <w:rPr>
                <w:rFonts w:ascii="宋体" w:hAnsi="宋体" w:cs="宋体"/>
                <w:b/>
                <w:color w:val="auto"/>
                <w:szCs w:val="21"/>
                <w:highlight w:val="none"/>
              </w:rPr>
            </w:pPr>
            <w:r>
              <w:rPr>
                <w:rFonts w:hint="eastAsia" w:ascii="宋体" w:hAnsi="宋体" w:cs="宋体"/>
                <w:b/>
                <w:color w:val="auto"/>
                <w:szCs w:val="21"/>
                <w:highlight w:val="none"/>
              </w:rPr>
              <w:t>优：</w:t>
            </w:r>
            <w:r>
              <w:rPr>
                <w:rFonts w:hint="eastAsia" w:ascii="宋体" w:hAnsi="宋体" w:cs="宋体"/>
                <w:bCs/>
                <w:color w:val="auto"/>
                <w:szCs w:val="21"/>
                <w:highlight w:val="none"/>
              </w:rPr>
              <w:t>工作思路清晰，内容详实，对本项目重点要点分析准确到位，进度计划安排合理，各阶段工作安排得当，进度控制措施合理、可行，提出的工作保障措施可行、针对性强，能很好地满足采购需求（33.6-40分）；</w:t>
            </w:r>
          </w:p>
          <w:p w14:paraId="6BB5A11F">
            <w:pPr>
              <w:widowControl/>
              <w:spacing w:line="240" w:lineRule="atLeast"/>
              <w:textAlignment w:val="center"/>
              <w:rPr>
                <w:rFonts w:ascii="宋体" w:hAnsi="宋体" w:cs="宋体"/>
                <w:b/>
                <w:color w:val="auto"/>
                <w:szCs w:val="21"/>
                <w:highlight w:val="none"/>
              </w:rPr>
            </w:pPr>
            <w:r>
              <w:rPr>
                <w:rFonts w:hint="eastAsia" w:ascii="宋体" w:hAnsi="宋体" w:cs="宋体"/>
                <w:b/>
                <w:color w:val="auto"/>
                <w:szCs w:val="21"/>
                <w:highlight w:val="none"/>
              </w:rPr>
              <w:t>良：</w:t>
            </w:r>
            <w:r>
              <w:rPr>
                <w:rFonts w:hint="eastAsia" w:ascii="宋体" w:hAnsi="宋体" w:cs="宋体"/>
                <w:bCs/>
                <w:color w:val="auto"/>
                <w:szCs w:val="21"/>
                <w:highlight w:val="none"/>
              </w:rPr>
              <w:t>工作思路较清晰，内容较详实，对本项目重点要点分析比较准确到位，进度计划安排较合理，提出的工作保障措施可行、针对性较强，满足采购需求（26.8-33.5分）；</w:t>
            </w:r>
          </w:p>
          <w:p w14:paraId="31F31787">
            <w:pPr>
              <w:widowControl/>
              <w:spacing w:line="240" w:lineRule="atLeast"/>
              <w:textAlignment w:val="center"/>
              <w:rPr>
                <w:rFonts w:ascii="宋体" w:hAnsi="宋体" w:cs="宋体"/>
                <w:b/>
                <w:color w:val="auto"/>
                <w:szCs w:val="21"/>
                <w:highlight w:val="none"/>
              </w:rPr>
            </w:pPr>
            <w:r>
              <w:rPr>
                <w:rFonts w:hint="eastAsia" w:ascii="宋体" w:hAnsi="宋体" w:cs="宋体"/>
                <w:b/>
                <w:color w:val="auto"/>
                <w:szCs w:val="21"/>
                <w:highlight w:val="none"/>
              </w:rPr>
              <w:t>中：</w:t>
            </w:r>
            <w:r>
              <w:rPr>
                <w:rFonts w:hint="eastAsia" w:ascii="宋体" w:hAnsi="宋体" w:cs="宋体"/>
                <w:bCs/>
                <w:color w:val="auto"/>
                <w:szCs w:val="21"/>
                <w:highlight w:val="none"/>
              </w:rPr>
              <w:t>工作思路基本清晰，内容基本详实，对本项目重点要点分析基本准确到位，进度计划工期安排一般，提出的工作保障措施基本可行、针对性一般，基本满足采购需求（20.1-26.7分）；</w:t>
            </w:r>
          </w:p>
          <w:p w14:paraId="55DA53DC">
            <w:pPr>
              <w:widowControl/>
              <w:spacing w:line="240" w:lineRule="atLeast"/>
              <w:textAlignment w:val="center"/>
              <w:rPr>
                <w:rFonts w:ascii="宋体" w:hAnsi="宋体" w:cs="宋体"/>
                <w:b/>
                <w:color w:val="auto"/>
                <w:szCs w:val="21"/>
                <w:highlight w:val="none"/>
              </w:rPr>
            </w:pPr>
            <w:r>
              <w:rPr>
                <w:rFonts w:hint="eastAsia" w:ascii="宋体" w:hAnsi="宋体" w:cs="宋体"/>
                <w:b/>
                <w:color w:val="auto"/>
                <w:szCs w:val="21"/>
                <w:highlight w:val="none"/>
              </w:rPr>
              <w:t>差：服务方案不能满足采购需求（0-20分）。</w:t>
            </w:r>
          </w:p>
        </w:tc>
      </w:tr>
      <w:tr w14:paraId="08F2F034">
        <w:tblPrEx>
          <w:tblCellMar>
            <w:top w:w="28" w:type="dxa"/>
            <w:left w:w="28" w:type="dxa"/>
            <w:bottom w:w="28" w:type="dxa"/>
            <w:right w:w="28" w:type="dxa"/>
          </w:tblCellMar>
        </w:tblPrEx>
        <w:trPr>
          <w:trHeight w:val="777"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4BAF8C36">
            <w:pPr>
              <w:widowControl/>
              <w:spacing w:line="240" w:lineRule="atLeast"/>
              <w:jc w:val="center"/>
              <w:textAlignment w:val="center"/>
              <w:rPr>
                <w:rFonts w:ascii="宋体" w:hAnsi="宋体" w:cs="宋体"/>
                <w:color w:val="auto"/>
                <w:szCs w:val="21"/>
                <w:highlight w:val="none"/>
              </w:rPr>
            </w:pPr>
            <w:r>
              <w:rPr>
                <w:rFonts w:hint="eastAsia" w:ascii="宋体" w:hAnsi="宋体" w:cs="宋体"/>
                <w:color w:val="auto"/>
                <w:szCs w:val="21"/>
                <w:highlight w:val="none"/>
              </w:rPr>
              <w:t>五</w:t>
            </w:r>
          </w:p>
        </w:tc>
        <w:tc>
          <w:tcPr>
            <w:tcW w:w="8526" w:type="dxa"/>
            <w:gridSpan w:val="2"/>
            <w:tcBorders>
              <w:top w:val="single" w:color="000000" w:sz="4" w:space="0"/>
              <w:left w:val="single" w:color="auto" w:sz="4" w:space="0"/>
              <w:bottom w:val="single" w:color="000000" w:sz="4" w:space="0"/>
              <w:right w:val="single" w:color="000000" w:sz="4" w:space="0"/>
            </w:tcBorders>
            <w:vAlign w:val="center"/>
          </w:tcPr>
          <w:p w14:paraId="28A2CF2E">
            <w:pPr>
              <w:widowControl/>
              <w:spacing w:line="240" w:lineRule="atLeast"/>
              <w:textAlignment w:val="center"/>
              <w:rPr>
                <w:rFonts w:ascii="宋体" w:hAnsi="宋体" w:cs="宋体"/>
                <w:color w:val="auto"/>
                <w:szCs w:val="21"/>
                <w:highlight w:val="none"/>
              </w:rPr>
            </w:pPr>
            <w:r>
              <w:rPr>
                <w:rFonts w:hint="eastAsia" w:ascii="宋体" w:hAnsi="宋体" w:cs="宋体"/>
                <w:color w:val="auto"/>
                <w:szCs w:val="21"/>
                <w:highlight w:val="none"/>
              </w:rPr>
              <w:t>总分=价格分+业绩分+人员配置分+服务方案分</w:t>
            </w:r>
          </w:p>
        </w:tc>
      </w:tr>
    </w:tbl>
    <w:p w14:paraId="6AF5C238">
      <w:pPr>
        <w:spacing w:line="360" w:lineRule="auto"/>
        <w:ind w:firstLine="420" w:firstLineChars="200"/>
        <w:rPr>
          <w:rFonts w:ascii="宋体" w:hAnsi="宋体"/>
          <w:bCs/>
          <w:color w:val="auto"/>
          <w:szCs w:val="21"/>
          <w:highlight w:val="none"/>
        </w:rPr>
      </w:pPr>
    </w:p>
    <w:p w14:paraId="7128DB8C">
      <w:pPr>
        <w:rPr>
          <w:color w:val="auto"/>
          <w:highlight w:val="none"/>
        </w:rPr>
      </w:pPr>
      <w:r>
        <w:rPr>
          <w:rFonts w:hint="eastAsia"/>
          <w:color w:val="auto"/>
          <w:highlight w:val="none"/>
        </w:rPr>
        <w:br w:type="page"/>
      </w:r>
    </w:p>
    <w:p w14:paraId="477B77C7">
      <w:pPr>
        <w:pStyle w:val="10"/>
        <w:rPr>
          <w:color w:val="auto"/>
          <w:highlight w:val="none"/>
        </w:rPr>
      </w:pPr>
    </w:p>
    <w:p w14:paraId="66AEF91D">
      <w:pPr>
        <w:rPr>
          <w:color w:val="auto"/>
          <w:highlight w:val="none"/>
        </w:rPr>
      </w:pPr>
    </w:p>
    <w:p w14:paraId="6197B5FC">
      <w:pPr>
        <w:pStyle w:val="2"/>
        <w:spacing w:before="0" w:after="0" w:line="579" w:lineRule="auto"/>
        <w:jc w:val="center"/>
        <w:rPr>
          <w:color w:val="auto"/>
          <w:sz w:val="28"/>
          <w:szCs w:val="28"/>
          <w:highlight w:val="none"/>
        </w:rPr>
      </w:pPr>
      <w:bookmarkStart w:id="24" w:name="_Toc29925"/>
      <w:bookmarkStart w:id="25" w:name="_Toc5116"/>
      <w:r>
        <w:rPr>
          <w:rFonts w:hint="eastAsia"/>
          <w:color w:val="auto"/>
          <w:sz w:val="28"/>
          <w:szCs w:val="28"/>
          <w:highlight w:val="none"/>
        </w:rPr>
        <w:t>第五章 响应文件格式</w:t>
      </w:r>
      <w:bookmarkEnd w:id="24"/>
      <w:bookmarkEnd w:id="25"/>
    </w:p>
    <w:p w14:paraId="142D6655">
      <w:pPr>
        <w:spacing w:line="240" w:lineRule="atLeast"/>
        <w:rPr>
          <w:rFonts w:ascii="宋体" w:hAnsi="宋体"/>
          <w:b/>
          <w:color w:val="auto"/>
          <w:sz w:val="32"/>
          <w:szCs w:val="32"/>
          <w:highlight w:val="none"/>
        </w:rPr>
      </w:pPr>
    </w:p>
    <w:p w14:paraId="2CBB7FEE">
      <w:pPr>
        <w:spacing w:line="240" w:lineRule="atLeast"/>
        <w:rPr>
          <w:rFonts w:ascii="宋体" w:hAnsi="宋体"/>
          <w:b/>
          <w:color w:val="auto"/>
          <w:sz w:val="32"/>
          <w:szCs w:val="32"/>
          <w:highlight w:val="none"/>
        </w:rPr>
      </w:pPr>
    </w:p>
    <w:p w14:paraId="30279804">
      <w:pPr>
        <w:spacing w:line="240" w:lineRule="atLeast"/>
        <w:rPr>
          <w:rFonts w:ascii="宋体" w:hAnsi="宋体"/>
          <w:b/>
          <w:color w:val="auto"/>
          <w:sz w:val="32"/>
          <w:szCs w:val="32"/>
          <w:highlight w:val="none"/>
        </w:rPr>
      </w:pPr>
    </w:p>
    <w:p w14:paraId="79FFA106">
      <w:pPr>
        <w:spacing w:line="240" w:lineRule="atLeast"/>
        <w:rPr>
          <w:rFonts w:ascii="宋体" w:hAnsi="宋体"/>
          <w:b/>
          <w:color w:val="auto"/>
          <w:sz w:val="32"/>
          <w:szCs w:val="32"/>
          <w:highlight w:val="none"/>
        </w:rPr>
      </w:pPr>
    </w:p>
    <w:p w14:paraId="5ED15FA2">
      <w:pPr>
        <w:spacing w:line="240" w:lineRule="atLeast"/>
        <w:rPr>
          <w:rFonts w:ascii="宋体" w:hAnsi="宋体"/>
          <w:b/>
          <w:color w:val="auto"/>
          <w:sz w:val="32"/>
          <w:szCs w:val="32"/>
          <w:highlight w:val="none"/>
        </w:rPr>
      </w:pPr>
    </w:p>
    <w:p w14:paraId="214EBED1">
      <w:pPr>
        <w:spacing w:line="240" w:lineRule="atLeast"/>
        <w:rPr>
          <w:rFonts w:ascii="宋体" w:hAnsi="宋体"/>
          <w:b/>
          <w:color w:val="auto"/>
          <w:sz w:val="32"/>
          <w:szCs w:val="32"/>
          <w:highlight w:val="none"/>
        </w:rPr>
      </w:pPr>
    </w:p>
    <w:p w14:paraId="64FB2028">
      <w:pPr>
        <w:spacing w:line="240" w:lineRule="atLeast"/>
        <w:rPr>
          <w:rFonts w:ascii="宋体" w:hAnsi="宋体"/>
          <w:b/>
          <w:color w:val="auto"/>
          <w:sz w:val="32"/>
          <w:szCs w:val="32"/>
          <w:highlight w:val="none"/>
        </w:rPr>
      </w:pPr>
    </w:p>
    <w:p w14:paraId="110D7C45">
      <w:pPr>
        <w:spacing w:line="240" w:lineRule="atLeast"/>
        <w:rPr>
          <w:rFonts w:ascii="宋体" w:hAnsi="宋体"/>
          <w:b/>
          <w:color w:val="auto"/>
          <w:sz w:val="32"/>
          <w:szCs w:val="32"/>
          <w:highlight w:val="none"/>
        </w:rPr>
      </w:pPr>
    </w:p>
    <w:p w14:paraId="4D651F75">
      <w:pPr>
        <w:spacing w:line="240" w:lineRule="atLeast"/>
        <w:rPr>
          <w:rFonts w:ascii="宋体" w:hAnsi="宋体"/>
          <w:b/>
          <w:color w:val="auto"/>
          <w:sz w:val="32"/>
          <w:szCs w:val="32"/>
          <w:highlight w:val="none"/>
        </w:rPr>
      </w:pPr>
    </w:p>
    <w:p w14:paraId="3B74B4C7">
      <w:pPr>
        <w:spacing w:line="240" w:lineRule="atLeast"/>
        <w:rPr>
          <w:rFonts w:ascii="仿宋_GB2312" w:hAnsi="仿宋_GB2312" w:eastAsia="仿宋_GB2312" w:cs="仿宋_GB2312"/>
          <w:bCs/>
          <w:color w:val="auto"/>
          <w:sz w:val="32"/>
          <w:szCs w:val="32"/>
          <w:highlight w:val="none"/>
        </w:rPr>
      </w:pPr>
    </w:p>
    <w:p w14:paraId="07481801">
      <w:pPr>
        <w:snapToGrid w:val="0"/>
        <w:spacing w:before="120" w:beforeLines="50" w:after="50" w:line="360" w:lineRule="auto"/>
        <w:jc w:val="left"/>
        <w:rPr>
          <w:rFonts w:ascii="宋体" w:hAnsi="宋体"/>
          <w:b/>
          <w:color w:val="auto"/>
          <w:sz w:val="24"/>
          <w:highlight w:val="none"/>
        </w:rPr>
      </w:pPr>
      <w:bookmarkStart w:id="26" w:name="_Toc35611516"/>
      <w:bookmarkStart w:id="27" w:name="_Toc31728084"/>
      <w:bookmarkStart w:id="28" w:name="_Toc71365925"/>
      <w:bookmarkStart w:id="29" w:name="_Toc31723070"/>
      <w:bookmarkStart w:id="30" w:name="_Toc35611438"/>
      <w:bookmarkStart w:id="31" w:name="_Toc44229899"/>
      <w:r>
        <w:rPr>
          <w:b/>
          <w:color w:val="auto"/>
          <w:sz w:val="32"/>
          <w:szCs w:val="32"/>
          <w:highlight w:val="none"/>
        </w:rPr>
        <w:br w:type="page"/>
      </w:r>
      <w:bookmarkEnd w:id="26"/>
      <w:bookmarkEnd w:id="27"/>
      <w:bookmarkEnd w:id="28"/>
      <w:bookmarkEnd w:id="29"/>
      <w:bookmarkEnd w:id="30"/>
      <w:bookmarkEnd w:id="31"/>
    </w:p>
    <w:p w14:paraId="73CD8C71">
      <w:pPr>
        <w:snapToGrid w:val="0"/>
        <w:spacing w:before="120" w:beforeLines="50" w:after="50"/>
        <w:rPr>
          <w:rFonts w:ascii="宋体" w:hAnsi="宋体"/>
          <w:bCs/>
          <w:color w:val="auto"/>
          <w:sz w:val="32"/>
          <w:szCs w:val="20"/>
          <w:highlight w:val="none"/>
        </w:rPr>
      </w:pPr>
      <w:r>
        <w:rPr>
          <w:rFonts w:hint="eastAsia" w:ascii="宋体" w:hAnsi="宋体"/>
          <w:color w:val="auto"/>
          <w:sz w:val="24"/>
          <w:highlight w:val="none"/>
        </w:rPr>
        <w:t xml:space="preserve">                                                    </w:t>
      </w:r>
    </w:p>
    <w:p w14:paraId="2F91C017">
      <w:pPr>
        <w:snapToGrid w:val="0"/>
        <w:spacing w:before="120" w:beforeLines="50" w:after="50"/>
        <w:rPr>
          <w:rFonts w:ascii="宋体" w:hAnsi="宋体"/>
          <w:color w:val="auto"/>
          <w:sz w:val="24"/>
          <w:szCs w:val="20"/>
          <w:highlight w:val="none"/>
        </w:rPr>
      </w:pPr>
    </w:p>
    <w:p w14:paraId="058301B5">
      <w:pPr>
        <w:adjustRightInd w:val="0"/>
        <w:snapToGrid w:val="0"/>
        <w:jc w:val="center"/>
        <w:rPr>
          <w:rFonts w:ascii="宋体" w:hAnsi="宋体" w:cs="宋体"/>
          <w:color w:val="auto"/>
          <w:sz w:val="36"/>
          <w:szCs w:val="36"/>
          <w:highlight w:val="none"/>
        </w:rPr>
      </w:pPr>
      <w:r>
        <w:rPr>
          <w:rFonts w:hint="eastAsia" w:ascii="宋体" w:hAnsi="宋体" w:cs="宋体"/>
          <w:color w:val="auto"/>
          <w:sz w:val="36"/>
          <w:szCs w:val="36"/>
          <w:highlight w:val="none"/>
        </w:rPr>
        <w:t>钦州港公共水域浅点整治研究</w:t>
      </w:r>
    </w:p>
    <w:p w14:paraId="0DE53DF2">
      <w:pPr>
        <w:snapToGrid w:val="0"/>
        <w:spacing w:before="120" w:beforeLines="50" w:after="50"/>
        <w:jc w:val="center"/>
        <w:rPr>
          <w:rFonts w:ascii="宋体" w:hAnsi="宋体" w:cs="宋体"/>
          <w:bCs/>
          <w:color w:val="auto"/>
          <w:sz w:val="36"/>
          <w:szCs w:val="36"/>
          <w:highlight w:val="none"/>
        </w:rPr>
      </w:pPr>
    </w:p>
    <w:p w14:paraId="2E862171">
      <w:pPr>
        <w:snapToGrid w:val="0"/>
        <w:spacing w:before="120" w:beforeLines="50" w:after="50"/>
        <w:jc w:val="center"/>
        <w:rPr>
          <w:rFonts w:ascii="黑体" w:hAnsi="黑体" w:eastAsia="黑体" w:cs="黑体"/>
          <w:bCs/>
          <w:color w:val="auto"/>
          <w:sz w:val="84"/>
          <w:szCs w:val="84"/>
          <w:highlight w:val="none"/>
        </w:rPr>
      </w:pPr>
      <w:r>
        <w:rPr>
          <w:rFonts w:hint="eastAsia" w:ascii="黑体" w:hAnsi="黑体" w:eastAsia="黑体" w:cs="黑体"/>
          <w:bCs/>
          <w:color w:val="auto"/>
          <w:sz w:val="84"/>
          <w:szCs w:val="84"/>
          <w:highlight w:val="none"/>
        </w:rPr>
        <w:t>响 应 文 件</w:t>
      </w:r>
    </w:p>
    <w:p w14:paraId="6ABDAC30">
      <w:pPr>
        <w:snapToGrid w:val="0"/>
        <w:spacing w:before="120" w:beforeLines="50" w:after="50"/>
        <w:jc w:val="center"/>
        <w:rPr>
          <w:rFonts w:ascii="方正小标宋简体" w:hAnsi="方正小标宋简体" w:eastAsia="方正小标宋简体" w:cs="方正小标宋简体"/>
          <w:bCs/>
          <w:color w:val="auto"/>
          <w:sz w:val="44"/>
          <w:szCs w:val="44"/>
          <w:highlight w:val="none"/>
        </w:rPr>
      </w:pPr>
    </w:p>
    <w:p w14:paraId="098399DD">
      <w:pPr>
        <w:snapToGrid w:val="0"/>
        <w:spacing w:before="120" w:beforeLines="50" w:after="50"/>
        <w:jc w:val="center"/>
        <w:rPr>
          <w:rFonts w:ascii="方正小标宋简体" w:hAnsi="方正小标宋简体" w:eastAsia="方正小标宋简体" w:cs="方正小标宋简体"/>
          <w:bCs/>
          <w:color w:val="auto"/>
          <w:sz w:val="32"/>
          <w:szCs w:val="32"/>
          <w:highlight w:val="none"/>
        </w:rPr>
      </w:pPr>
    </w:p>
    <w:p w14:paraId="18B26065">
      <w:pPr>
        <w:snapToGrid w:val="0"/>
        <w:spacing w:before="120" w:beforeLines="50" w:after="50"/>
        <w:rPr>
          <w:rFonts w:ascii="宋体" w:hAnsi="宋体"/>
          <w:bCs/>
          <w:color w:val="auto"/>
          <w:sz w:val="24"/>
          <w:szCs w:val="20"/>
          <w:highlight w:val="none"/>
        </w:rPr>
      </w:pPr>
    </w:p>
    <w:p w14:paraId="0E28C382">
      <w:pPr>
        <w:snapToGrid w:val="0"/>
        <w:spacing w:before="120" w:beforeLines="50" w:after="50"/>
        <w:rPr>
          <w:rFonts w:ascii="宋体" w:hAnsi="宋体"/>
          <w:bCs/>
          <w:color w:val="auto"/>
          <w:sz w:val="24"/>
          <w:szCs w:val="20"/>
          <w:highlight w:val="none"/>
        </w:rPr>
      </w:pPr>
    </w:p>
    <w:p w14:paraId="4CE10A46">
      <w:pPr>
        <w:snapToGrid w:val="0"/>
        <w:spacing w:before="120" w:beforeLines="50" w:after="50"/>
        <w:rPr>
          <w:rFonts w:ascii="宋体" w:hAnsi="宋体"/>
          <w:bCs/>
          <w:color w:val="auto"/>
          <w:sz w:val="24"/>
          <w:szCs w:val="20"/>
          <w:highlight w:val="none"/>
        </w:rPr>
      </w:pPr>
    </w:p>
    <w:p w14:paraId="7053F42C">
      <w:pPr>
        <w:snapToGrid w:val="0"/>
        <w:spacing w:before="120" w:beforeLines="50" w:after="50"/>
        <w:ind w:firstLine="640" w:firstLineChars="200"/>
        <w:rPr>
          <w:rFonts w:ascii="宋体" w:hAnsi="宋体" w:cs="仿宋_GB2312"/>
          <w:bCs/>
          <w:color w:val="auto"/>
          <w:sz w:val="32"/>
          <w:szCs w:val="32"/>
          <w:highlight w:val="none"/>
        </w:rPr>
      </w:pPr>
    </w:p>
    <w:p w14:paraId="5FCB2688">
      <w:pPr>
        <w:snapToGrid w:val="0"/>
        <w:spacing w:before="120" w:beforeLines="50" w:after="50"/>
        <w:ind w:firstLine="720" w:firstLineChars="225"/>
        <w:rPr>
          <w:rFonts w:ascii="宋体" w:hAnsi="宋体" w:cs="仿宋_GB2312"/>
          <w:bCs/>
          <w:color w:val="auto"/>
          <w:sz w:val="32"/>
          <w:szCs w:val="32"/>
          <w:highlight w:val="none"/>
        </w:rPr>
      </w:pPr>
    </w:p>
    <w:p w14:paraId="0F9214A3">
      <w:pPr>
        <w:snapToGrid w:val="0"/>
        <w:spacing w:before="120" w:beforeLines="50" w:after="50"/>
        <w:ind w:firstLine="720" w:firstLineChars="225"/>
        <w:rPr>
          <w:rFonts w:ascii="宋体" w:hAnsi="宋体" w:cs="仿宋_GB2312"/>
          <w:bCs/>
          <w:color w:val="auto"/>
          <w:sz w:val="32"/>
          <w:szCs w:val="32"/>
          <w:highlight w:val="none"/>
        </w:rPr>
      </w:pPr>
      <w:r>
        <w:rPr>
          <w:rFonts w:hint="eastAsia" w:ascii="宋体" w:hAnsi="宋体" w:cs="仿宋_GB2312"/>
          <w:bCs/>
          <w:color w:val="auto"/>
          <w:sz w:val="32"/>
          <w:szCs w:val="32"/>
          <w:highlight w:val="none"/>
        </w:rPr>
        <w:t>供应商名称：</w:t>
      </w:r>
      <w:r>
        <w:rPr>
          <w:rFonts w:hint="eastAsia" w:ascii="宋体" w:hAnsi="宋体" w:cs="仿宋_GB2312"/>
          <w:bCs/>
          <w:color w:val="auto"/>
          <w:sz w:val="32"/>
          <w:szCs w:val="32"/>
          <w:highlight w:val="none"/>
          <w:u w:val="single"/>
        </w:rPr>
        <w:t xml:space="preserve">                         </w:t>
      </w:r>
      <w:r>
        <w:rPr>
          <w:rFonts w:hint="eastAsia" w:ascii="宋体" w:hAnsi="宋体" w:cs="仿宋_GB2312"/>
          <w:bCs/>
          <w:color w:val="auto"/>
          <w:sz w:val="32"/>
          <w:szCs w:val="32"/>
          <w:highlight w:val="none"/>
        </w:rPr>
        <w:t>（盖单位公章）</w:t>
      </w:r>
    </w:p>
    <w:p w14:paraId="722E73E6">
      <w:pPr>
        <w:snapToGrid w:val="0"/>
        <w:spacing w:before="120" w:beforeLines="50" w:after="50"/>
        <w:ind w:firstLine="720" w:firstLineChars="225"/>
        <w:rPr>
          <w:rFonts w:ascii="宋体" w:hAnsi="宋体" w:cs="仿宋_GB2312"/>
          <w:bCs/>
          <w:color w:val="auto"/>
          <w:sz w:val="32"/>
          <w:szCs w:val="32"/>
          <w:highlight w:val="none"/>
        </w:rPr>
      </w:pPr>
      <w:r>
        <w:rPr>
          <w:rFonts w:hint="eastAsia" w:ascii="宋体" w:hAnsi="宋体" w:cs="仿宋_GB2312"/>
          <w:bCs/>
          <w:color w:val="auto"/>
          <w:sz w:val="32"/>
          <w:szCs w:val="32"/>
          <w:highlight w:val="none"/>
        </w:rPr>
        <w:t>法定代表人或其委托代理人：</w:t>
      </w:r>
      <w:r>
        <w:rPr>
          <w:rFonts w:hint="eastAsia" w:ascii="宋体" w:hAnsi="宋体" w:cs="仿宋_GB2312"/>
          <w:bCs/>
          <w:color w:val="auto"/>
          <w:sz w:val="32"/>
          <w:szCs w:val="32"/>
          <w:highlight w:val="none"/>
          <w:u w:val="single"/>
        </w:rPr>
        <w:t xml:space="preserve">           </w:t>
      </w:r>
      <w:r>
        <w:rPr>
          <w:rFonts w:hint="eastAsia" w:ascii="宋体" w:hAnsi="宋体" w:cs="仿宋_GB2312"/>
          <w:bCs/>
          <w:color w:val="auto"/>
          <w:sz w:val="32"/>
          <w:szCs w:val="32"/>
          <w:highlight w:val="none"/>
        </w:rPr>
        <w:t>（签字）</w:t>
      </w:r>
    </w:p>
    <w:p w14:paraId="7B2131B7">
      <w:pPr>
        <w:snapToGrid w:val="0"/>
        <w:spacing w:before="120" w:beforeLines="50" w:after="50"/>
        <w:ind w:firstLine="720" w:firstLineChars="225"/>
        <w:rPr>
          <w:rFonts w:ascii="宋体" w:hAnsi="宋体" w:cs="仿宋_GB2312"/>
          <w:bCs/>
          <w:color w:val="auto"/>
          <w:sz w:val="32"/>
          <w:szCs w:val="32"/>
          <w:highlight w:val="none"/>
        </w:rPr>
      </w:pPr>
    </w:p>
    <w:p w14:paraId="437D40BA">
      <w:pPr>
        <w:pStyle w:val="5"/>
        <w:snapToGrid w:val="0"/>
        <w:spacing w:before="50" w:after="50"/>
        <w:ind w:firstLine="720" w:firstLineChars="225"/>
        <w:rPr>
          <w:rFonts w:ascii="宋体" w:hAnsi="宋体" w:cs="仿宋_GB2312"/>
          <w:bCs/>
          <w:color w:val="auto"/>
          <w:sz w:val="32"/>
          <w:szCs w:val="32"/>
          <w:highlight w:val="none"/>
        </w:rPr>
      </w:pPr>
    </w:p>
    <w:p w14:paraId="3728F42A">
      <w:pPr>
        <w:pStyle w:val="5"/>
        <w:snapToGrid w:val="0"/>
        <w:spacing w:before="50" w:after="50"/>
        <w:ind w:firstLine="720" w:firstLineChars="225"/>
        <w:rPr>
          <w:rFonts w:ascii="宋体" w:hAnsi="宋体" w:cs="仿宋_GB2312"/>
          <w:bCs/>
          <w:color w:val="auto"/>
          <w:sz w:val="32"/>
          <w:szCs w:val="32"/>
          <w:highlight w:val="none"/>
        </w:rPr>
      </w:pPr>
    </w:p>
    <w:p w14:paraId="392BCBDF">
      <w:pPr>
        <w:pStyle w:val="5"/>
        <w:snapToGrid w:val="0"/>
        <w:spacing w:before="50" w:after="50"/>
        <w:ind w:firstLine="720" w:firstLineChars="225"/>
        <w:rPr>
          <w:rFonts w:ascii="宋体" w:hAnsi="宋体" w:cs="仿宋_GB2312"/>
          <w:bCs/>
          <w:color w:val="auto"/>
          <w:sz w:val="32"/>
          <w:szCs w:val="32"/>
          <w:highlight w:val="none"/>
        </w:rPr>
      </w:pPr>
    </w:p>
    <w:p w14:paraId="6038F0F8">
      <w:pPr>
        <w:pStyle w:val="5"/>
        <w:snapToGrid w:val="0"/>
        <w:spacing w:before="50" w:after="50"/>
        <w:ind w:firstLine="1280" w:firstLineChars="400"/>
        <w:rPr>
          <w:rFonts w:ascii="宋体" w:hAnsi="宋体" w:cs="仿宋_GB2312"/>
          <w:bCs/>
          <w:color w:val="auto"/>
          <w:sz w:val="32"/>
          <w:szCs w:val="32"/>
          <w:highlight w:val="none"/>
        </w:rPr>
      </w:pPr>
    </w:p>
    <w:p w14:paraId="03813476">
      <w:pPr>
        <w:snapToGrid w:val="0"/>
        <w:spacing w:before="120" w:beforeLines="50" w:after="50"/>
        <w:jc w:val="center"/>
        <w:rPr>
          <w:rFonts w:ascii="宋体" w:hAnsi="宋体" w:cs="仿宋_GB2312"/>
          <w:color w:val="auto"/>
          <w:sz w:val="32"/>
          <w:szCs w:val="32"/>
          <w:highlight w:val="none"/>
        </w:rPr>
      </w:pPr>
      <w:r>
        <w:rPr>
          <w:rFonts w:hint="eastAsia" w:ascii="宋体" w:hAnsi="宋体" w:cs="仿宋_GB2312"/>
          <w:color w:val="auto"/>
          <w:sz w:val="32"/>
          <w:szCs w:val="32"/>
          <w:highlight w:val="none"/>
          <w:u w:val="single"/>
        </w:rPr>
        <w:t xml:space="preserve">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u w:val="single"/>
        </w:rPr>
        <w:t xml:space="preserve">    </w:t>
      </w:r>
      <w:r>
        <w:rPr>
          <w:rFonts w:hint="eastAsia" w:ascii="宋体" w:hAnsi="宋体" w:cs="仿宋_GB2312"/>
          <w:color w:val="auto"/>
          <w:sz w:val="32"/>
          <w:szCs w:val="32"/>
          <w:highlight w:val="none"/>
        </w:rPr>
        <w:t>月</w:t>
      </w:r>
      <w:r>
        <w:rPr>
          <w:rFonts w:hint="eastAsia" w:ascii="宋体" w:hAnsi="宋体" w:cs="仿宋_GB2312"/>
          <w:color w:val="auto"/>
          <w:sz w:val="32"/>
          <w:szCs w:val="32"/>
          <w:highlight w:val="none"/>
          <w:u w:val="single"/>
        </w:rPr>
        <w:t xml:space="preserve">    </w:t>
      </w:r>
      <w:r>
        <w:rPr>
          <w:rFonts w:hint="eastAsia" w:ascii="宋体" w:hAnsi="宋体" w:cs="仿宋_GB2312"/>
          <w:color w:val="auto"/>
          <w:sz w:val="32"/>
          <w:szCs w:val="32"/>
          <w:highlight w:val="none"/>
        </w:rPr>
        <w:t>日</w:t>
      </w:r>
    </w:p>
    <w:p w14:paraId="0EC64898">
      <w:pPr>
        <w:snapToGrid w:val="0"/>
        <w:spacing w:before="120" w:beforeLines="50" w:after="50" w:line="360" w:lineRule="auto"/>
        <w:jc w:val="center"/>
        <w:outlineLvl w:val="1"/>
        <w:rPr>
          <w:rFonts w:ascii="宋体" w:hAnsi="宋体"/>
          <w:b/>
          <w:bCs/>
          <w:color w:val="auto"/>
          <w:sz w:val="36"/>
          <w:szCs w:val="36"/>
          <w:highlight w:val="none"/>
        </w:rPr>
      </w:pPr>
      <w:r>
        <w:rPr>
          <w:rFonts w:ascii="宋体" w:hAnsi="宋体"/>
          <w:color w:val="auto"/>
          <w:sz w:val="24"/>
          <w:highlight w:val="none"/>
        </w:rPr>
        <w:br w:type="page"/>
      </w:r>
      <w:bookmarkStart w:id="32" w:name="_Toc5241"/>
      <w:bookmarkStart w:id="33" w:name="_Toc14424"/>
      <w:r>
        <w:rPr>
          <w:rFonts w:hint="eastAsia" w:ascii="宋体" w:hAnsi="宋体"/>
          <w:b/>
          <w:bCs/>
          <w:color w:val="auto"/>
          <w:sz w:val="36"/>
          <w:szCs w:val="36"/>
          <w:highlight w:val="none"/>
        </w:rPr>
        <w:t>目录</w:t>
      </w:r>
      <w:bookmarkEnd w:id="32"/>
      <w:bookmarkEnd w:id="33"/>
    </w:p>
    <w:p w14:paraId="67DBABC2">
      <w:pPr>
        <w:snapToGrid w:val="0"/>
        <w:spacing w:before="120" w:beforeLines="50" w:after="50"/>
        <w:rPr>
          <w:rFonts w:ascii="宋体" w:hAnsi="宋体"/>
          <w:color w:val="auto"/>
          <w:sz w:val="24"/>
          <w:szCs w:val="20"/>
          <w:highlight w:val="none"/>
        </w:rPr>
      </w:pPr>
    </w:p>
    <w:p w14:paraId="715928AF">
      <w:pPr>
        <w:snapToGrid w:val="0"/>
        <w:spacing w:before="120" w:beforeLines="50" w:after="50"/>
        <w:ind w:firstLine="480" w:firstLineChars="200"/>
        <w:rPr>
          <w:rFonts w:ascii="宋体" w:hAnsi="宋体"/>
          <w:color w:val="auto"/>
          <w:sz w:val="24"/>
          <w:szCs w:val="20"/>
          <w:highlight w:val="none"/>
        </w:rPr>
      </w:pPr>
      <w:r>
        <w:rPr>
          <w:rFonts w:hint="eastAsia" w:ascii="宋体" w:hAnsi="宋体"/>
          <w:color w:val="auto"/>
          <w:sz w:val="24"/>
          <w:szCs w:val="20"/>
          <w:highlight w:val="none"/>
        </w:rPr>
        <w:t>一、竞标函</w:t>
      </w:r>
    </w:p>
    <w:p w14:paraId="047AC168">
      <w:pPr>
        <w:snapToGrid w:val="0"/>
        <w:spacing w:before="120" w:beforeLines="50" w:after="50"/>
        <w:ind w:firstLine="480" w:firstLineChars="200"/>
        <w:rPr>
          <w:rFonts w:ascii="宋体" w:hAnsi="宋体"/>
          <w:color w:val="auto"/>
          <w:sz w:val="24"/>
          <w:szCs w:val="20"/>
          <w:highlight w:val="none"/>
        </w:rPr>
      </w:pPr>
      <w:r>
        <w:rPr>
          <w:rFonts w:hint="eastAsia" w:ascii="宋体" w:hAnsi="宋体"/>
          <w:color w:val="auto"/>
          <w:sz w:val="24"/>
          <w:szCs w:val="20"/>
          <w:highlight w:val="none"/>
        </w:rPr>
        <w:t>二、法定代表人身份证明（适用于无委托代理人的情况）</w:t>
      </w:r>
    </w:p>
    <w:p w14:paraId="745A61C2">
      <w:pPr>
        <w:snapToGrid w:val="0"/>
        <w:spacing w:before="120" w:beforeLines="50" w:after="50"/>
        <w:ind w:firstLine="480" w:firstLineChars="200"/>
        <w:rPr>
          <w:rFonts w:ascii="宋体" w:hAnsi="宋体"/>
          <w:color w:val="auto"/>
          <w:sz w:val="24"/>
          <w:szCs w:val="20"/>
          <w:highlight w:val="none"/>
        </w:rPr>
      </w:pPr>
      <w:r>
        <w:rPr>
          <w:rFonts w:hint="eastAsia" w:ascii="宋体" w:hAnsi="宋体"/>
          <w:color w:val="auto"/>
          <w:sz w:val="24"/>
          <w:szCs w:val="20"/>
          <w:highlight w:val="none"/>
        </w:rPr>
        <w:t>二、授权委托书（适用于有委托代理人的情况）</w:t>
      </w:r>
    </w:p>
    <w:p w14:paraId="4A654B68">
      <w:pPr>
        <w:snapToGrid w:val="0"/>
        <w:spacing w:before="120" w:beforeLines="50" w:after="50"/>
        <w:ind w:firstLine="480" w:firstLineChars="200"/>
        <w:rPr>
          <w:rFonts w:ascii="宋体" w:hAnsi="宋体"/>
          <w:color w:val="auto"/>
          <w:sz w:val="24"/>
          <w:szCs w:val="20"/>
          <w:highlight w:val="none"/>
        </w:rPr>
      </w:pPr>
      <w:r>
        <w:rPr>
          <w:rFonts w:hint="eastAsia" w:ascii="宋体" w:hAnsi="宋体"/>
          <w:color w:val="auto"/>
          <w:sz w:val="24"/>
          <w:szCs w:val="20"/>
          <w:highlight w:val="none"/>
        </w:rPr>
        <w:t>三、报价清单</w:t>
      </w:r>
    </w:p>
    <w:p w14:paraId="2B0ABF68">
      <w:pPr>
        <w:snapToGrid w:val="0"/>
        <w:spacing w:before="120" w:beforeLines="50" w:after="50"/>
        <w:ind w:firstLine="480" w:firstLineChars="200"/>
        <w:rPr>
          <w:rFonts w:ascii="宋体" w:hAnsi="宋体"/>
          <w:color w:val="auto"/>
          <w:sz w:val="24"/>
          <w:szCs w:val="20"/>
          <w:highlight w:val="none"/>
        </w:rPr>
      </w:pPr>
      <w:r>
        <w:rPr>
          <w:rFonts w:hint="eastAsia" w:ascii="宋体" w:hAnsi="宋体"/>
          <w:color w:val="auto"/>
          <w:sz w:val="24"/>
          <w:szCs w:val="20"/>
          <w:highlight w:val="none"/>
        </w:rPr>
        <w:t>四、业绩和人员配置资料</w:t>
      </w:r>
    </w:p>
    <w:p w14:paraId="565DBE77">
      <w:pPr>
        <w:snapToGrid w:val="0"/>
        <w:spacing w:before="120" w:beforeLines="50" w:after="50"/>
        <w:ind w:firstLine="480" w:firstLineChars="200"/>
        <w:rPr>
          <w:rFonts w:ascii="宋体" w:hAnsi="宋体"/>
          <w:color w:val="auto"/>
          <w:sz w:val="24"/>
          <w:szCs w:val="20"/>
          <w:highlight w:val="none"/>
        </w:rPr>
      </w:pPr>
      <w:r>
        <w:rPr>
          <w:rFonts w:hint="eastAsia" w:ascii="宋体" w:hAnsi="宋体"/>
          <w:color w:val="auto"/>
          <w:sz w:val="24"/>
          <w:szCs w:val="20"/>
          <w:highlight w:val="none"/>
        </w:rPr>
        <w:t>五、服务方案</w:t>
      </w:r>
    </w:p>
    <w:p w14:paraId="6560B238">
      <w:pPr>
        <w:snapToGrid w:val="0"/>
        <w:spacing w:before="120" w:beforeLines="50" w:after="50"/>
        <w:ind w:firstLine="480" w:firstLineChars="200"/>
        <w:rPr>
          <w:rFonts w:ascii="宋体" w:hAnsi="宋体"/>
          <w:color w:val="auto"/>
          <w:sz w:val="24"/>
          <w:szCs w:val="20"/>
          <w:highlight w:val="none"/>
        </w:rPr>
      </w:pPr>
      <w:r>
        <w:rPr>
          <w:rFonts w:hint="eastAsia" w:ascii="宋体" w:hAnsi="宋体"/>
          <w:color w:val="auto"/>
          <w:sz w:val="24"/>
          <w:szCs w:val="20"/>
          <w:highlight w:val="none"/>
        </w:rPr>
        <w:t>六、其他资料</w:t>
      </w:r>
    </w:p>
    <w:p w14:paraId="49A20A20">
      <w:pPr>
        <w:spacing w:line="300" w:lineRule="auto"/>
        <w:rPr>
          <w:rFonts w:ascii="宋体" w:hAnsi="宋体"/>
          <w:color w:val="auto"/>
          <w:szCs w:val="21"/>
          <w:highlight w:val="none"/>
        </w:rPr>
      </w:pPr>
    </w:p>
    <w:p w14:paraId="686B4A29">
      <w:pPr>
        <w:spacing w:line="300" w:lineRule="auto"/>
        <w:rPr>
          <w:rFonts w:ascii="宋体" w:hAnsi="宋体"/>
          <w:color w:val="auto"/>
          <w:szCs w:val="21"/>
          <w:highlight w:val="none"/>
        </w:rPr>
      </w:pPr>
    </w:p>
    <w:p w14:paraId="7708ED3E">
      <w:pPr>
        <w:spacing w:line="300" w:lineRule="auto"/>
        <w:rPr>
          <w:rFonts w:ascii="宋体" w:hAnsi="宋体"/>
          <w:color w:val="auto"/>
          <w:szCs w:val="21"/>
          <w:highlight w:val="none"/>
        </w:rPr>
      </w:pPr>
    </w:p>
    <w:p w14:paraId="2C82685F">
      <w:pPr>
        <w:spacing w:line="300" w:lineRule="auto"/>
        <w:rPr>
          <w:rFonts w:ascii="宋体" w:hAnsi="宋体"/>
          <w:color w:val="auto"/>
          <w:szCs w:val="21"/>
          <w:highlight w:val="none"/>
        </w:rPr>
      </w:pPr>
    </w:p>
    <w:p w14:paraId="21EAE04D">
      <w:pPr>
        <w:jc w:val="center"/>
        <w:outlineLvl w:val="1"/>
        <w:rPr>
          <w:rFonts w:ascii="黑体" w:hAnsi="黑体" w:eastAsia="黑体" w:cs="黑体"/>
          <w:color w:val="auto"/>
          <w:sz w:val="36"/>
          <w:szCs w:val="36"/>
          <w:highlight w:val="none"/>
        </w:rPr>
      </w:pPr>
      <w:r>
        <w:rPr>
          <w:rFonts w:ascii="宋体" w:hAnsi="宋体"/>
          <w:color w:val="auto"/>
          <w:szCs w:val="21"/>
          <w:highlight w:val="none"/>
        </w:rPr>
        <w:br w:type="page"/>
      </w:r>
      <w:bookmarkStart w:id="34" w:name="_Toc5505"/>
      <w:bookmarkStart w:id="35" w:name="_Toc30651"/>
      <w:r>
        <w:rPr>
          <w:rFonts w:hint="eastAsia" w:ascii="黑体" w:hAnsi="黑体" w:eastAsia="黑体" w:cs="黑体"/>
          <w:color w:val="auto"/>
          <w:sz w:val="36"/>
          <w:szCs w:val="36"/>
          <w:highlight w:val="none"/>
        </w:rPr>
        <w:t>一、竞标函</w:t>
      </w:r>
      <w:bookmarkEnd w:id="34"/>
      <w:bookmarkEnd w:id="35"/>
    </w:p>
    <w:p w14:paraId="4AABB101">
      <w:pPr>
        <w:spacing w:line="320" w:lineRule="exact"/>
        <w:jc w:val="center"/>
        <w:rPr>
          <w:rFonts w:ascii="宋体" w:hAnsi="宋体"/>
          <w:b/>
          <w:color w:val="auto"/>
          <w:sz w:val="32"/>
          <w:szCs w:val="32"/>
          <w:highlight w:val="none"/>
        </w:rPr>
      </w:pPr>
    </w:p>
    <w:p w14:paraId="37B254B2">
      <w:pPr>
        <w:spacing w:line="320" w:lineRule="exact"/>
        <w:jc w:val="center"/>
        <w:rPr>
          <w:rFonts w:ascii="宋体" w:hAnsi="宋体"/>
          <w:b/>
          <w:color w:val="auto"/>
          <w:sz w:val="32"/>
          <w:szCs w:val="32"/>
          <w:highlight w:val="none"/>
        </w:rPr>
      </w:pPr>
      <w:r>
        <w:rPr>
          <w:rFonts w:hint="eastAsia" w:ascii="宋体" w:hAnsi="宋体"/>
          <w:b/>
          <w:color w:val="auto"/>
          <w:sz w:val="32"/>
          <w:szCs w:val="32"/>
          <w:highlight w:val="none"/>
        </w:rPr>
        <w:t>竞标函</w:t>
      </w:r>
    </w:p>
    <w:p w14:paraId="4F6808A1">
      <w:pPr>
        <w:spacing w:line="320" w:lineRule="exact"/>
        <w:jc w:val="center"/>
        <w:rPr>
          <w:rFonts w:ascii="宋体" w:hAnsi="宋体"/>
          <w:color w:val="auto"/>
          <w:sz w:val="24"/>
          <w:szCs w:val="20"/>
          <w:highlight w:val="none"/>
        </w:rPr>
      </w:pPr>
    </w:p>
    <w:p w14:paraId="651FEBC4">
      <w:pPr>
        <w:spacing w:line="360" w:lineRule="auto"/>
        <w:contextualSpacing/>
        <w:rPr>
          <w:rFonts w:ascii="宋体" w:hAnsi="宋体" w:cs="宋体"/>
          <w:color w:val="auto"/>
          <w:sz w:val="24"/>
          <w:highlight w:val="none"/>
        </w:rPr>
      </w:pPr>
      <w:r>
        <w:rPr>
          <w:rFonts w:hint="eastAsia" w:ascii="宋体" w:hAnsi="宋体" w:cs="宋体"/>
          <w:color w:val="auto"/>
          <w:sz w:val="24"/>
          <w:highlight w:val="none"/>
          <w:u w:val="single"/>
        </w:rPr>
        <w:t xml:space="preserve">广西壮族自治区北部湾港港口管理局钦州分局 </w:t>
      </w:r>
      <w:r>
        <w:rPr>
          <w:rFonts w:hint="eastAsia" w:ascii="宋体" w:hAnsi="宋体" w:cs="宋体"/>
          <w:color w:val="auto"/>
          <w:sz w:val="24"/>
          <w:highlight w:val="none"/>
        </w:rPr>
        <w:t>：</w:t>
      </w:r>
    </w:p>
    <w:p w14:paraId="14A4B1E5">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1.我方已仔细研究了</w:t>
      </w:r>
      <w:r>
        <w:rPr>
          <w:rFonts w:hint="eastAsia" w:ascii="宋体" w:hAnsi="宋体" w:cs="宋体"/>
          <w:color w:val="auto"/>
          <w:sz w:val="24"/>
          <w:highlight w:val="none"/>
          <w:u w:val="single"/>
        </w:rPr>
        <w:t xml:space="preserve"> 钦州港公共水域浅点整治研究</w:t>
      </w:r>
      <w:r>
        <w:rPr>
          <w:rFonts w:hint="eastAsia" w:ascii="宋体" w:hAnsi="宋体" w:cs="宋体"/>
          <w:color w:val="auto"/>
          <w:sz w:val="24"/>
          <w:highlight w:val="none"/>
        </w:rPr>
        <w:t>采购文件的全部内容，愿意以人民币（大写）</w:t>
      </w:r>
      <w:r>
        <w:rPr>
          <w:rFonts w:hint="eastAsia" w:ascii="宋体" w:hAnsi="宋体" w:cs="宋体"/>
          <w:color w:val="auto"/>
          <w:sz w:val="24"/>
          <w:highlight w:val="none"/>
          <w:u w:val="single"/>
        </w:rPr>
        <w:t xml:space="preserve">             （¥               ）</w:t>
      </w:r>
      <w:r>
        <w:rPr>
          <w:rFonts w:hint="eastAsia" w:ascii="宋体" w:hAnsi="宋体" w:cs="宋体"/>
          <w:color w:val="auto"/>
          <w:sz w:val="24"/>
          <w:highlight w:val="none"/>
        </w:rPr>
        <w:t>的竞标总报价，按合同约定完成钦州港公共水域浅点整治研究工作。</w:t>
      </w:r>
    </w:p>
    <w:p w14:paraId="0D49630E">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2.我方的响应文件包括下列内容：：</w:t>
      </w:r>
    </w:p>
    <w:p w14:paraId="5369C0CA">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（1）竞标函；</w:t>
      </w:r>
    </w:p>
    <w:p w14:paraId="1B15E1C6">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（2）法定代表人身份证明或授权委托书；</w:t>
      </w:r>
    </w:p>
    <w:p w14:paraId="31831AFC">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（3）报价清单；</w:t>
      </w:r>
    </w:p>
    <w:p w14:paraId="0DAEF5EA">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（4）资格审查资料；</w:t>
      </w:r>
    </w:p>
    <w:p w14:paraId="0C1CC69C">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（5）服务方案。</w:t>
      </w:r>
    </w:p>
    <w:p w14:paraId="46FC15C7">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响应文件的上述组成部分如存在内容不一致的，以竞标函为准。</w:t>
      </w:r>
    </w:p>
    <w:p w14:paraId="4FDC5B98">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3.项目负责人姓名：</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年龄：</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现任职务：</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职称：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14:paraId="53B2AA10">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4.我方承诺在采购文件规定的竞标有效期内不撤销响应文件。</w:t>
      </w:r>
    </w:p>
    <w:p w14:paraId="08330B79">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5.如我方中标，我方承诺：</w:t>
      </w:r>
    </w:p>
    <w:p w14:paraId="294BC466">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（1）在收到中标通知书后，在中标通知书规定的期限内与你方签订合同；</w:t>
      </w:r>
    </w:p>
    <w:p w14:paraId="5ABA53AC">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（2）在签订合同时不向你方提出附加条件；</w:t>
      </w:r>
    </w:p>
    <w:p w14:paraId="3928C66D">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（3）在合同约定的期限内完成合同规定的全部义务。</w:t>
      </w:r>
    </w:p>
    <w:p w14:paraId="6C510E60">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6.我方在此声明，所递交的响应文件及有关资料内容完整、真实和准确。</w:t>
      </w:r>
    </w:p>
    <w:p w14:paraId="7CA15D5A">
      <w:pPr>
        <w:pStyle w:val="14"/>
        <w:tabs>
          <w:tab w:val="left" w:pos="939"/>
        </w:tabs>
        <w:spacing w:line="360" w:lineRule="auto"/>
        <w:ind w:left="0" w:leftChars="0" w:firstLine="480" w:firstLineChars="200"/>
        <w:rPr>
          <w:rFonts w:ascii="宋体" w:hAnsi="宋体" w:cs="宋体"/>
          <w:color w:val="auto"/>
          <w:sz w:val="24"/>
          <w:highlight w:val="none"/>
        </w:rPr>
      </w:pPr>
    </w:p>
    <w:p w14:paraId="558735DD">
      <w:pPr>
        <w:pStyle w:val="5"/>
        <w:overflowPunct w:val="0"/>
        <w:spacing w:line="520" w:lineRule="exact"/>
        <w:ind w:firstLine="0"/>
        <w:jc w:val="center"/>
        <w:rPr>
          <w:color w:val="auto"/>
          <w:sz w:val="24"/>
          <w:highlight w:val="none"/>
        </w:rPr>
      </w:pPr>
      <w:r>
        <w:rPr>
          <w:rFonts w:hint="eastAsia"/>
          <w:color w:val="auto"/>
          <w:sz w:val="24"/>
          <w:highlight w:val="none"/>
        </w:rPr>
        <w:t>供应商名称：</w:t>
      </w:r>
      <w:r>
        <w:rPr>
          <w:rFonts w:hint="eastAsia"/>
          <w:color w:val="auto"/>
          <w:sz w:val="24"/>
          <w:highlight w:val="none"/>
          <w:u w:val="single"/>
        </w:rPr>
        <w:t xml:space="preserve">                         </w:t>
      </w:r>
      <w:r>
        <w:rPr>
          <w:rFonts w:hint="eastAsia"/>
          <w:color w:val="auto"/>
          <w:sz w:val="24"/>
          <w:highlight w:val="none"/>
        </w:rPr>
        <w:t>（盖单位公章）</w:t>
      </w:r>
    </w:p>
    <w:p w14:paraId="3F2A35FA">
      <w:pPr>
        <w:pStyle w:val="5"/>
        <w:overflowPunct w:val="0"/>
        <w:spacing w:line="520" w:lineRule="exact"/>
        <w:ind w:firstLine="1478" w:firstLineChars="616"/>
        <w:rPr>
          <w:color w:val="auto"/>
          <w:sz w:val="24"/>
          <w:highlight w:val="none"/>
        </w:rPr>
      </w:pPr>
      <w:r>
        <w:rPr>
          <w:rFonts w:hint="eastAsia"/>
          <w:color w:val="auto"/>
          <w:sz w:val="24"/>
          <w:highlight w:val="none"/>
        </w:rPr>
        <w:t>法定代表人或其委托代理人：</w:t>
      </w:r>
      <w:r>
        <w:rPr>
          <w:rFonts w:hint="eastAsia"/>
          <w:color w:val="auto"/>
          <w:sz w:val="24"/>
          <w:highlight w:val="none"/>
          <w:u w:val="single"/>
        </w:rPr>
        <w:t xml:space="preserve">           </w:t>
      </w:r>
      <w:r>
        <w:rPr>
          <w:rFonts w:hint="eastAsia"/>
          <w:color w:val="auto"/>
          <w:sz w:val="24"/>
          <w:highlight w:val="none"/>
        </w:rPr>
        <w:t>（签字）</w:t>
      </w:r>
    </w:p>
    <w:p w14:paraId="516597BA">
      <w:pPr>
        <w:pStyle w:val="5"/>
        <w:overflowPunct w:val="0"/>
        <w:spacing w:line="520" w:lineRule="exact"/>
        <w:ind w:firstLine="3998" w:firstLineChars="1666"/>
        <w:rPr>
          <w:color w:val="auto"/>
          <w:sz w:val="24"/>
          <w:highlight w:val="none"/>
        </w:rPr>
      </w:pPr>
      <w:r>
        <w:rPr>
          <w:rFonts w:hint="eastAsia"/>
          <w:color w:val="auto"/>
          <w:sz w:val="24"/>
          <w:highlight w:val="none"/>
          <w:u w:val="single"/>
        </w:rPr>
        <w:t xml:space="preserve">      </w:t>
      </w:r>
      <w:r>
        <w:rPr>
          <w:rFonts w:hint="eastAsia"/>
          <w:color w:val="auto"/>
          <w:sz w:val="24"/>
          <w:highlight w:val="none"/>
        </w:rPr>
        <w:t>年</w:t>
      </w:r>
      <w:r>
        <w:rPr>
          <w:rFonts w:hint="eastAsia"/>
          <w:color w:val="auto"/>
          <w:sz w:val="24"/>
          <w:highlight w:val="none"/>
          <w:u w:val="single"/>
        </w:rPr>
        <w:t xml:space="preserve">    </w:t>
      </w:r>
      <w:r>
        <w:rPr>
          <w:rFonts w:hint="eastAsia"/>
          <w:color w:val="auto"/>
          <w:sz w:val="24"/>
          <w:highlight w:val="none"/>
        </w:rPr>
        <w:t>月</w:t>
      </w:r>
      <w:r>
        <w:rPr>
          <w:rFonts w:hint="eastAsia"/>
          <w:color w:val="auto"/>
          <w:sz w:val="24"/>
          <w:highlight w:val="none"/>
          <w:u w:val="single"/>
        </w:rPr>
        <w:t xml:space="preserve">    </w:t>
      </w:r>
      <w:r>
        <w:rPr>
          <w:rFonts w:hint="eastAsia"/>
          <w:color w:val="auto"/>
          <w:sz w:val="24"/>
          <w:highlight w:val="none"/>
        </w:rPr>
        <w:t>日</w:t>
      </w:r>
    </w:p>
    <w:p w14:paraId="417AA797">
      <w:pPr>
        <w:rPr>
          <w:rFonts w:ascii="宋体" w:hAnsi="宋体" w:cs="仿宋_GB2312"/>
          <w:color w:val="auto"/>
          <w:sz w:val="24"/>
          <w:highlight w:val="none"/>
        </w:rPr>
      </w:pPr>
      <w:r>
        <w:rPr>
          <w:rFonts w:hint="eastAsia" w:ascii="宋体" w:hAnsi="宋体" w:cs="仿宋_GB2312"/>
          <w:color w:val="auto"/>
          <w:sz w:val="24"/>
          <w:highlight w:val="none"/>
        </w:rPr>
        <w:br w:type="page"/>
      </w:r>
    </w:p>
    <w:p w14:paraId="197C30B6">
      <w:pPr>
        <w:snapToGrid w:val="0"/>
        <w:spacing w:line="360" w:lineRule="auto"/>
        <w:jc w:val="center"/>
        <w:outlineLvl w:val="1"/>
        <w:rPr>
          <w:rFonts w:ascii="黑体" w:hAnsi="黑体" w:eastAsia="黑体" w:cs="黑体"/>
          <w:color w:val="auto"/>
          <w:sz w:val="36"/>
          <w:szCs w:val="36"/>
          <w:highlight w:val="none"/>
        </w:rPr>
      </w:pPr>
      <w:bookmarkStart w:id="36" w:name="_Toc9179"/>
      <w:bookmarkStart w:id="37" w:name="_Toc10185"/>
      <w:r>
        <w:rPr>
          <w:rFonts w:hint="eastAsia" w:ascii="黑体" w:hAnsi="黑体" w:eastAsia="黑体" w:cs="黑体"/>
          <w:color w:val="auto"/>
          <w:sz w:val="36"/>
          <w:szCs w:val="36"/>
          <w:highlight w:val="none"/>
        </w:rPr>
        <w:t>二、法定代表人身份证明</w:t>
      </w:r>
      <w:bookmarkEnd w:id="36"/>
      <w:bookmarkEnd w:id="37"/>
    </w:p>
    <w:p w14:paraId="4C657C53">
      <w:pPr>
        <w:snapToGrid w:val="0"/>
        <w:spacing w:line="360" w:lineRule="auto"/>
        <w:ind w:firstLine="480" w:firstLineChars="200"/>
        <w:rPr>
          <w:rFonts w:ascii="宋体" w:hAnsi="宋体" w:cs="仿宋_GB2312"/>
          <w:color w:val="auto"/>
          <w:sz w:val="24"/>
          <w:highlight w:val="none"/>
        </w:rPr>
      </w:pPr>
    </w:p>
    <w:p w14:paraId="6C5F5D8F">
      <w:pPr>
        <w:pStyle w:val="31"/>
        <w:jc w:val="center"/>
        <w:rPr>
          <w:color w:val="auto"/>
          <w:highlight w:val="none"/>
        </w:rPr>
      </w:pPr>
      <w:r>
        <w:rPr>
          <w:rFonts w:hint="eastAsia" w:ascii="宋体" w:hAnsi="宋体"/>
          <w:b/>
          <w:color w:val="auto"/>
          <w:sz w:val="28"/>
          <w:szCs w:val="28"/>
          <w:highlight w:val="none"/>
        </w:rPr>
        <w:t>法定代表人身份证明</w:t>
      </w:r>
    </w:p>
    <w:p w14:paraId="219515E3">
      <w:pPr>
        <w:pStyle w:val="31"/>
        <w:rPr>
          <w:rFonts w:ascii="宋体" w:hAnsi="宋体" w:cs="仿宋_GB2312"/>
          <w:color w:val="auto"/>
          <w:highlight w:val="none"/>
        </w:rPr>
      </w:pPr>
    </w:p>
    <w:p w14:paraId="6F755E55">
      <w:pPr>
        <w:pStyle w:val="10"/>
        <w:rPr>
          <w:color w:val="auto"/>
          <w:highlight w:val="none"/>
        </w:rPr>
      </w:pPr>
    </w:p>
    <w:p w14:paraId="04B0DDEA">
      <w:pPr>
        <w:snapToGrid w:val="0"/>
        <w:spacing w:line="360" w:lineRule="auto"/>
        <w:ind w:firstLine="480" w:firstLineChars="200"/>
        <w:rPr>
          <w:rFonts w:ascii="宋体" w:hAnsi="宋体" w:cs="仿宋_GB2312"/>
          <w:color w:val="auto"/>
          <w:sz w:val="24"/>
          <w:highlight w:val="none"/>
          <w:u w:val="single"/>
        </w:rPr>
      </w:pPr>
      <w:r>
        <w:rPr>
          <w:rFonts w:hint="eastAsia" w:ascii="宋体" w:hAnsi="宋体" w:cs="仿宋_GB2312"/>
          <w:color w:val="auto"/>
          <w:sz w:val="24"/>
          <w:highlight w:val="none"/>
        </w:rPr>
        <w:t>供应商名称：</w:t>
      </w:r>
      <w:r>
        <w:rPr>
          <w:rFonts w:hint="eastAsia" w:ascii="宋体" w:hAnsi="宋体" w:cs="仿宋_GB2312"/>
          <w:color w:val="auto"/>
          <w:sz w:val="24"/>
          <w:highlight w:val="none"/>
          <w:u w:val="single"/>
        </w:rPr>
        <w:t xml:space="preserve">                                 </w:t>
      </w:r>
    </w:p>
    <w:p w14:paraId="103E1761">
      <w:pPr>
        <w:snapToGrid w:val="0"/>
        <w:spacing w:line="360" w:lineRule="auto"/>
        <w:ind w:firstLine="480" w:firstLineChars="200"/>
        <w:rPr>
          <w:rFonts w:ascii="宋体" w:hAnsi="宋体" w:cs="仿宋_GB2312"/>
          <w:color w:val="auto"/>
          <w:sz w:val="24"/>
          <w:highlight w:val="none"/>
        </w:rPr>
      </w:pPr>
      <w:r>
        <w:rPr>
          <w:rFonts w:hint="eastAsia" w:ascii="宋体" w:hAnsi="宋体" w:cs="仿宋_GB2312"/>
          <w:color w:val="auto"/>
          <w:sz w:val="24"/>
          <w:highlight w:val="none"/>
        </w:rPr>
        <w:t>姓名：</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性别：</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年龄：</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职务：</w:t>
      </w:r>
      <w:r>
        <w:rPr>
          <w:rFonts w:hint="eastAsia" w:ascii="宋体" w:hAnsi="宋体" w:cs="仿宋_GB2312"/>
          <w:color w:val="auto"/>
          <w:sz w:val="24"/>
          <w:highlight w:val="none"/>
          <w:u w:val="single"/>
        </w:rPr>
        <w:t xml:space="preserve">         </w:t>
      </w:r>
    </w:p>
    <w:p w14:paraId="39138EA6">
      <w:pPr>
        <w:snapToGrid w:val="0"/>
        <w:spacing w:line="360" w:lineRule="auto"/>
        <w:ind w:firstLine="480" w:firstLineChars="200"/>
        <w:rPr>
          <w:rFonts w:ascii="宋体" w:hAnsi="宋体" w:cs="仿宋_GB2312"/>
          <w:color w:val="auto"/>
          <w:sz w:val="24"/>
          <w:highlight w:val="none"/>
        </w:rPr>
      </w:pPr>
      <w:r>
        <w:rPr>
          <w:rFonts w:hint="eastAsia" w:ascii="宋体" w:hAnsi="宋体" w:cs="仿宋_GB2312"/>
          <w:color w:val="auto"/>
          <w:sz w:val="24"/>
          <w:highlight w:val="none"/>
        </w:rPr>
        <w:t>系</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（供应商名称）的法定代表人。</w:t>
      </w:r>
    </w:p>
    <w:p w14:paraId="3E5448CD">
      <w:pPr>
        <w:pStyle w:val="10"/>
        <w:ind w:firstLine="1200" w:firstLineChars="500"/>
        <w:rPr>
          <w:color w:val="auto"/>
          <w:highlight w:val="none"/>
        </w:rPr>
      </w:pPr>
      <w:r>
        <w:rPr>
          <w:rFonts w:hint="eastAsia" w:ascii="宋体" w:hAnsi="宋体" w:cs="仿宋_GB2312"/>
          <w:color w:val="auto"/>
          <w:sz w:val="24"/>
          <w:highlight w:val="none"/>
        </w:rPr>
        <w:t>特此证明。</w:t>
      </w:r>
    </w:p>
    <w:p w14:paraId="4279B9CA">
      <w:pPr>
        <w:snapToGrid w:val="0"/>
        <w:spacing w:line="360" w:lineRule="auto"/>
        <w:ind w:firstLine="480" w:firstLineChars="200"/>
        <w:rPr>
          <w:rFonts w:ascii="宋体" w:hAnsi="宋体" w:cs="仿宋_GB2312"/>
          <w:color w:val="auto"/>
          <w:sz w:val="24"/>
          <w:highlight w:val="none"/>
        </w:rPr>
      </w:pPr>
    </w:p>
    <w:p w14:paraId="52D941A4">
      <w:pPr>
        <w:snapToGrid w:val="0"/>
        <w:spacing w:line="360" w:lineRule="auto"/>
        <w:ind w:firstLine="480" w:firstLineChars="200"/>
        <w:rPr>
          <w:rFonts w:ascii="宋体" w:hAnsi="宋体" w:cs="仿宋_GB2312"/>
          <w:color w:val="auto"/>
          <w:sz w:val="24"/>
          <w:highlight w:val="none"/>
        </w:rPr>
      </w:pPr>
      <w:r>
        <w:rPr>
          <w:rFonts w:hint="eastAsia" w:ascii="宋体" w:hAnsi="宋体" w:cs="仿宋_GB2312"/>
          <w:color w:val="auto"/>
          <w:sz w:val="24"/>
          <w:highlight w:val="none"/>
        </w:rPr>
        <w:t>附：法定代表人身份证复印件</w:t>
      </w:r>
    </w:p>
    <w:p w14:paraId="73B80073">
      <w:pPr>
        <w:pStyle w:val="10"/>
        <w:rPr>
          <w:color w:val="auto"/>
          <w:highlight w:val="none"/>
        </w:rPr>
      </w:pPr>
    </w:p>
    <w:p w14:paraId="74F62DBE">
      <w:pPr>
        <w:pStyle w:val="10"/>
        <w:rPr>
          <w:color w:val="auto"/>
          <w:highlight w:val="none"/>
        </w:rPr>
      </w:pPr>
    </w:p>
    <w:p w14:paraId="2345B681">
      <w:pPr>
        <w:pStyle w:val="10"/>
        <w:rPr>
          <w:color w:val="auto"/>
          <w:highlight w:val="none"/>
        </w:rPr>
      </w:pPr>
    </w:p>
    <w:p w14:paraId="44773CAB">
      <w:pPr>
        <w:pStyle w:val="5"/>
        <w:overflowPunct w:val="0"/>
        <w:spacing w:line="520" w:lineRule="exact"/>
        <w:ind w:firstLine="0"/>
        <w:jc w:val="center"/>
        <w:rPr>
          <w:color w:val="auto"/>
          <w:sz w:val="24"/>
          <w:highlight w:val="none"/>
        </w:rPr>
      </w:pPr>
      <w:r>
        <w:rPr>
          <w:rFonts w:hint="eastAsia"/>
          <w:color w:val="auto"/>
          <w:sz w:val="24"/>
          <w:highlight w:val="none"/>
        </w:rPr>
        <w:t xml:space="preserve">             供应商名称：</w:t>
      </w:r>
      <w:r>
        <w:rPr>
          <w:rFonts w:hint="eastAsia"/>
          <w:color w:val="auto"/>
          <w:sz w:val="24"/>
          <w:highlight w:val="none"/>
          <w:u w:val="single"/>
        </w:rPr>
        <w:t xml:space="preserve">                         </w:t>
      </w:r>
      <w:r>
        <w:rPr>
          <w:rFonts w:hint="eastAsia"/>
          <w:color w:val="auto"/>
          <w:sz w:val="24"/>
          <w:highlight w:val="none"/>
        </w:rPr>
        <w:t>（盖单位公章）</w:t>
      </w:r>
    </w:p>
    <w:p w14:paraId="2D5F42BD">
      <w:pPr>
        <w:pStyle w:val="5"/>
        <w:overflowPunct w:val="0"/>
        <w:spacing w:line="520" w:lineRule="exact"/>
        <w:ind w:firstLine="4800" w:firstLineChars="2000"/>
        <w:rPr>
          <w:color w:val="auto"/>
          <w:sz w:val="24"/>
          <w:highlight w:val="none"/>
        </w:rPr>
      </w:pPr>
      <w:r>
        <w:rPr>
          <w:rFonts w:hint="eastAsia"/>
          <w:color w:val="auto"/>
          <w:sz w:val="24"/>
          <w:highlight w:val="none"/>
          <w:u w:val="single"/>
        </w:rPr>
        <w:t xml:space="preserve">      </w:t>
      </w:r>
      <w:r>
        <w:rPr>
          <w:rFonts w:hint="eastAsia"/>
          <w:color w:val="auto"/>
          <w:sz w:val="24"/>
          <w:highlight w:val="none"/>
        </w:rPr>
        <w:t>年</w:t>
      </w:r>
      <w:r>
        <w:rPr>
          <w:rFonts w:hint="eastAsia"/>
          <w:color w:val="auto"/>
          <w:sz w:val="24"/>
          <w:highlight w:val="none"/>
          <w:u w:val="single"/>
        </w:rPr>
        <w:t xml:space="preserve">    </w:t>
      </w:r>
      <w:r>
        <w:rPr>
          <w:rFonts w:hint="eastAsia"/>
          <w:color w:val="auto"/>
          <w:sz w:val="24"/>
          <w:highlight w:val="none"/>
        </w:rPr>
        <w:t>月</w:t>
      </w:r>
      <w:r>
        <w:rPr>
          <w:rFonts w:hint="eastAsia"/>
          <w:color w:val="auto"/>
          <w:sz w:val="24"/>
          <w:highlight w:val="none"/>
          <w:u w:val="single"/>
        </w:rPr>
        <w:t xml:space="preserve">    </w:t>
      </w:r>
      <w:r>
        <w:rPr>
          <w:rFonts w:hint="eastAsia"/>
          <w:color w:val="auto"/>
          <w:sz w:val="24"/>
          <w:highlight w:val="none"/>
        </w:rPr>
        <w:t>日</w:t>
      </w:r>
    </w:p>
    <w:p w14:paraId="3A90259A">
      <w:pPr>
        <w:pStyle w:val="10"/>
        <w:rPr>
          <w:color w:val="auto"/>
          <w:highlight w:val="none"/>
        </w:rPr>
      </w:pPr>
    </w:p>
    <w:p w14:paraId="46FF4FB9">
      <w:pPr>
        <w:rPr>
          <w:color w:val="auto"/>
          <w:highlight w:val="none"/>
        </w:rPr>
      </w:pPr>
      <w:r>
        <w:rPr>
          <w:color w:val="auto"/>
          <w:highlight w:val="none"/>
        </w:rPr>
        <w:br w:type="page"/>
      </w:r>
    </w:p>
    <w:p w14:paraId="4BA250AF">
      <w:pPr>
        <w:snapToGrid w:val="0"/>
        <w:spacing w:line="360" w:lineRule="auto"/>
        <w:jc w:val="center"/>
        <w:outlineLvl w:val="1"/>
        <w:rPr>
          <w:rFonts w:ascii="黑体" w:hAnsi="黑体" w:eastAsia="黑体" w:cs="黑体"/>
          <w:color w:val="auto"/>
          <w:sz w:val="36"/>
          <w:szCs w:val="36"/>
          <w:highlight w:val="none"/>
        </w:rPr>
      </w:pPr>
      <w:bookmarkStart w:id="38" w:name="_Toc21187"/>
      <w:bookmarkStart w:id="39" w:name="_Toc20885"/>
      <w:r>
        <w:rPr>
          <w:rFonts w:hint="eastAsia" w:ascii="黑体" w:hAnsi="黑体" w:eastAsia="黑体" w:cs="黑体"/>
          <w:color w:val="auto"/>
          <w:sz w:val="36"/>
          <w:szCs w:val="36"/>
          <w:highlight w:val="none"/>
        </w:rPr>
        <w:t>二、授权委托书</w:t>
      </w:r>
      <w:bookmarkEnd w:id="38"/>
      <w:bookmarkEnd w:id="39"/>
    </w:p>
    <w:p w14:paraId="2CFE39AB">
      <w:pPr>
        <w:snapToGrid w:val="0"/>
        <w:spacing w:line="360" w:lineRule="auto"/>
        <w:ind w:firstLine="480" w:firstLineChars="200"/>
        <w:rPr>
          <w:rFonts w:ascii="宋体" w:hAnsi="宋体" w:cs="仿宋_GB2312"/>
          <w:color w:val="auto"/>
          <w:sz w:val="24"/>
          <w:highlight w:val="none"/>
        </w:rPr>
      </w:pPr>
    </w:p>
    <w:p w14:paraId="2FF724C5">
      <w:pPr>
        <w:pStyle w:val="31"/>
        <w:jc w:val="center"/>
        <w:rPr>
          <w:rFonts w:ascii="宋体" w:hAnsi="宋体" w:cs="仿宋_GB2312"/>
          <w:color w:val="auto"/>
          <w:highlight w:val="none"/>
        </w:rPr>
      </w:pPr>
      <w:r>
        <w:rPr>
          <w:rFonts w:hint="eastAsia" w:ascii="宋体" w:hAnsi="宋体"/>
          <w:b/>
          <w:color w:val="auto"/>
          <w:sz w:val="28"/>
          <w:szCs w:val="28"/>
          <w:highlight w:val="none"/>
        </w:rPr>
        <w:t>授权委托书</w:t>
      </w:r>
    </w:p>
    <w:p w14:paraId="374A76A1">
      <w:pPr>
        <w:pStyle w:val="10"/>
        <w:rPr>
          <w:color w:val="auto"/>
          <w:highlight w:val="none"/>
        </w:rPr>
      </w:pPr>
    </w:p>
    <w:p w14:paraId="3EB5C8E4">
      <w:pPr>
        <w:spacing w:line="400" w:lineRule="exact"/>
        <w:ind w:firstLine="480" w:firstLineChars="200"/>
        <w:rPr>
          <w:rFonts w:ascii="宋体" w:hAnsi="宋体"/>
          <w:color w:val="auto"/>
          <w:sz w:val="24"/>
          <w:highlight w:val="none"/>
        </w:rPr>
      </w:pPr>
      <w:r>
        <w:rPr>
          <w:rFonts w:hint="eastAsia" w:ascii="宋体" w:hAnsi="宋体"/>
          <w:color w:val="auto"/>
          <w:sz w:val="24"/>
          <w:highlight w:val="none"/>
        </w:rPr>
        <w:t>本人</w:t>
      </w:r>
      <w:r>
        <w:rPr>
          <w:rFonts w:hint="eastAsia" w:ascii="宋体" w:hAnsi="宋体"/>
          <w:color w:val="auto"/>
          <w:sz w:val="24"/>
          <w:highlight w:val="none"/>
          <w:u w:val="single"/>
        </w:rPr>
        <w:t xml:space="preserve">             </w:t>
      </w:r>
      <w:r>
        <w:rPr>
          <w:rFonts w:ascii="宋体" w:hAnsi="宋体"/>
          <w:color w:val="auto"/>
          <w:sz w:val="24"/>
          <w:highlight w:val="none"/>
        </w:rPr>
        <w:t>(姓名)系</w:t>
      </w:r>
      <w:r>
        <w:rPr>
          <w:rFonts w:hint="eastAsia" w:ascii="宋体" w:hAnsi="宋体"/>
          <w:color w:val="auto"/>
          <w:sz w:val="24"/>
          <w:highlight w:val="none"/>
          <w:u w:val="single"/>
        </w:rPr>
        <w:t xml:space="preserve">             </w:t>
      </w:r>
      <w:r>
        <w:rPr>
          <w:rFonts w:ascii="宋体" w:hAnsi="宋体"/>
          <w:color w:val="auto"/>
          <w:sz w:val="24"/>
          <w:highlight w:val="none"/>
        </w:rPr>
        <w:t>(</w:t>
      </w:r>
      <w:r>
        <w:rPr>
          <w:rFonts w:hint="eastAsia" w:ascii="宋体" w:hAnsi="宋体"/>
          <w:color w:val="auto"/>
          <w:sz w:val="24"/>
          <w:highlight w:val="none"/>
        </w:rPr>
        <w:t>供应商</w:t>
      </w:r>
      <w:r>
        <w:rPr>
          <w:rFonts w:ascii="宋体" w:hAnsi="宋体"/>
          <w:color w:val="auto"/>
          <w:sz w:val="24"/>
          <w:highlight w:val="none"/>
        </w:rPr>
        <w:t>名称)的法定代表人，</w:t>
      </w:r>
      <w:r>
        <w:rPr>
          <w:rFonts w:hint="eastAsia" w:ascii="宋体" w:hAnsi="宋体"/>
          <w:color w:val="auto"/>
          <w:sz w:val="24"/>
          <w:highlight w:val="none"/>
        </w:rPr>
        <w:t>现委托</w:t>
      </w:r>
      <w:r>
        <w:rPr>
          <w:rFonts w:hint="eastAsia" w:ascii="宋体" w:hAnsi="宋体"/>
          <w:color w:val="auto"/>
          <w:sz w:val="24"/>
          <w:highlight w:val="none"/>
          <w:u w:val="single"/>
        </w:rPr>
        <w:t xml:space="preserve">             </w:t>
      </w:r>
      <w:r>
        <w:rPr>
          <w:rFonts w:ascii="宋体" w:hAnsi="宋体"/>
          <w:color w:val="auto"/>
          <w:sz w:val="24"/>
          <w:highlight w:val="none"/>
        </w:rPr>
        <w:t xml:space="preserve"> (姓名)</w:t>
      </w:r>
      <w:r>
        <w:rPr>
          <w:rFonts w:hint="eastAsia" w:ascii="宋体" w:hAnsi="宋体"/>
          <w:color w:val="auto"/>
          <w:sz w:val="24"/>
          <w:highlight w:val="none"/>
        </w:rPr>
        <w:t>为我方代理人。代理人根据授权，以我方名义签署、澄清确认、递交、撤回、修改响应文件和处理有关事宜，其法律后果由我方承担。</w:t>
      </w:r>
    </w:p>
    <w:p w14:paraId="5EE8BAD4">
      <w:pPr>
        <w:spacing w:line="400" w:lineRule="exact"/>
        <w:ind w:firstLine="480"/>
        <w:rPr>
          <w:rFonts w:ascii="宋体" w:hAnsi="宋体"/>
          <w:color w:val="auto"/>
          <w:sz w:val="24"/>
          <w:highlight w:val="none"/>
        </w:rPr>
      </w:pPr>
      <w:r>
        <w:rPr>
          <w:rFonts w:hint="eastAsia" w:ascii="宋体" w:hAnsi="宋体"/>
          <w:color w:val="auto"/>
          <w:sz w:val="24"/>
          <w:highlight w:val="none"/>
        </w:rPr>
        <w:t>委托</w:t>
      </w:r>
      <w:r>
        <w:rPr>
          <w:rFonts w:ascii="宋体" w:hAnsi="宋体"/>
          <w:color w:val="auto"/>
          <w:sz w:val="24"/>
          <w:highlight w:val="none"/>
        </w:rPr>
        <w:t>期限</w:t>
      </w:r>
      <w:r>
        <w:rPr>
          <w:rFonts w:hint="eastAsia" w:ascii="宋体" w:hAnsi="宋体"/>
          <w:color w:val="auto"/>
          <w:sz w:val="24"/>
          <w:highlight w:val="none"/>
        </w:rPr>
        <w:t>：</w:t>
      </w:r>
      <w:r>
        <w:rPr>
          <w:rFonts w:ascii="宋体" w:hAnsi="宋体"/>
          <w:color w:val="auto"/>
          <w:sz w:val="24"/>
          <w:highlight w:val="none"/>
        </w:rPr>
        <w:t>自</w:t>
      </w:r>
      <w:r>
        <w:rPr>
          <w:rFonts w:hint="eastAsia" w:ascii="宋体" w:hAnsi="宋体"/>
          <w:color w:val="auto"/>
          <w:sz w:val="24"/>
          <w:highlight w:val="none"/>
          <w:u w:val="single"/>
        </w:rPr>
        <w:t xml:space="preserve">    </w:t>
      </w:r>
      <w:r>
        <w:rPr>
          <w:rFonts w:ascii="宋体" w:hAnsi="宋体"/>
          <w:color w:val="auto"/>
          <w:sz w:val="24"/>
          <w:highlight w:val="none"/>
        </w:rPr>
        <w:t>年</w:t>
      </w:r>
      <w:r>
        <w:rPr>
          <w:rFonts w:hint="eastAsia" w:ascii="宋体" w:hAnsi="宋体"/>
          <w:color w:val="auto"/>
          <w:sz w:val="24"/>
          <w:highlight w:val="none"/>
          <w:u w:val="single"/>
        </w:rPr>
        <w:t xml:space="preserve">    </w:t>
      </w:r>
      <w:r>
        <w:rPr>
          <w:rFonts w:ascii="宋体" w:hAnsi="宋体"/>
          <w:color w:val="auto"/>
          <w:sz w:val="24"/>
          <w:highlight w:val="none"/>
        </w:rPr>
        <w:t>月</w:t>
      </w:r>
      <w:r>
        <w:rPr>
          <w:rFonts w:hint="eastAsia" w:ascii="宋体" w:hAnsi="宋体"/>
          <w:color w:val="auto"/>
          <w:sz w:val="24"/>
          <w:highlight w:val="none"/>
          <w:u w:val="single"/>
        </w:rPr>
        <w:t xml:space="preserve">    </w:t>
      </w:r>
      <w:r>
        <w:rPr>
          <w:rFonts w:ascii="宋体" w:hAnsi="宋体"/>
          <w:color w:val="auto"/>
          <w:sz w:val="24"/>
          <w:highlight w:val="none"/>
        </w:rPr>
        <w:t>日起至</w:t>
      </w:r>
      <w:r>
        <w:rPr>
          <w:rFonts w:hint="eastAsia" w:ascii="宋体" w:hAnsi="宋体"/>
          <w:color w:val="auto"/>
          <w:sz w:val="24"/>
          <w:highlight w:val="none"/>
          <w:u w:val="single"/>
        </w:rPr>
        <w:t xml:space="preserve">    </w:t>
      </w:r>
      <w:r>
        <w:rPr>
          <w:rFonts w:ascii="宋体" w:hAnsi="宋体"/>
          <w:color w:val="auto"/>
          <w:sz w:val="24"/>
          <w:highlight w:val="none"/>
        </w:rPr>
        <w:t>年</w:t>
      </w:r>
      <w:r>
        <w:rPr>
          <w:rFonts w:hint="eastAsia" w:ascii="宋体" w:hAnsi="宋体"/>
          <w:color w:val="auto"/>
          <w:sz w:val="24"/>
          <w:highlight w:val="none"/>
          <w:u w:val="single"/>
        </w:rPr>
        <w:t xml:space="preserve">    </w:t>
      </w:r>
      <w:r>
        <w:rPr>
          <w:rFonts w:ascii="宋体" w:hAnsi="宋体"/>
          <w:color w:val="auto"/>
          <w:sz w:val="24"/>
          <w:highlight w:val="none"/>
        </w:rPr>
        <w:t>月</w:t>
      </w:r>
      <w:r>
        <w:rPr>
          <w:rFonts w:hint="eastAsia" w:ascii="宋体" w:hAnsi="宋体"/>
          <w:color w:val="auto"/>
          <w:sz w:val="24"/>
          <w:highlight w:val="none"/>
          <w:u w:val="single"/>
        </w:rPr>
        <w:t xml:space="preserve">    </w:t>
      </w:r>
      <w:r>
        <w:rPr>
          <w:rFonts w:ascii="宋体" w:hAnsi="宋体"/>
          <w:color w:val="auto"/>
          <w:sz w:val="24"/>
          <w:highlight w:val="none"/>
        </w:rPr>
        <w:t>日止。</w:t>
      </w:r>
    </w:p>
    <w:p w14:paraId="2154355A">
      <w:pPr>
        <w:spacing w:line="400" w:lineRule="exact"/>
        <w:ind w:firstLine="480"/>
        <w:rPr>
          <w:rFonts w:ascii="宋体" w:hAnsi="宋体"/>
          <w:color w:val="auto"/>
          <w:sz w:val="24"/>
          <w:highlight w:val="none"/>
        </w:rPr>
      </w:pPr>
      <w:r>
        <w:rPr>
          <w:rFonts w:hint="eastAsia" w:ascii="宋体" w:hAnsi="宋体"/>
          <w:color w:val="auto"/>
          <w:sz w:val="24"/>
          <w:highlight w:val="none"/>
        </w:rPr>
        <w:t>代理人无转委托权。</w:t>
      </w:r>
    </w:p>
    <w:p w14:paraId="368F8B79">
      <w:pPr>
        <w:spacing w:line="400" w:lineRule="exact"/>
        <w:rPr>
          <w:rFonts w:ascii="宋体" w:hAnsi="宋体"/>
          <w:color w:val="auto"/>
          <w:sz w:val="24"/>
          <w:highlight w:val="none"/>
        </w:rPr>
      </w:pPr>
    </w:p>
    <w:p w14:paraId="3BE66943">
      <w:pPr>
        <w:spacing w:line="400" w:lineRule="exact"/>
        <w:ind w:firstLine="600" w:firstLineChars="250"/>
        <w:rPr>
          <w:rFonts w:ascii="宋体" w:hAnsi="宋体"/>
          <w:color w:val="auto"/>
          <w:sz w:val="24"/>
          <w:highlight w:val="none"/>
        </w:rPr>
      </w:pPr>
      <w:r>
        <w:rPr>
          <w:rFonts w:hint="eastAsia" w:ascii="宋体" w:hAnsi="宋体"/>
          <w:color w:val="auto"/>
          <w:sz w:val="24"/>
          <w:highlight w:val="none"/>
        </w:rPr>
        <w:t>附：</w:t>
      </w:r>
      <w:r>
        <w:rPr>
          <w:rFonts w:hint="eastAsia" w:ascii="宋体" w:hAnsi="宋体" w:cs="仿宋_GB2312"/>
          <w:color w:val="auto"/>
          <w:sz w:val="24"/>
          <w:highlight w:val="none"/>
        </w:rPr>
        <w:t>法定代表人身份证复印件及</w:t>
      </w:r>
      <w:r>
        <w:rPr>
          <w:rFonts w:hint="eastAsia" w:ascii="宋体" w:hAnsi="宋体"/>
          <w:snapToGrid w:val="0"/>
          <w:color w:val="auto"/>
          <w:kern w:val="0"/>
          <w:sz w:val="24"/>
          <w:highlight w:val="none"/>
        </w:rPr>
        <w:t>委托代理人身份证复印件</w:t>
      </w:r>
    </w:p>
    <w:p w14:paraId="1161140C">
      <w:pPr>
        <w:spacing w:line="400" w:lineRule="exact"/>
        <w:ind w:firstLine="480"/>
        <w:rPr>
          <w:rFonts w:ascii="宋体" w:hAnsi="宋体"/>
          <w:color w:val="auto"/>
          <w:sz w:val="24"/>
          <w:highlight w:val="none"/>
        </w:rPr>
      </w:pPr>
    </w:p>
    <w:p w14:paraId="544AC8A1">
      <w:pPr>
        <w:spacing w:line="400" w:lineRule="exact"/>
        <w:rPr>
          <w:rFonts w:ascii="宋体" w:hAnsi="宋体"/>
          <w:color w:val="auto"/>
          <w:sz w:val="24"/>
          <w:highlight w:val="none"/>
        </w:rPr>
      </w:pPr>
    </w:p>
    <w:p w14:paraId="53FFB223">
      <w:pPr>
        <w:pStyle w:val="31"/>
        <w:rPr>
          <w:color w:val="auto"/>
          <w:highlight w:val="none"/>
        </w:rPr>
      </w:pPr>
    </w:p>
    <w:p w14:paraId="1361C6E7">
      <w:pPr>
        <w:spacing w:line="400" w:lineRule="exact"/>
        <w:rPr>
          <w:rFonts w:ascii="宋体" w:hAnsi="宋体"/>
          <w:color w:val="auto"/>
          <w:sz w:val="24"/>
          <w:highlight w:val="none"/>
        </w:rPr>
      </w:pPr>
    </w:p>
    <w:p w14:paraId="29184BC2">
      <w:pPr>
        <w:spacing w:line="720" w:lineRule="auto"/>
        <w:ind w:firstLine="3480" w:firstLineChars="1450"/>
        <w:rPr>
          <w:rFonts w:ascii="宋体" w:hAnsi="宋体"/>
          <w:color w:val="auto"/>
          <w:sz w:val="24"/>
          <w:highlight w:val="none"/>
        </w:rPr>
      </w:pPr>
      <w:r>
        <w:rPr>
          <w:rFonts w:hint="eastAsia" w:ascii="宋体" w:hAnsi="宋体"/>
          <w:color w:val="auto"/>
          <w:sz w:val="24"/>
          <w:highlight w:val="none"/>
        </w:rPr>
        <w:t>供应商：</w:t>
      </w:r>
      <w:r>
        <w:rPr>
          <w:rFonts w:hint="eastAsia" w:ascii="宋体" w:hAnsi="宋体"/>
          <w:color w:val="auto"/>
          <w:sz w:val="24"/>
          <w:highlight w:val="none"/>
          <w:u w:val="single"/>
        </w:rPr>
        <w:t xml:space="preserve">                     </w:t>
      </w:r>
      <w:r>
        <w:rPr>
          <w:rFonts w:hint="eastAsia" w:ascii="宋体" w:hAnsi="宋体"/>
          <w:color w:val="auto"/>
          <w:sz w:val="24"/>
          <w:highlight w:val="none"/>
        </w:rPr>
        <w:t>（</w:t>
      </w:r>
      <w:r>
        <w:rPr>
          <w:rFonts w:hint="eastAsia"/>
          <w:color w:val="auto"/>
          <w:sz w:val="24"/>
          <w:highlight w:val="none"/>
        </w:rPr>
        <w:t>盖单位公章</w:t>
      </w:r>
      <w:r>
        <w:rPr>
          <w:rFonts w:hint="eastAsia" w:ascii="宋体" w:hAnsi="宋体"/>
          <w:color w:val="auto"/>
          <w:sz w:val="24"/>
          <w:highlight w:val="none"/>
        </w:rPr>
        <w:t>）</w:t>
      </w:r>
    </w:p>
    <w:p w14:paraId="241F2207">
      <w:pPr>
        <w:spacing w:line="720" w:lineRule="auto"/>
        <w:ind w:firstLine="3480" w:firstLineChars="1450"/>
        <w:rPr>
          <w:rFonts w:ascii="宋体" w:hAnsi="宋体"/>
          <w:color w:val="auto"/>
          <w:sz w:val="24"/>
          <w:highlight w:val="none"/>
        </w:rPr>
      </w:pPr>
      <w:r>
        <w:rPr>
          <w:rFonts w:hint="eastAsia" w:ascii="宋体" w:hAnsi="宋体"/>
          <w:color w:val="auto"/>
          <w:sz w:val="24"/>
          <w:highlight w:val="none"/>
        </w:rPr>
        <w:t>法定代表人：</w:t>
      </w:r>
      <w:r>
        <w:rPr>
          <w:rFonts w:hint="eastAsia" w:ascii="宋体" w:hAnsi="宋体"/>
          <w:color w:val="auto"/>
          <w:sz w:val="24"/>
          <w:highlight w:val="none"/>
          <w:u w:val="single"/>
        </w:rPr>
        <w:t xml:space="preserve">                       </w:t>
      </w:r>
      <w:r>
        <w:rPr>
          <w:rFonts w:hint="eastAsia" w:ascii="宋体" w:hAnsi="宋体"/>
          <w:color w:val="auto"/>
          <w:sz w:val="24"/>
          <w:highlight w:val="none"/>
        </w:rPr>
        <w:t>（签字）</w:t>
      </w:r>
    </w:p>
    <w:p w14:paraId="59692422">
      <w:pPr>
        <w:spacing w:line="720" w:lineRule="auto"/>
        <w:ind w:firstLine="3480" w:firstLineChars="1450"/>
        <w:rPr>
          <w:rFonts w:ascii="宋体" w:hAnsi="宋体"/>
          <w:color w:val="auto"/>
          <w:sz w:val="24"/>
          <w:highlight w:val="none"/>
        </w:rPr>
      </w:pPr>
      <w:r>
        <w:rPr>
          <w:rFonts w:hint="eastAsia" w:ascii="宋体" w:hAnsi="宋体"/>
          <w:color w:val="auto"/>
          <w:sz w:val="24"/>
          <w:highlight w:val="none"/>
        </w:rPr>
        <w:t>身份证号码：</w:t>
      </w:r>
      <w:r>
        <w:rPr>
          <w:rFonts w:hint="eastAsia" w:ascii="宋体" w:hAnsi="宋体"/>
          <w:color w:val="auto"/>
          <w:sz w:val="24"/>
          <w:highlight w:val="none"/>
          <w:u w:val="single"/>
        </w:rPr>
        <w:t xml:space="preserve">                            </w:t>
      </w:r>
    </w:p>
    <w:p w14:paraId="319C1208">
      <w:pPr>
        <w:spacing w:line="720" w:lineRule="auto"/>
        <w:ind w:firstLine="3480" w:firstLineChars="1450"/>
        <w:rPr>
          <w:rFonts w:ascii="宋体" w:hAnsi="宋体"/>
          <w:color w:val="auto"/>
          <w:sz w:val="24"/>
          <w:highlight w:val="none"/>
        </w:rPr>
      </w:pPr>
      <w:r>
        <w:rPr>
          <w:rFonts w:hint="eastAsia" w:ascii="宋体" w:hAnsi="宋体"/>
          <w:color w:val="auto"/>
          <w:sz w:val="24"/>
          <w:highlight w:val="none"/>
        </w:rPr>
        <w:t>委托代理人：</w:t>
      </w:r>
      <w:r>
        <w:rPr>
          <w:rFonts w:hint="eastAsia" w:ascii="宋体" w:hAnsi="宋体"/>
          <w:color w:val="auto"/>
          <w:sz w:val="24"/>
          <w:highlight w:val="none"/>
          <w:u w:val="single"/>
        </w:rPr>
        <w:t xml:space="preserve">                       </w:t>
      </w:r>
      <w:r>
        <w:rPr>
          <w:rFonts w:hint="eastAsia" w:ascii="宋体" w:hAnsi="宋体"/>
          <w:color w:val="auto"/>
          <w:sz w:val="24"/>
          <w:highlight w:val="none"/>
        </w:rPr>
        <w:t>（签字）</w:t>
      </w:r>
    </w:p>
    <w:p w14:paraId="4B6C830A">
      <w:pPr>
        <w:spacing w:line="720" w:lineRule="auto"/>
        <w:ind w:firstLine="3480" w:firstLineChars="1450"/>
        <w:rPr>
          <w:rFonts w:ascii="宋体" w:hAnsi="宋体"/>
          <w:color w:val="auto"/>
          <w:sz w:val="24"/>
          <w:highlight w:val="none"/>
        </w:rPr>
      </w:pPr>
      <w:r>
        <w:rPr>
          <w:rFonts w:hint="eastAsia" w:ascii="宋体" w:hAnsi="宋体"/>
          <w:color w:val="auto"/>
          <w:sz w:val="24"/>
          <w:highlight w:val="none"/>
        </w:rPr>
        <w:t>身份证号码：</w:t>
      </w:r>
      <w:r>
        <w:rPr>
          <w:rFonts w:hint="eastAsia" w:ascii="宋体" w:hAnsi="宋体"/>
          <w:color w:val="auto"/>
          <w:sz w:val="24"/>
          <w:highlight w:val="none"/>
          <w:u w:val="single"/>
        </w:rPr>
        <w:t xml:space="preserve">                             </w:t>
      </w:r>
    </w:p>
    <w:p w14:paraId="1CEBF113">
      <w:pPr>
        <w:spacing w:line="720" w:lineRule="auto"/>
        <w:ind w:firstLine="5040" w:firstLineChars="2100"/>
        <w:rPr>
          <w:rFonts w:ascii="宋体" w:hAnsi="宋体"/>
          <w:color w:val="auto"/>
          <w:sz w:val="24"/>
          <w:highlight w:val="none"/>
        </w:rPr>
      </w:pPr>
      <w:r>
        <w:rPr>
          <w:rFonts w:hint="eastAsia"/>
          <w:color w:val="auto"/>
          <w:sz w:val="24"/>
          <w:highlight w:val="none"/>
          <w:u w:val="single"/>
        </w:rPr>
        <w:t xml:space="preserve">      </w:t>
      </w:r>
      <w:r>
        <w:rPr>
          <w:rFonts w:hint="eastAsia"/>
          <w:color w:val="auto"/>
          <w:sz w:val="24"/>
          <w:highlight w:val="none"/>
        </w:rPr>
        <w:t>年</w:t>
      </w:r>
      <w:r>
        <w:rPr>
          <w:rFonts w:hint="eastAsia"/>
          <w:color w:val="auto"/>
          <w:sz w:val="24"/>
          <w:highlight w:val="none"/>
          <w:u w:val="single"/>
        </w:rPr>
        <w:t xml:space="preserve">    </w:t>
      </w:r>
      <w:r>
        <w:rPr>
          <w:rFonts w:hint="eastAsia"/>
          <w:color w:val="auto"/>
          <w:sz w:val="24"/>
          <w:highlight w:val="none"/>
        </w:rPr>
        <w:t>月</w:t>
      </w:r>
      <w:r>
        <w:rPr>
          <w:rFonts w:hint="eastAsia"/>
          <w:color w:val="auto"/>
          <w:sz w:val="24"/>
          <w:highlight w:val="none"/>
          <w:u w:val="single"/>
        </w:rPr>
        <w:t xml:space="preserve">    </w:t>
      </w:r>
      <w:r>
        <w:rPr>
          <w:rFonts w:hint="eastAsia"/>
          <w:color w:val="auto"/>
          <w:sz w:val="24"/>
          <w:highlight w:val="none"/>
        </w:rPr>
        <w:t>日</w:t>
      </w:r>
    </w:p>
    <w:p w14:paraId="228C2299">
      <w:pPr>
        <w:pStyle w:val="10"/>
        <w:tabs>
          <w:tab w:val="left" w:leader="dot" w:pos="480"/>
        </w:tabs>
        <w:rPr>
          <w:bCs/>
          <w:color w:val="auto"/>
          <w:highlight w:val="none"/>
        </w:rPr>
      </w:pPr>
    </w:p>
    <w:p w14:paraId="75180000">
      <w:pPr>
        <w:rPr>
          <w:bCs/>
          <w:color w:val="auto"/>
          <w:highlight w:val="none"/>
        </w:rPr>
      </w:pPr>
      <w:r>
        <w:rPr>
          <w:bCs/>
          <w:color w:val="auto"/>
          <w:highlight w:val="none"/>
        </w:rPr>
        <w:br w:type="page"/>
      </w:r>
    </w:p>
    <w:p w14:paraId="34C4F796">
      <w:pPr>
        <w:snapToGrid w:val="0"/>
        <w:spacing w:line="360" w:lineRule="auto"/>
        <w:jc w:val="center"/>
        <w:outlineLvl w:val="1"/>
        <w:rPr>
          <w:rFonts w:ascii="黑体" w:hAnsi="黑体" w:eastAsia="黑体" w:cs="黑体"/>
          <w:color w:val="auto"/>
          <w:sz w:val="36"/>
          <w:szCs w:val="36"/>
          <w:highlight w:val="none"/>
        </w:rPr>
      </w:pPr>
      <w:bookmarkStart w:id="40" w:name="_Toc8009"/>
      <w:bookmarkStart w:id="41" w:name="_Toc1684"/>
      <w:r>
        <w:rPr>
          <w:rFonts w:hint="eastAsia" w:ascii="黑体" w:hAnsi="黑体" w:eastAsia="黑体" w:cs="黑体"/>
          <w:color w:val="auto"/>
          <w:sz w:val="36"/>
          <w:szCs w:val="36"/>
          <w:highlight w:val="none"/>
        </w:rPr>
        <w:t>三、报价清单</w:t>
      </w:r>
      <w:bookmarkEnd w:id="40"/>
      <w:bookmarkEnd w:id="41"/>
    </w:p>
    <w:p w14:paraId="035B0B70">
      <w:pPr>
        <w:jc w:val="center"/>
        <w:outlineLvl w:val="2"/>
        <w:rPr>
          <w:rFonts w:ascii="黑体" w:hAnsi="宋体" w:eastAsia="方正小标宋简体"/>
          <w:color w:val="auto"/>
          <w:sz w:val="24"/>
          <w:highlight w:val="none"/>
        </w:rPr>
      </w:pPr>
      <w:bookmarkStart w:id="42" w:name="_Toc32344"/>
      <w:bookmarkStart w:id="43" w:name="_Toc10738"/>
      <w:r>
        <w:rPr>
          <w:rFonts w:hint="eastAsia" w:ascii="宋体" w:hAnsi="宋体" w:cs="宋体"/>
          <w:b/>
          <w:color w:val="auto"/>
          <w:sz w:val="32"/>
          <w:szCs w:val="32"/>
          <w:highlight w:val="none"/>
        </w:rPr>
        <w:t>（一）报价文件说明</w:t>
      </w:r>
      <w:bookmarkEnd w:id="42"/>
      <w:bookmarkEnd w:id="43"/>
    </w:p>
    <w:p w14:paraId="56D28846">
      <w:pPr>
        <w:rPr>
          <w:rFonts w:ascii="黑体" w:hAnsi="宋体" w:eastAsia="黑体"/>
          <w:color w:val="auto"/>
          <w:sz w:val="24"/>
          <w:highlight w:val="none"/>
        </w:rPr>
      </w:pPr>
    </w:p>
    <w:p w14:paraId="65C2D54C">
      <w:pPr>
        <w:spacing w:line="400" w:lineRule="exact"/>
        <w:ind w:firstLine="480" w:firstLineChars="200"/>
        <w:rPr>
          <w:rFonts w:ascii="宋体" w:hAnsi="宋体"/>
          <w:color w:val="auto"/>
          <w:sz w:val="24"/>
          <w:highlight w:val="none"/>
        </w:rPr>
      </w:pPr>
      <w:r>
        <w:rPr>
          <w:rFonts w:hint="eastAsia" w:ascii="宋体" w:hAnsi="宋体"/>
          <w:color w:val="auto"/>
          <w:sz w:val="24"/>
          <w:highlight w:val="none"/>
        </w:rPr>
        <w:t>1.“报价清单”应与“供应商须知”“采购内容及要求”“合同条款”等一起使用。</w:t>
      </w:r>
    </w:p>
    <w:p w14:paraId="7E7DA5B7">
      <w:pPr>
        <w:spacing w:line="400" w:lineRule="exact"/>
        <w:ind w:firstLine="480" w:firstLineChars="200"/>
        <w:rPr>
          <w:rFonts w:ascii="宋体" w:hAnsi="宋体"/>
          <w:color w:val="auto"/>
          <w:sz w:val="24"/>
          <w:highlight w:val="none"/>
        </w:rPr>
      </w:pPr>
      <w:r>
        <w:rPr>
          <w:rFonts w:hint="eastAsia" w:ascii="宋体" w:hAnsi="宋体"/>
          <w:color w:val="auto"/>
          <w:sz w:val="24"/>
          <w:highlight w:val="none"/>
        </w:rPr>
        <w:t>2.本次采购采用总价包干，报价为完成本项目全过程的所有费用，包含但不限于从前期踏勘、资料收集、</w:t>
      </w:r>
      <w:r>
        <w:rPr>
          <w:rFonts w:hint="eastAsia" w:ascii="宋体" w:hAnsi="宋体"/>
          <w:color w:val="auto"/>
          <w:sz w:val="24"/>
          <w:highlight w:val="none"/>
          <w:lang w:eastAsia="zh-CN"/>
        </w:rPr>
        <w:t>水上水下施工许可证办理费用、</w:t>
      </w:r>
      <w:r>
        <w:rPr>
          <w:rFonts w:hint="eastAsia" w:ascii="宋体" w:hAnsi="宋体"/>
          <w:color w:val="auto"/>
          <w:sz w:val="24"/>
          <w:highlight w:val="none"/>
        </w:rPr>
        <w:t>现场管理费、会议、</w:t>
      </w:r>
      <w:r>
        <w:rPr>
          <w:rFonts w:hint="eastAsia" w:ascii="宋体" w:hAnsi="宋体"/>
          <w:color w:val="auto"/>
          <w:sz w:val="24"/>
          <w:highlight w:val="none"/>
          <w:lang w:eastAsia="zh-CN"/>
        </w:rPr>
        <w:t>专家咨询费、</w:t>
      </w:r>
      <w:r>
        <w:rPr>
          <w:rFonts w:hint="eastAsia" w:ascii="宋体" w:hAnsi="宋体"/>
          <w:color w:val="auto"/>
          <w:sz w:val="24"/>
          <w:highlight w:val="none"/>
        </w:rPr>
        <w:t>调研差旅费、管理费、文印费、设备耗材费、税费及合同包含的所有风险、责任及措施等费用，包含为完成钦州港公共水域浅点整治研究的全部工作以及可能发生的各种费用。本项目合同总价在合同执行过程中是固定的，不因情况变化而调整。</w:t>
      </w:r>
    </w:p>
    <w:p w14:paraId="354B46E8">
      <w:pPr>
        <w:spacing w:line="400" w:lineRule="exact"/>
        <w:ind w:firstLine="480" w:firstLineChars="200"/>
        <w:rPr>
          <w:rFonts w:ascii="宋体" w:hAnsi="宋体"/>
          <w:color w:val="auto"/>
          <w:sz w:val="24"/>
          <w:highlight w:val="none"/>
        </w:rPr>
      </w:pPr>
      <w:r>
        <w:rPr>
          <w:rFonts w:hint="eastAsia" w:ascii="宋体" w:hAnsi="宋体"/>
          <w:color w:val="auto"/>
          <w:sz w:val="24"/>
          <w:highlight w:val="none"/>
        </w:rPr>
        <w:t>3.竞标报价为一次报价，此次报价即最终报价，不再就价格问题另行协商。</w:t>
      </w:r>
    </w:p>
    <w:p w14:paraId="23EBFBA3">
      <w:pPr>
        <w:spacing w:line="400" w:lineRule="exact"/>
        <w:ind w:firstLine="480" w:firstLineChars="200"/>
        <w:rPr>
          <w:rFonts w:ascii="宋体" w:hAnsi="宋体"/>
          <w:color w:val="auto"/>
          <w:sz w:val="24"/>
          <w:highlight w:val="none"/>
        </w:rPr>
      </w:pPr>
      <w:r>
        <w:rPr>
          <w:rFonts w:hint="eastAsia" w:ascii="宋体" w:hAnsi="宋体"/>
          <w:color w:val="auto"/>
          <w:sz w:val="24"/>
          <w:highlight w:val="none"/>
        </w:rPr>
        <w:t>4.“报价清单”中报价应以人民币为单位。</w:t>
      </w:r>
    </w:p>
    <w:p w14:paraId="2F216F63">
      <w:pPr>
        <w:spacing w:line="400" w:lineRule="exact"/>
        <w:ind w:firstLine="480" w:firstLineChars="200"/>
        <w:rPr>
          <w:rFonts w:ascii="宋体" w:hAnsi="宋体"/>
          <w:color w:val="auto"/>
          <w:sz w:val="24"/>
          <w:highlight w:val="none"/>
        </w:rPr>
      </w:pPr>
      <w:r>
        <w:rPr>
          <w:rFonts w:hint="eastAsia" w:ascii="宋体" w:hAnsi="宋体"/>
          <w:color w:val="auto"/>
          <w:sz w:val="24"/>
          <w:highlight w:val="none"/>
        </w:rPr>
        <w:t>5.报价应为含税价格，并且能够提供增值税发票。</w:t>
      </w:r>
    </w:p>
    <w:p w14:paraId="30BAF445">
      <w:pPr>
        <w:spacing w:line="400" w:lineRule="exact"/>
        <w:ind w:firstLine="480" w:firstLineChars="200"/>
        <w:rPr>
          <w:rFonts w:ascii="宋体" w:hAnsi="宋体"/>
          <w:color w:val="auto"/>
          <w:sz w:val="24"/>
          <w:highlight w:val="none"/>
        </w:rPr>
      </w:pPr>
      <w:r>
        <w:rPr>
          <w:rFonts w:hint="eastAsia" w:ascii="宋体" w:hAnsi="宋体"/>
          <w:color w:val="auto"/>
          <w:sz w:val="24"/>
          <w:highlight w:val="none"/>
        </w:rPr>
        <w:t>6.供应商应在“报价清单”后附计算说明，包括计算方法、取费依据等，以便采购人对供应商报价的合理性作出判断。</w:t>
      </w:r>
    </w:p>
    <w:p w14:paraId="0F39C39A">
      <w:pPr>
        <w:rPr>
          <w:b/>
          <w:bCs/>
          <w:color w:val="auto"/>
          <w:sz w:val="24"/>
          <w:highlight w:val="none"/>
        </w:rPr>
      </w:pPr>
      <w:r>
        <w:rPr>
          <w:rFonts w:hint="eastAsia"/>
          <w:b/>
          <w:bCs/>
          <w:color w:val="auto"/>
          <w:sz w:val="24"/>
          <w:highlight w:val="none"/>
        </w:rPr>
        <w:br w:type="page"/>
      </w:r>
    </w:p>
    <w:p w14:paraId="361197D4">
      <w:pPr>
        <w:pStyle w:val="10"/>
        <w:jc w:val="center"/>
        <w:rPr>
          <w:b/>
          <w:bCs/>
          <w:color w:val="auto"/>
          <w:sz w:val="24"/>
          <w:highlight w:val="none"/>
        </w:rPr>
      </w:pPr>
    </w:p>
    <w:p w14:paraId="5BFA7249">
      <w:pPr>
        <w:pStyle w:val="10"/>
        <w:jc w:val="center"/>
        <w:rPr>
          <w:b/>
          <w:bCs/>
          <w:color w:val="auto"/>
          <w:sz w:val="24"/>
          <w:highlight w:val="none"/>
        </w:rPr>
      </w:pPr>
    </w:p>
    <w:p w14:paraId="31FF454B">
      <w:pPr>
        <w:pStyle w:val="10"/>
        <w:jc w:val="center"/>
        <w:outlineLvl w:val="2"/>
        <w:rPr>
          <w:b/>
          <w:bCs/>
          <w:color w:val="auto"/>
          <w:sz w:val="32"/>
          <w:szCs w:val="32"/>
          <w:highlight w:val="none"/>
        </w:rPr>
      </w:pPr>
      <w:bookmarkStart w:id="44" w:name="_Toc1367"/>
      <w:bookmarkStart w:id="45" w:name="_Toc2327"/>
      <w:r>
        <w:rPr>
          <w:rFonts w:hint="eastAsia"/>
          <w:b/>
          <w:bCs/>
          <w:color w:val="auto"/>
          <w:sz w:val="32"/>
          <w:szCs w:val="32"/>
          <w:highlight w:val="none"/>
        </w:rPr>
        <w:t>（二）竞标报价表</w:t>
      </w:r>
      <w:bookmarkEnd w:id="44"/>
      <w:bookmarkEnd w:id="45"/>
    </w:p>
    <w:p w14:paraId="291221DE">
      <w:pPr>
        <w:pStyle w:val="10"/>
        <w:rPr>
          <w:color w:val="auto"/>
          <w:highlight w:val="none"/>
        </w:rPr>
      </w:pPr>
    </w:p>
    <w:p w14:paraId="37AA1066">
      <w:pPr>
        <w:spacing w:line="520" w:lineRule="exact"/>
        <w:jc w:val="center"/>
        <w:rPr>
          <w:rFonts w:ascii="黑体" w:hAnsi="黑体" w:eastAsia="黑体" w:cs="黑体"/>
          <w:b/>
          <w:color w:val="auto"/>
          <w:sz w:val="32"/>
          <w:szCs w:val="32"/>
          <w:highlight w:val="none"/>
        </w:rPr>
      </w:pPr>
      <w:r>
        <w:rPr>
          <w:rFonts w:hint="eastAsia" w:ascii="黑体" w:hAnsi="黑体" w:eastAsia="黑体" w:cs="黑体"/>
          <w:b/>
          <w:color w:val="auto"/>
          <w:sz w:val="44"/>
          <w:szCs w:val="44"/>
          <w:highlight w:val="none"/>
        </w:rPr>
        <w:t>竞标报价表</w:t>
      </w:r>
    </w:p>
    <w:p w14:paraId="1243EF3A">
      <w:pPr>
        <w:spacing w:line="440" w:lineRule="exact"/>
        <w:jc w:val="center"/>
        <w:rPr>
          <w:rFonts w:ascii="方正小标宋简体" w:hAnsi="方正小标宋简体" w:eastAsia="方正小标宋简体" w:cs="方正小标宋简体"/>
          <w:bCs/>
          <w:color w:val="auto"/>
          <w:sz w:val="32"/>
          <w:szCs w:val="32"/>
          <w:highlight w:val="none"/>
        </w:rPr>
      </w:pPr>
    </w:p>
    <w:p w14:paraId="533D3333">
      <w:pPr>
        <w:spacing w:line="360" w:lineRule="auto"/>
        <w:contextualSpacing/>
        <w:rPr>
          <w:rFonts w:ascii="宋体" w:hAnsi="宋体" w:cs="仿宋_GB2312"/>
          <w:color w:val="auto"/>
          <w:sz w:val="24"/>
          <w:highlight w:val="none"/>
        </w:rPr>
      </w:pPr>
      <w:r>
        <w:rPr>
          <w:rFonts w:hint="eastAsia" w:ascii="宋体" w:hAnsi="宋体" w:cs="仿宋_GB2312"/>
          <w:color w:val="auto"/>
          <w:sz w:val="24"/>
          <w:highlight w:val="none"/>
        </w:rPr>
        <w:t>采购项目名称：</w:t>
      </w:r>
      <w:r>
        <w:rPr>
          <w:rFonts w:hint="eastAsia" w:ascii="宋体" w:hAnsi="宋体" w:cs="仿宋_GB2312"/>
          <w:color w:val="auto"/>
          <w:sz w:val="24"/>
          <w:highlight w:val="none"/>
          <w:u w:val="single"/>
        </w:rPr>
        <w:t xml:space="preserve"> 钦州港公共水域浅点整治研究</w:t>
      </w:r>
    </w:p>
    <w:p w14:paraId="6DE20F08">
      <w:pPr>
        <w:spacing w:line="360" w:lineRule="auto"/>
        <w:contextualSpacing/>
        <w:rPr>
          <w:rFonts w:ascii="宋体" w:hAnsi="宋体" w:cs="仿宋_GB2312"/>
          <w:color w:val="auto"/>
          <w:sz w:val="24"/>
          <w:highlight w:val="none"/>
        </w:rPr>
      </w:pPr>
      <w:r>
        <w:rPr>
          <w:rFonts w:hint="eastAsia" w:ascii="宋体" w:hAnsi="宋体" w:cs="仿宋_GB2312"/>
          <w:color w:val="auto"/>
          <w:sz w:val="24"/>
          <w:highlight w:val="none"/>
        </w:rPr>
        <w:t xml:space="preserve">                                                       单位：人民币元</w:t>
      </w:r>
    </w:p>
    <w:tbl>
      <w:tblPr>
        <w:tblStyle w:val="25"/>
        <w:tblW w:w="4997" w:type="pct"/>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3311"/>
        <w:gridCol w:w="750"/>
        <w:gridCol w:w="757"/>
        <w:gridCol w:w="1970"/>
        <w:gridCol w:w="1444"/>
      </w:tblGrid>
      <w:tr w14:paraId="756F0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7" w:hRule="atLeast"/>
          <w:jc w:val="right"/>
        </w:trPr>
        <w:tc>
          <w:tcPr>
            <w:tcW w:w="397" w:type="pct"/>
            <w:tcBorders>
              <w:top w:val="single" w:color="auto" w:sz="4" w:space="0"/>
              <w:left w:val="single" w:color="auto" w:sz="4" w:space="0"/>
              <w:bottom w:val="single" w:color="auto" w:sz="4" w:space="0"/>
              <w:right w:val="single" w:color="auto" w:sz="4" w:space="0"/>
            </w:tcBorders>
            <w:vAlign w:val="center"/>
          </w:tcPr>
          <w:p w14:paraId="14678824">
            <w:pPr>
              <w:contextualSpacing/>
              <w:jc w:val="center"/>
              <w:rPr>
                <w:rFonts w:ascii="宋体" w:hAnsi="宋体" w:cs="仿宋_GB2312"/>
                <w:color w:val="auto"/>
                <w:sz w:val="24"/>
                <w:highlight w:val="none"/>
              </w:rPr>
            </w:pPr>
            <w:r>
              <w:rPr>
                <w:rFonts w:ascii="宋体" w:hAnsi="宋体" w:cs="仿宋_GB2312"/>
                <w:color w:val="auto"/>
                <w:sz w:val="24"/>
                <w:highlight w:val="none"/>
              </w:rPr>
              <w:t>序号</w:t>
            </w:r>
          </w:p>
        </w:tc>
        <w:tc>
          <w:tcPr>
            <w:tcW w:w="1851" w:type="pct"/>
            <w:tcBorders>
              <w:top w:val="single" w:color="auto" w:sz="4" w:space="0"/>
              <w:left w:val="single" w:color="auto" w:sz="4" w:space="0"/>
              <w:bottom w:val="single" w:color="auto" w:sz="4" w:space="0"/>
              <w:right w:val="single" w:color="auto" w:sz="4" w:space="0"/>
            </w:tcBorders>
            <w:vAlign w:val="center"/>
          </w:tcPr>
          <w:p w14:paraId="62DE85A6">
            <w:pPr>
              <w:contextualSpacing/>
              <w:jc w:val="center"/>
              <w:rPr>
                <w:rFonts w:ascii="宋体" w:hAnsi="宋体" w:cs="仿宋_GB2312"/>
                <w:color w:val="auto"/>
                <w:sz w:val="24"/>
                <w:highlight w:val="none"/>
              </w:rPr>
            </w:pPr>
            <w:r>
              <w:rPr>
                <w:rFonts w:ascii="宋体" w:hAnsi="宋体" w:cs="仿宋_GB2312"/>
                <w:color w:val="auto"/>
                <w:sz w:val="24"/>
                <w:highlight w:val="none"/>
              </w:rPr>
              <w:t>服务名称</w:t>
            </w:r>
          </w:p>
        </w:tc>
        <w:tc>
          <w:tcPr>
            <w:tcW w:w="419" w:type="pct"/>
            <w:tcBorders>
              <w:top w:val="single" w:color="auto" w:sz="4" w:space="0"/>
              <w:left w:val="single" w:color="auto" w:sz="4" w:space="0"/>
              <w:bottom w:val="single" w:color="auto" w:sz="4" w:space="0"/>
              <w:right w:val="single" w:color="auto" w:sz="4" w:space="0"/>
            </w:tcBorders>
            <w:vAlign w:val="center"/>
          </w:tcPr>
          <w:p w14:paraId="0DBA1078">
            <w:pPr>
              <w:contextualSpacing/>
              <w:jc w:val="center"/>
              <w:rPr>
                <w:rFonts w:ascii="宋体" w:hAnsi="宋体" w:cs="仿宋_GB2312"/>
                <w:color w:val="auto"/>
                <w:sz w:val="24"/>
                <w:highlight w:val="none"/>
              </w:rPr>
            </w:pPr>
            <w:r>
              <w:rPr>
                <w:rFonts w:hint="eastAsia" w:ascii="宋体" w:hAnsi="宋体" w:cs="仿宋_GB2312"/>
                <w:color w:val="auto"/>
                <w:sz w:val="24"/>
                <w:highlight w:val="none"/>
              </w:rPr>
              <w:t>数量</w:t>
            </w:r>
          </w:p>
        </w:tc>
        <w:tc>
          <w:tcPr>
            <w:tcW w:w="422" w:type="pct"/>
            <w:tcBorders>
              <w:top w:val="single" w:color="auto" w:sz="4" w:space="0"/>
              <w:left w:val="single" w:color="auto" w:sz="4" w:space="0"/>
              <w:bottom w:val="single" w:color="auto" w:sz="4" w:space="0"/>
              <w:right w:val="single" w:color="auto" w:sz="4" w:space="0"/>
            </w:tcBorders>
            <w:vAlign w:val="center"/>
          </w:tcPr>
          <w:p w14:paraId="361672EF">
            <w:pPr>
              <w:contextualSpacing/>
              <w:jc w:val="center"/>
              <w:rPr>
                <w:rFonts w:ascii="宋体" w:hAnsi="宋体" w:cs="仿宋_GB2312"/>
                <w:color w:val="auto"/>
                <w:sz w:val="24"/>
                <w:highlight w:val="none"/>
              </w:rPr>
            </w:pPr>
            <w:r>
              <w:rPr>
                <w:rFonts w:hint="eastAsia" w:ascii="宋体" w:hAnsi="宋体" w:cs="仿宋_GB2312"/>
                <w:color w:val="auto"/>
                <w:sz w:val="24"/>
                <w:highlight w:val="none"/>
              </w:rPr>
              <w:t>单位</w:t>
            </w:r>
          </w:p>
        </w:tc>
        <w:tc>
          <w:tcPr>
            <w:tcW w:w="1101" w:type="pct"/>
            <w:tcBorders>
              <w:top w:val="single" w:color="auto" w:sz="4" w:space="0"/>
              <w:left w:val="single" w:color="auto" w:sz="4" w:space="0"/>
              <w:bottom w:val="single" w:color="auto" w:sz="4" w:space="0"/>
              <w:right w:val="single" w:color="auto" w:sz="4" w:space="0"/>
            </w:tcBorders>
            <w:vAlign w:val="center"/>
          </w:tcPr>
          <w:p w14:paraId="1643FC2A">
            <w:pPr>
              <w:contextualSpacing/>
              <w:jc w:val="center"/>
              <w:rPr>
                <w:rFonts w:ascii="宋体" w:hAnsi="宋体" w:cs="仿宋_GB2312"/>
                <w:color w:val="auto"/>
                <w:sz w:val="24"/>
                <w:highlight w:val="none"/>
              </w:rPr>
            </w:pPr>
            <w:r>
              <w:rPr>
                <w:rFonts w:hint="eastAsia" w:ascii="宋体" w:hAnsi="宋体" w:cs="仿宋_GB2312"/>
                <w:color w:val="auto"/>
                <w:sz w:val="24"/>
                <w:highlight w:val="none"/>
              </w:rPr>
              <w:t>金额</w:t>
            </w:r>
          </w:p>
        </w:tc>
        <w:tc>
          <w:tcPr>
            <w:tcW w:w="807" w:type="pct"/>
            <w:tcBorders>
              <w:top w:val="single" w:color="auto" w:sz="4" w:space="0"/>
              <w:left w:val="single" w:color="auto" w:sz="4" w:space="0"/>
              <w:bottom w:val="single" w:color="auto" w:sz="4" w:space="0"/>
              <w:right w:val="single" w:color="auto" w:sz="4" w:space="0"/>
            </w:tcBorders>
            <w:vAlign w:val="center"/>
          </w:tcPr>
          <w:p w14:paraId="492D99B8">
            <w:pPr>
              <w:contextualSpacing/>
              <w:jc w:val="center"/>
              <w:rPr>
                <w:rFonts w:ascii="宋体" w:hAnsi="宋体" w:cs="仿宋_GB2312"/>
                <w:color w:val="auto"/>
                <w:sz w:val="24"/>
                <w:highlight w:val="none"/>
              </w:rPr>
            </w:pPr>
            <w:r>
              <w:rPr>
                <w:rFonts w:ascii="宋体" w:hAnsi="宋体" w:cs="仿宋_GB2312"/>
                <w:color w:val="auto"/>
                <w:sz w:val="24"/>
                <w:highlight w:val="none"/>
              </w:rPr>
              <w:t>备注</w:t>
            </w:r>
          </w:p>
        </w:tc>
      </w:tr>
      <w:tr w14:paraId="31136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4" w:hRule="atLeast"/>
          <w:jc w:val="right"/>
        </w:trPr>
        <w:tc>
          <w:tcPr>
            <w:tcW w:w="397" w:type="pct"/>
            <w:tcBorders>
              <w:top w:val="single" w:color="auto" w:sz="4" w:space="0"/>
              <w:left w:val="single" w:color="auto" w:sz="4" w:space="0"/>
              <w:bottom w:val="single" w:color="auto" w:sz="4" w:space="0"/>
              <w:right w:val="single" w:color="auto" w:sz="4" w:space="0"/>
            </w:tcBorders>
            <w:vAlign w:val="center"/>
          </w:tcPr>
          <w:p w14:paraId="3F4A009E">
            <w:pPr>
              <w:adjustRightInd w:val="0"/>
              <w:snapToGrid w:val="0"/>
              <w:contextualSpacing/>
              <w:jc w:val="center"/>
              <w:rPr>
                <w:rFonts w:ascii="宋体" w:hAnsi="宋体" w:cs="仿宋_GB2312"/>
                <w:color w:val="auto"/>
                <w:sz w:val="24"/>
                <w:highlight w:val="none"/>
              </w:rPr>
            </w:pPr>
            <w:r>
              <w:rPr>
                <w:rFonts w:ascii="宋体" w:hAnsi="宋体" w:cs="仿宋_GB2312"/>
                <w:color w:val="auto"/>
                <w:sz w:val="24"/>
                <w:highlight w:val="none"/>
              </w:rPr>
              <w:t>1</w:t>
            </w:r>
          </w:p>
        </w:tc>
        <w:tc>
          <w:tcPr>
            <w:tcW w:w="1851" w:type="pct"/>
            <w:tcBorders>
              <w:top w:val="single" w:color="auto" w:sz="4" w:space="0"/>
              <w:left w:val="single" w:color="auto" w:sz="4" w:space="0"/>
              <w:bottom w:val="single" w:color="auto" w:sz="4" w:space="0"/>
              <w:right w:val="single" w:color="auto" w:sz="4" w:space="0"/>
            </w:tcBorders>
            <w:vAlign w:val="center"/>
          </w:tcPr>
          <w:p w14:paraId="150679E7">
            <w:pPr>
              <w:adjustRightInd w:val="0"/>
              <w:snapToGrid w:val="0"/>
              <w:jc w:val="left"/>
              <w:rPr>
                <w:rFonts w:ascii="宋体" w:hAnsi="宋体" w:cs="仿宋_GB2312"/>
                <w:color w:val="auto"/>
                <w:sz w:val="24"/>
                <w:highlight w:val="none"/>
              </w:rPr>
            </w:pPr>
            <w:r>
              <w:rPr>
                <w:rFonts w:hint="eastAsia" w:ascii="宋体" w:hAnsi="宋体" w:cs="仿宋_GB2312"/>
                <w:color w:val="auto"/>
                <w:sz w:val="24"/>
                <w:highlight w:val="none"/>
              </w:rPr>
              <w:t>钦州港公共水域浅点整治研究</w:t>
            </w:r>
          </w:p>
        </w:tc>
        <w:tc>
          <w:tcPr>
            <w:tcW w:w="419" w:type="pct"/>
            <w:tcBorders>
              <w:top w:val="single" w:color="auto" w:sz="4" w:space="0"/>
              <w:left w:val="single" w:color="auto" w:sz="4" w:space="0"/>
              <w:bottom w:val="single" w:color="auto" w:sz="4" w:space="0"/>
              <w:right w:val="single" w:color="auto" w:sz="4" w:space="0"/>
            </w:tcBorders>
            <w:vAlign w:val="center"/>
          </w:tcPr>
          <w:p w14:paraId="347F57DA">
            <w:pPr>
              <w:adjustRightInd w:val="0"/>
              <w:snapToGrid w:val="0"/>
              <w:contextualSpacing/>
              <w:jc w:val="center"/>
              <w:rPr>
                <w:rFonts w:ascii="宋体" w:hAnsi="宋体" w:cs="仿宋_GB2312"/>
                <w:color w:val="auto"/>
                <w:sz w:val="24"/>
                <w:highlight w:val="none"/>
              </w:rPr>
            </w:pPr>
            <w:r>
              <w:rPr>
                <w:rFonts w:hint="eastAsia" w:ascii="宋体" w:hAnsi="宋体" w:cs="仿宋_GB2312"/>
                <w:color w:val="auto"/>
                <w:sz w:val="24"/>
                <w:highlight w:val="none"/>
              </w:rPr>
              <w:t>1</w:t>
            </w:r>
          </w:p>
        </w:tc>
        <w:tc>
          <w:tcPr>
            <w:tcW w:w="422" w:type="pct"/>
            <w:tcBorders>
              <w:top w:val="single" w:color="auto" w:sz="4" w:space="0"/>
              <w:left w:val="single" w:color="auto" w:sz="4" w:space="0"/>
              <w:bottom w:val="single" w:color="auto" w:sz="4" w:space="0"/>
              <w:right w:val="single" w:color="auto" w:sz="4" w:space="0"/>
            </w:tcBorders>
            <w:vAlign w:val="center"/>
          </w:tcPr>
          <w:p w14:paraId="145A243C">
            <w:pPr>
              <w:adjustRightInd w:val="0"/>
              <w:snapToGrid w:val="0"/>
              <w:contextualSpacing/>
              <w:jc w:val="center"/>
              <w:rPr>
                <w:rFonts w:ascii="宋体" w:hAnsi="宋体" w:cs="仿宋_GB2312"/>
                <w:color w:val="auto"/>
                <w:sz w:val="24"/>
                <w:highlight w:val="none"/>
              </w:rPr>
            </w:pPr>
            <w:r>
              <w:rPr>
                <w:rFonts w:hint="eastAsia" w:ascii="宋体" w:hAnsi="宋体" w:cs="仿宋_GB2312"/>
                <w:color w:val="auto"/>
                <w:sz w:val="24"/>
                <w:highlight w:val="none"/>
              </w:rPr>
              <w:t>项</w:t>
            </w:r>
          </w:p>
        </w:tc>
        <w:tc>
          <w:tcPr>
            <w:tcW w:w="1101" w:type="pct"/>
            <w:tcBorders>
              <w:top w:val="single" w:color="auto" w:sz="4" w:space="0"/>
              <w:left w:val="single" w:color="auto" w:sz="4" w:space="0"/>
              <w:bottom w:val="single" w:color="auto" w:sz="4" w:space="0"/>
              <w:right w:val="single" w:color="auto" w:sz="4" w:space="0"/>
            </w:tcBorders>
            <w:vAlign w:val="center"/>
          </w:tcPr>
          <w:p w14:paraId="612CC3B3">
            <w:pPr>
              <w:adjustRightInd w:val="0"/>
              <w:snapToGrid w:val="0"/>
              <w:contextualSpacing/>
              <w:jc w:val="center"/>
              <w:rPr>
                <w:rFonts w:ascii="宋体" w:hAnsi="宋体" w:cs="仿宋_GB2312"/>
                <w:color w:val="auto"/>
                <w:sz w:val="24"/>
                <w:highlight w:val="none"/>
              </w:rPr>
            </w:pPr>
          </w:p>
        </w:tc>
        <w:tc>
          <w:tcPr>
            <w:tcW w:w="807" w:type="pct"/>
            <w:tcBorders>
              <w:top w:val="single" w:color="auto" w:sz="4" w:space="0"/>
              <w:left w:val="single" w:color="auto" w:sz="4" w:space="0"/>
              <w:bottom w:val="single" w:color="auto" w:sz="4" w:space="0"/>
              <w:right w:val="single" w:color="auto" w:sz="4" w:space="0"/>
            </w:tcBorders>
            <w:vAlign w:val="center"/>
          </w:tcPr>
          <w:p w14:paraId="0D5C82D2">
            <w:pPr>
              <w:adjustRightInd w:val="0"/>
              <w:snapToGrid w:val="0"/>
              <w:contextualSpacing/>
              <w:jc w:val="center"/>
              <w:rPr>
                <w:rFonts w:ascii="宋体" w:hAnsi="宋体" w:cs="仿宋_GB2312"/>
                <w:color w:val="auto"/>
                <w:sz w:val="24"/>
                <w:highlight w:val="none"/>
              </w:rPr>
            </w:pPr>
          </w:p>
        </w:tc>
      </w:tr>
      <w:tr w14:paraId="49967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right"/>
        </w:trPr>
        <w:tc>
          <w:tcPr>
            <w:tcW w:w="397" w:type="pct"/>
            <w:tcBorders>
              <w:top w:val="single" w:color="auto" w:sz="4" w:space="0"/>
              <w:left w:val="single" w:color="auto" w:sz="4" w:space="0"/>
              <w:bottom w:val="single" w:color="auto" w:sz="4" w:space="0"/>
              <w:right w:val="single" w:color="auto" w:sz="4" w:space="0"/>
            </w:tcBorders>
            <w:vAlign w:val="center"/>
          </w:tcPr>
          <w:p w14:paraId="519B31B5">
            <w:pPr>
              <w:adjustRightInd w:val="0"/>
              <w:snapToGrid w:val="0"/>
              <w:contextualSpacing/>
              <w:jc w:val="center"/>
              <w:rPr>
                <w:rFonts w:ascii="宋体" w:hAnsi="宋体" w:cs="仿宋_GB2312"/>
                <w:color w:val="auto"/>
                <w:sz w:val="24"/>
                <w:highlight w:val="none"/>
              </w:rPr>
            </w:pPr>
          </w:p>
        </w:tc>
        <w:tc>
          <w:tcPr>
            <w:tcW w:w="1851" w:type="pct"/>
            <w:tcBorders>
              <w:top w:val="single" w:color="auto" w:sz="4" w:space="0"/>
              <w:left w:val="single" w:color="auto" w:sz="4" w:space="0"/>
              <w:bottom w:val="single" w:color="auto" w:sz="4" w:space="0"/>
              <w:right w:val="single" w:color="auto" w:sz="4" w:space="0"/>
            </w:tcBorders>
            <w:vAlign w:val="center"/>
          </w:tcPr>
          <w:p w14:paraId="49CEDC19">
            <w:pPr>
              <w:adjustRightInd w:val="0"/>
              <w:snapToGrid w:val="0"/>
              <w:jc w:val="left"/>
              <w:rPr>
                <w:rFonts w:ascii="宋体" w:hAnsi="宋体" w:cs="仿宋_GB2312"/>
                <w:color w:val="auto"/>
                <w:sz w:val="24"/>
                <w:highlight w:val="none"/>
              </w:rPr>
            </w:pPr>
          </w:p>
        </w:tc>
        <w:tc>
          <w:tcPr>
            <w:tcW w:w="419" w:type="pct"/>
            <w:tcBorders>
              <w:top w:val="single" w:color="auto" w:sz="4" w:space="0"/>
              <w:left w:val="single" w:color="auto" w:sz="4" w:space="0"/>
              <w:bottom w:val="single" w:color="auto" w:sz="4" w:space="0"/>
              <w:right w:val="single" w:color="auto" w:sz="4" w:space="0"/>
            </w:tcBorders>
            <w:vAlign w:val="center"/>
          </w:tcPr>
          <w:p w14:paraId="1FDE81C7">
            <w:pPr>
              <w:adjustRightInd w:val="0"/>
              <w:snapToGrid w:val="0"/>
              <w:contextualSpacing/>
              <w:jc w:val="center"/>
              <w:rPr>
                <w:rFonts w:ascii="宋体" w:hAnsi="宋体" w:cs="仿宋_GB2312"/>
                <w:color w:val="auto"/>
                <w:sz w:val="24"/>
                <w:highlight w:val="none"/>
              </w:rPr>
            </w:pPr>
          </w:p>
        </w:tc>
        <w:tc>
          <w:tcPr>
            <w:tcW w:w="422" w:type="pct"/>
            <w:tcBorders>
              <w:top w:val="single" w:color="auto" w:sz="4" w:space="0"/>
              <w:left w:val="single" w:color="auto" w:sz="4" w:space="0"/>
              <w:bottom w:val="single" w:color="auto" w:sz="4" w:space="0"/>
              <w:right w:val="single" w:color="auto" w:sz="4" w:space="0"/>
            </w:tcBorders>
            <w:vAlign w:val="center"/>
          </w:tcPr>
          <w:p w14:paraId="362568D7">
            <w:pPr>
              <w:adjustRightInd w:val="0"/>
              <w:snapToGrid w:val="0"/>
              <w:contextualSpacing/>
              <w:jc w:val="center"/>
              <w:rPr>
                <w:rFonts w:ascii="宋体" w:hAnsi="宋体" w:cs="仿宋_GB2312"/>
                <w:color w:val="auto"/>
                <w:sz w:val="24"/>
                <w:highlight w:val="none"/>
              </w:rPr>
            </w:pPr>
          </w:p>
        </w:tc>
        <w:tc>
          <w:tcPr>
            <w:tcW w:w="1101" w:type="pct"/>
            <w:tcBorders>
              <w:top w:val="single" w:color="auto" w:sz="4" w:space="0"/>
              <w:left w:val="single" w:color="auto" w:sz="4" w:space="0"/>
              <w:bottom w:val="single" w:color="auto" w:sz="4" w:space="0"/>
              <w:right w:val="single" w:color="auto" w:sz="4" w:space="0"/>
            </w:tcBorders>
            <w:vAlign w:val="center"/>
          </w:tcPr>
          <w:p w14:paraId="5433C6C3">
            <w:pPr>
              <w:adjustRightInd w:val="0"/>
              <w:snapToGrid w:val="0"/>
              <w:contextualSpacing/>
              <w:jc w:val="center"/>
              <w:rPr>
                <w:rFonts w:ascii="宋体" w:hAnsi="宋体" w:cs="仿宋_GB2312"/>
                <w:color w:val="auto"/>
                <w:sz w:val="24"/>
                <w:highlight w:val="none"/>
              </w:rPr>
            </w:pPr>
          </w:p>
        </w:tc>
        <w:tc>
          <w:tcPr>
            <w:tcW w:w="807" w:type="pct"/>
            <w:tcBorders>
              <w:top w:val="single" w:color="auto" w:sz="4" w:space="0"/>
              <w:left w:val="single" w:color="auto" w:sz="4" w:space="0"/>
              <w:bottom w:val="single" w:color="auto" w:sz="4" w:space="0"/>
              <w:right w:val="single" w:color="auto" w:sz="4" w:space="0"/>
            </w:tcBorders>
            <w:vAlign w:val="center"/>
          </w:tcPr>
          <w:p w14:paraId="615D0BB1">
            <w:pPr>
              <w:adjustRightInd w:val="0"/>
              <w:snapToGrid w:val="0"/>
              <w:contextualSpacing/>
              <w:jc w:val="center"/>
              <w:rPr>
                <w:rFonts w:ascii="宋体" w:hAnsi="宋体" w:cs="仿宋_GB2312"/>
                <w:color w:val="auto"/>
                <w:sz w:val="24"/>
                <w:highlight w:val="none"/>
              </w:rPr>
            </w:pPr>
          </w:p>
        </w:tc>
      </w:tr>
      <w:tr w14:paraId="03F1C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right"/>
        </w:trPr>
        <w:tc>
          <w:tcPr>
            <w:tcW w:w="3090" w:type="pct"/>
            <w:gridSpan w:val="4"/>
            <w:tcBorders>
              <w:top w:val="single" w:color="auto" w:sz="4" w:space="0"/>
              <w:left w:val="single" w:color="auto" w:sz="4" w:space="0"/>
              <w:bottom w:val="single" w:color="auto" w:sz="4" w:space="0"/>
              <w:right w:val="single" w:color="auto" w:sz="4" w:space="0"/>
            </w:tcBorders>
            <w:vAlign w:val="center"/>
          </w:tcPr>
          <w:p w14:paraId="2B9B596C">
            <w:pPr>
              <w:adjustRightInd w:val="0"/>
              <w:snapToGrid w:val="0"/>
              <w:contextualSpacing/>
              <w:jc w:val="center"/>
              <w:rPr>
                <w:rFonts w:ascii="宋体" w:hAnsi="宋体" w:cs="仿宋_GB2312"/>
                <w:color w:val="auto"/>
                <w:sz w:val="24"/>
                <w:highlight w:val="none"/>
              </w:rPr>
            </w:pPr>
            <w:r>
              <w:rPr>
                <w:rFonts w:hint="eastAsia" w:ascii="宋体" w:hAnsi="宋体" w:cs="仿宋_GB2312"/>
                <w:color w:val="auto"/>
                <w:sz w:val="24"/>
                <w:highlight w:val="none"/>
              </w:rPr>
              <w:t>合计报价</w:t>
            </w:r>
          </w:p>
        </w:tc>
        <w:tc>
          <w:tcPr>
            <w:tcW w:w="1101" w:type="pct"/>
            <w:tcBorders>
              <w:top w:val="single" w:color="auto" w:sz="4" w:space="0"/>
              <w:left w:val="single" w:color="auto" w:sz="4" w:space="0"/>
              <w:bottom w:val="single" w:color="auto" w:sz="4" w:space="0"/>
              <w:right w:val="single" w:color="auto" w:sz="4" w:space="0"/>
            </w:tcBorders>
            <w:vAlign w:val="center"/>
          </w:tcPr>
          <w:p w14:paraId="01C23CCF">
            <w:pPr>
              <w:adjustRightInd w:val="0"/>
              <w:snapToGrid w:val="0"/>
              <w:contextualSpacing/>
              <w:jc w:val="center"/>
              <w:rPr>
                <w:rFonts w:ascii="宋体" w:hAnsi="宋体" w:cs="仿宋_GB2312"/>
                <w:color w:val="auto"/>
                <w:sz w:val="24"/>
                <w:highlight w:val="none"/>
              </w:rPr>
            </w:pPr>
          </w:p>
        </w:tc>
        <w:tc>
          <w:tcPr>
            <w:tcW w:w="807" w:type="pct"/>
            <w:tcBorders>
              <w:top w:val="single" w:color="auto" w:sz="4" w:space="0"/>
              <w:left w:val="single" w:color="auto" w:sz="4" w:space="0"/>
              <w:bottom w:val="single" w:color="auto" w:sz="4" w:space="0"/>
              <w:right w:val="single" w:color="auto" w:sz="4" w:space="0"/>
            </w:tcBorders>
            <w:vAlign w:val="center"/>
          </w:tcPr>
          <w:p w14:paraId="13A389FF">
            <w:pPr>
              <w:adjustRightInd w:val="0"/>
              <w:snapToGrid w:val="0"/>
              <w:contextualSpacing/>
              <w:jc w:val="center"/>
              <w:rPr>
                <w:rFonts w:ascii="宋体" w:hAnsi="宋体" w:cs="仿宋_GB2312"/>
                <w:color w:val="auto"/>
                <w:sz w:val="24"/>
                <w:highlight w:val="none"/>
              </w:rPr>
            </w:pPr>
          </w:p>
        </w:tc>
      </w:tr>
    </w:tbl>
    <w:p w14:paraId="6DC5E6F2">
      <w:pPr>
        <w:spacing w:line="360" w:lineRule="auto"/>
        <w:contextualSpacing/>
        <w:jc w:val="left"/>
        <w:rPr>
          <w:rFonts w:ascii="宋体" w:hAnsi="宋体" w:cs="仿宋_GB2312"/>
          <w:color w:val="auto"/>
          <w:sz w:val="24"/>
          <w:highlight w:val="none"/>
        </w:rPr>
      </w:pPr>
      <w:r>
        <w:rPr>
          <w:rFonts w:hint="eastAsia" w:ascii="宋体" w:hAnsi="宋体" w:cs="仿宋_GB2312"/>
          <w:color w:val="auto"/>
          <w:sz w:val="24"/>
          <w:highlight w:val="none"/>
        </w:rPr>
        <w:t xml:space="preserve">注: </w:t>
      </w:r>
    </w:p>
    <w:p w14:paraId="5C39B1AC">
      <w:pPr>
        <w:spacing w:line="360" w:lineRule="auto"/>
        <w:ind w:firstLine="480" w:firstLineChars="200"/>
        <w:contextualSpacing/>
        <w:jc w:val="left"/>
        <w:rPr>
          <w:rFonts w:ascii="宋体" w:hAnsi="宋体" w:cs="仿宋_GB2312"/>
          <w:color w:val="auto"/>
          <w:sz w:val="24"/>
          <w:highlight w:val="none"/>
        </w:rPr>
      </w:pPr>
      <w:r>
        <w:rPr>
          <w:rFonts w:hint="eastAsia" w:ascii="宋体" w:hAnsi="宋体" w:cs="仿宋_GB2312"/>
          <w:color w:val="auto"/>
          <w:sz w:val="24"/>
          <w:highlight w:val="none"/>
        </w:rPr>
        <w:t>1.供应商的报价表必须加盖供应商公章并由法定代表人或者委托代理人签字，</w:t>
      </w:r>
      <w:r>
        <w:rPr>
          <w:rFonts w:hint="eastAsia" w:ascii="宋体" w:hAnsi="宋体" w:cs="仿宋_GB2312"/>
          <w:b/>
          <w:color w:val="auto"/>
          <w:sz w:val="24"/>
          <w:highlight w:val="none"/>
        </w:rPr>
        <w:t>否则其响应文件按无效响应处理</w:t>
      </w:r>
      <w:r>
        <w:rPr>
          <w:rFonts w:hint="eastAsia" w:ascii="宋体" w:hAnsi="宋体" w:cs="仿宋_GB2312"/>
          <w:color w:val="auto"/>
          <w:sz w:val="24"/>
          <w:highlight w:val="none"/>
        </w:rPr>
        <w:t>。</w:t>
      </w:r>
    </w:p>
    <w:p w14:paraId="2C61F2B8">
      <w:pPr>
        <w:spacing w:line="360" w:lineRule="auto"/>
        <w:ind w:firstLine="480" w:firstLineChars="200"/>
        <w:contextualSpacing/>
        <w:jc w:val="left"/>
        <w:rPr>
          <w:rFonts w:ascii="宋体" w:hAnsi="宋体" w:cs="仿宋_GB2312"/>
          <w:b/>
          <w:color w:val="auto"/>
          <w:sz w:val="24"/>
          <w:highlight w:val="none"/>
        </w:rPr>
      </w:pPr>
      <w:r>
        <w:rPr>
          <w:rFonts w:hint="eastAsia" w:ascii="宋体" w:hAnsi="宋体" w:cs="仿宋_GB2312"/>
          <w:bCs/>
          <w:color w:val="auto"/>
          <w:sz w:val="24"/>
          <w:highlight w:val="none"/>
        </w:rPr>
        <w:t>2.</w:t>
      </w:r>
      <w:r>
        <w:rPr>
          <w:rFonts w:hint="eastAsia" w:ascii="宋体" w:hAnsi="宋体" w:cs="仿宋_GB2312"/>
          <w:color w:val="auto"/>
          <w:sz w:val="24"/>
          <w:highlight w:val="none"/>
        </w:rPr>
        <w:t>报价一经涂改，应在涂改处加盖供应商公章或者由法定代表人或者委托代理人签字或者盖章</w:t>
      </w:r>
      <w:r>
        <w:rPr>
          <w:rFonts w:hint="eastAsia" w:ascii="宋体" w:hAnsi="宋体" w:cs="仿宋_GB2312"/>
          <w:b/>
          <w:color w:val="auto"/>
          <w:sz w:val="24"/>
          <w:highlight w:val="none"/>
        </w:rPr>
        <w:t>，否则其响应文件按无效响应处理。</w:t>
      </w:r>
    </w:p>
    <w:p w14:paraId="44A95183">
      <w:pPr>
        <w:spacing w:line="360" w:lineRule="auto"/>
        <w:ind w:firstLine="480" w:firstLineChars="200"/>
        <w:contextualSpacing/>
        <w:rPr>
          <w:rFonts w:ascii="宋体" w:hAnsi="宋体" w:cs="仿宋_GB2312"/>
          <w:color w:val="auto"/>
          <w:sz w:val="24"/>
          <w:highlight w:val="none"/>
        </w:rPr>
      </w:pPr>
    </w:p>
    <w:p w14:paraId="2EA8F22C">
      <w:pPr>
        <w:spacing w:line="360" w:lineRule="auto"/>
        <w:ind w:right="-817" w:rightChars="-389" w:firstLine="2640" w:firstLineChars="1100"/>
        <w:contextualSpacing/>
        <w:rPr>
          <w:rFonts w:ascii="宋体" w:hAnsi="宋体" w:cs="仿宋_GB2312"/>
          <w:color w:val="auto"/>
          <w:sz w:val="24"/>
          <w:highlight w:val="none"/>
        </w:rPr>
      </w:pPr>
    </w:p>
    <w:p w14:paraId="225F44D3">
      <w:pPr>
        <w:pStyle w:val="5"/>
        <w:overflowPunct w:val="0"/>
        <w:spacing w:line="520" w:lineRule="exact"/>
        <w:ind w:firstLine="0"/>
        <w:jc w:val="center"/>
        <w:rPr>
          <w:color w:val="auto"/>
          <w:sz w:val="24"/>
          <w:highlight w:val="none"/>
        </w:rPr>
      </w:pPr>
      <w:r>
        <w:rPr>
          <w:rFonts w:hint="eastAsia"/>
          <w:color w:val="auto"/>
          <w:sz w:val="24"/>
          <w:highlight w:val="none"/>
        </w:rPr>
        <w:t>供应商名称：</w:t>
      </w:r>
      <w:r>
        <w:rPr>
          <w:rFonts w:hint="eastAsia"/>
          <w:color w:val="auto"/>
          <w:sz w:val="24"/>
          <w:highlight w:val="none"/>
          <w:u w:val="single"/>
        </w:rPr>
        <w:t xml:space="preserve">                         </w:t>
      </w:r>
      <w:r>
        <w:rPr>
          <w:rFonts w:hint="eastAsia"/>
          <w:color w:val="auto"/>
          <w:sz w:val="24"/>
          <w:highlight w:val="none"/>
        </w:rPr>
        <w:t>（盖单位公章）</w:t>
      </w:r>
    </w:p>
    <w:p w14:paraId="3BE00707">
      <w:pPr>
        <w:pStyle w:val="5"/>
        <w:overflowPunct w:val="0"/>
        <w:spacing w:line="520" w:lineRule="exact"/>
        <w:ind w:firstLine="1478" w:firstLineChars="616"/>
        <w:rPr>
          <w:color w:val="auto"/>
          <w:sz w:val="24"/>
          <w:highlight w:val="none"/>
        </w:rPr>
      </w:pPr>
      <w:r>
        <w:rPr>
          <w:rFonts w:hint="eastAsia"/>
          <w:color w:val="auto"/>
          <w:sz w:val="24"/>
          <w:highlight w:val="none"/>
        </w:rPr>
        <w:t>法定代表人或其委托代理人：</w:t>
      </w:r>
      <w:r>
        <w:rPr>
          <w:rFonts w:hint="eastAsia"/>
          <w:color w:val="auto"/>
          <w:sz w:val="24"/>
          <w:highlight w:val="none"/>
          <w:u w:val="single"/>
        </w:rPr>
        <w:t xml:space="preserve">           </w:t>
      </w:r>
      <w:r>
        <w:rPr>
          <w:rFonts w:hint="eastAsia"/>
          <w:color w:val="auto"/>
          <w:sz w:val="24"/>
          <w:highlight w:val="none"/>
        </w:rPr>
        <w:t>（签字）</w:t>
      </w:r>
    </w:p>
    <w:p w14:paraId="1C7A701C">
      <w:pPr>
        <w:pStyle w:val="5"/>
        <w:overflowPunct w:val="0"/>
        <w:spacing w:line="520" w:lineRule="exact"/>
        <w:ind w:firstLine="3998" w:firstLineChars="1666"/>
        <w:rPr>
          <w:color w:val="auto"/>
          <w:sz w:val="24"/>
          <w:highlight w:val="none"/>
        </w:rPr>
      </w:pPr>
      <w:r>
        <w:rPr>
          <w:rFonts w:hint="eastAsia"/>
          <w:color w:val="auto"/>
          <w:sz w:val="24"/>
          <w:highlight w:val="none"/>
          <w:u w:val="single"/>
        </w:rPr>
        <w:t xml:space="preserve">      </w:t>
      </w:r>
      <w:r>
        <w:rPr>
          <w:rFonts w:hint="eastAsia"/>
          <w:color w:val="auto"/>
          <w:sz w:val="24"/>
          <w:highlight w:val="none"/>
        </w:rPr>
        <w:t>年</w:t>
      </w:r>
      <w:r>
        <w:rPr>
          <w:rFonts w:hint="eastAsia"/>
          <w:color w:val="auto"/>
          <w:sz w:val="24"/>
          <w:highlight w:val="none"/>
          <w:u w:val="single"/>
        </w:rPr>
        <w:t xml:space="preserve">    </w:t>
      </w:r>
      <w:r>
        <w:rPr>
          <w:rFonts w:hint="eastAsia"/>
          <w:color w:val="auto"/>
          <w:sz w:val="24"/>
          <w:highlight w:val="none"/>
        </w:rPr>
        <w:t>月</w:t>
      </w:r>
      <w:r>
        <w:rPr>
          <w:rFonts w:hint="eastAsia"/>
          <w:color w:val="auto"/>
          <w:sz w:val="24"/>
          <w:highlight w:val="none"/>
          <w:u w:val="single"/>
        </w:rPr>
        <w:t xml:space="preserve">    </w:t>
      </w:r>
      <w:r>
        <w:rPr>
          <w:rFonts w:hint="eastAsia"/>
          <w:color w:val="auto"/>
          <w:sz w:val="24"/>
          <w:highlight w:val="none"/>
        </w:rPr>
        <w:t>日</w:t>
      </w:r>
    </w:p>
    <w:p w14:paraId="202BB079">
      <w:pPr>
        <w:spacing w:line="360" w:lineRule="auto"/>
        <w:ind w:firstLine="643" w:firstLineChars="200"/>
        <w:rPr>
          <w:snapToGrid w:val="0"/>
          <w:color w:val="auto"/>
          <w:kern w:val="0"/>
          <w:szCs w:val="21"/>
          <w:highlight w:val="none"/>
        </w:rPr>
      </w:pPr>
      <w:r>
        <w:rPr>
          <w:rFonts w:hint="eastAsia" w:ascii="宋体" w:hAnsi="Courier New"/>
          <w:b/>
          <w:color w:val="auto"/>
          <w:sz w:val="32"/>
          <w:szCs w:val="32"/>
          <w:highlight w:val="none"/>
        </w:rPr>
        <w:br w:type="page"/>
      </w:r>
    </w:p>
    <w:p w14:paraId="471DE4AE">
      <w:pPr>
        <w:snapToGrid w:val="0"/>
        <w:spacing w:line="360" w:lineRule="auto"/>
        <w:jc w:val="center"/>
        <w:outlineLvl w:val="1"/>
        <w:rPr>
          <w:rFonts w:ascii="黑体" w:hAnsi="黑体" w:eastAsia="黑体" w:cs="黑体"/>
          <w:color w:val="auto"/>
          <w:sz w:val="36"/>
          <w:szCs w:val="36"/>
          <w:highlight w:val="none"/>
        </w:rPr>
      </w:pPr>
      <w:bookmarkStart w:id="46" w:name="_Toc29645"/>
      <w:bookmarkStart w:id="47" w:name="_Toc15587"/>
      <w:r>
        <w:rPr>
          <w:rFonts w:hint="eastAsia" w:ascii="黑体" w:hAnsi="黑体" w:eastAsia="黑体" w:cs="黑体"/>
          <w:color w:val="auto"/>
          <w:sz w:val="36"/>
          <w:szCs w:val="36"/>
          <w:highlight w:val="none"/>
        </w:rPr>
        <w:t>四、业绩和人员配置资料</w:t>
      </w:r>
    </w:p>
    <w:p w14:paraId="60DAAF11">
      <w:pPr>
        <w:snapToGrid w:val="0"/>
        <w:spacing w:before="120" w:beforeLines="50" w:after="50"/>
        <w:jc w:val="center"/>
        <w:outlineLvl w:val="2"/>
        <w:rPr>
          <w:rFonts w:ascii="宋体" w:hAnsi="宋体"/>
          <w:b/>
          <w:color w:val="auto"/>
          <w:sz w:val="24"/>
          <w:highlight w:val="none"/>
        </w:rPr>
      </w:pPr>
      <w:r>
        <w:rPr>
          <w:rFonts w:hint="eastAsia" w:ascii="宋体" w:hAnsi="宋体"/>
          <w:b/>
          <w:color w:val="auto"/>
          <w:sz w:val="24"/>
          <w:highlight w:val="none"/>
        </w:rPr>
        <w:t>（一）近年开展的业绩证明文件</w:t>
      </w:r>
      <w:bookmarkEnd w:id="46"/>
      <w:bookmarkEnd w:id="47"/>
    </w:p>
    <w:p w14:paraId="407B006F">
      <w:pPr>
        <w:pStyle w:val="20"/>
        <w:snapToGrid w:val="0"/>
        <w:ind w:left="482" w:hanging="482"/>
        <w:rPr>
          <w:rFonts w:ascii="宋体" w:hAnsi="宋体"/>
          <w:b/>
          <w:bCs/>
          <w:color w:val="auto"/>
          <w:sz w:val="24"/>
          <w:highlight w:val="none"/>
        </w:rPr>
      </w:pPr>
    </w:p>
    <w:p w14:paraId="49CC7352">
      <w:pPr>
        <w:jc w:val="center"/>
        <w:outlineLvl w:val="3"/>
        <w:rPr>
          <w:rFonts w:ascii="黑体" w:hAnsi="宋体" w:eastAsia="黑体"/>
          <w:b/>
          <w:bCs/>
          <w:color w:val="auto"/>
          <w:sz w:val="24"/>
          <w:highlight w:val="none"/>
        </w:rPr>
      </w:pPr>
      <w:r>
        <w:rPr>
          <w:rFonts w:ascii="黑体" w:hAnsi="宋体" w:eastAsia="黑体"/>
          <w:b/>
          <w:bCs/>
          <w:color w:val="auto"/>
          <w:sz w:val="24"/>
          <w:highlight w:val="none"/>
        </w:rPr>
        <w:t>近</w:t>
      </w:r>
      <w:r>
        <w:rPr>
          <w:rFonts w:hint="eastAsia" w:ascii="黑体" w:hAnsi="宋体" w:eastAsia="黑体"/>
          <w:b/>
          <w:bCs/>
          <w:color w:val="auto"/>
          <w:sz w:val="24"/>
          <w:highlight w:val="none"/>
          <w:u w:val="single"/>
        </w:rPr>
        <w:t xml:space="preserve"> </w:t>
      </w:r>
      <w:r>
        <w:rPr>
          <w:rFonts w:ascii="黑体" w:hAnsi="宋体" w:eastAsia="黑体"/>
          <w:b/>
          <w:bCs/>
          <w:color w:val="auto"/>
          <w:sz w:val="24"/>
          <w:highlight w:val="none"/>
          <w:u w:val="single"/>
        </w:rPr>
        <w:t>3</w:t>
      </w:r>
      <w:r>
        <w:rPr>
          <w:rFonts w:hint="eastAsia" w:ascii="黑体" w:hAnsi="宋体" w:eastAsia="黑体"/>
          <w:b/>
          <w:bCs/>
          <w:color w:val="auto"/>
          <w:sz w:val="24"/>
          <w:highlight w:val="none"/>
          <w:u w:val="single"/>
        </w:rPr>
        <w:t xml:space="preserve"> </w:t>
      </w:r>
      <w:r>
        <w:rPr>
          <w:rFonts w:ascii="黑体" w:hAnsi="宋体" w:eastAsia="黑体"/>
          <w:b/>
          <w:bCs/>
          <w:color w:val="auto"/>
          <w:sz w:val="24"/>
          <w:highlight w:val="none"/>
        </w:rPr>
        <w:t>年</w:t>
      </w:r>
      <w:r>
        <w:rPr>
          <w:rFonts w:hint="eastAsia" w:ascii="黑体" w:hAnsi="宋体" w:eastAsia="黑体"/>
          <w:b/>
          <w:bCs/>
          <w:color w:val="auto"/>
          <w:sz w:val="24"/>
          <w:highlight w:val="none"/>
        </w:rPr>
        <w:t>开展的</w:t>
      </w:r>
      <w:r>
        <w:rPr>
          <w:rFonts w:ascii="黑体" w:hAnsi="宋体" w:eastAsia="黑体"/>
          <w:b/>
          <w:bCs/>
          <w:color w:val="auto"/>
          <w:sz w:val="24"/>
          <w:highlight w:val="none"/>
        </w:rPr>
        <w:t>类似项目情况汇总表</w:t>
      </w:r>
    </w:p>
    <w:tbl>
      <w:tblPr>
        <w:tblStyle w:val="25"/>
        <w:tblW w:w="0" w:type="auto"/>
        <w:tblInd w:w="15" w:type="dxa"/>
        <w:tblLayout w:type="fixed"/>
        <w:tblCellMar>
          <w:top w:w="0" w:type="dxa"/>
          <w:left w:w="0" w:type="dxa"/>
          <w:bottom w:w="0" w:type="dxa"/>
          <w:right w:w="0" w:type="dxa"/>
        </w:tblCellMar>
      </w:tblPr>
      <w:tblGrid>
        <w:gridCol w:w="1437"/>
        <w:gridCol w:w="1430"/>
        <w:gridCol w:w="2516"/>
        <w:gridCol w:w="2330"/>
        <w:gridCol w:w="1387"/>
      </w:tblGrid>
      <w:tr w14:paraId="43EEB61F">
        <w:tblPrEx>
          <w:tblCellMar>
            <w:top w:w="0" w:type="dxa"/>
            <w:left w:w="0" w:type="dxa"/>
            <w:bottom w:w="0" w:type="dxa"/>
            <w:right w:w="0" w:type="dxa"/>
          </w:tblCellMar>
        </w:tblPrEx>
        <w:trPr>
          <w:trHeight w:val="561" w:hRule="atLeast"/>
        </w:trPr>
        <w:tc>
          <w:tcPr>
            <w:tcW w:w="1437" w:type="dxa"/>
            <w:tcBorders>
              <w:top w:val="single" w:color="auto" w:sz="12" w:space="0"/>
              <w:left w:val="single" w:color="auto" w:sz="12" w:space="0"/>
              <w:bottom w:val="single" w:color="auto" w:sz="8" w:space="0"/>
              <w:right w:val="single" w:color="auto" w:sz="8" w:space="0"/>
            </w:tcBorders>
            <w:vAlign w:val="center"/>
          </w:tcPr>
          <w:p w14:paraId="4370F831">
            <w:pPr>
              <w:autoSpaceDE w:val="0"/>
              <w:autoSpaceDN w:val="0"/>
              <w:jc w:val="center"/>
              <w:rPr>
                <w:rFonts w:ascii="宋体" w:cs="宋体"/>
                <w:color w:val="auto"/>
                <w:kern w:val="0"/>
                <w:sz w:val="24"/>
                <w:highlight w:val="none"/>
              </w:rPr>
            </w:pPr>
            <w:r>
              <w:rPr>
                <w:rFonts w:hint="eastAsia" w:ascii="宋体" w:cs="宋体"/>
                <w:color w:val="auto"/>
                <w:kern w:val="0"/>
                <w:sz w:val="24"/>
                <w:highlight w:val="none"/>
              </w:rPr>
              <w:t>项目名称</w:t>
            </w:r>
          </w:p>
        </w:tc>
        <w:tc>
          <w:tcPr>
            <w:tcW w:w="1430" w:type="dxa"/>
            <w:tcBorders>
              <w:top w:val="single" w:color="auto" w:sz="12" w:space="0"/>
              <w:left w:val="single" w:color="auto" w:sz="8" w:space="0"/>
              <w:bottom w:val="single" w:color="auto" w:sz="8" w:space="0"/>
              <w:right w:val="single" w:color="auto" w:sz="8" w:space="0"/>
            </w:tcBorders>
            <w:vAlign w:val="center"/>
          </w:tcPr>
          <w:p w14:paraId="5FEE3CC0">
            <w:pPr>
              <w:autoSpaceDE w:val="0"/>
              <w:autoSpaceDN w:val="0"/>
              <w:jc w:val="center"/>
              <w:rPr>
                <w:rFonts w:ascii="宋体" w:cs="宋体"/>
                <w:color w:val="auto"/>
                <w:kern w:val="0"/>
                <w:sz w:val="24"/>
                <w:highlight w:val="none"/>
              </w:rPr>
            </w:pPr>
            <w:r>
              <w:rPr>
                <w:rFonts w:hint="eastAsia" w:ascii="宋体" w:cs="宋体"/>
                <w:color w:val="auto"/>
                <w:kern w:val="0"/>
                <w:sz w:val="24"/>
                <w:highlight w:val="none"/>
              </w:rPr>
              <w:t>起讫时间</w:t>
            </w:r>
          </w:p>
        </w:tc>
        <w:tc>
          <w:tcPr>
            <w:tcW w:w="2516" w:type="dxa"/>
            <w:tcBorders>
              <w:top w:val="single" w:color="auto" w:sz="12" w:space="0"/>
              <w:left w:val="single" w:color="auto" w:sz="8" w:space="0"/>
              <w:bottom w:val="single" w:color="auto" w:sz="8" w:space="0"/>
              <w:right w:val="single" w:color="auto" w:sz="8" w:space="0"/>
            </w:tcBorders>
            <w:vAlign w:val="center"/>
          </w:tcPr>
          <w:p w14:paraId="519D807E">
            <w:pPr>
              <w:autoSpaceDE w:val="0"/>
              <w:autoSpaceDN w:val="0"/>
              <w:jc w:val="center"/>
              <w:rPr>
                <w:rFonts w:ascii="宋体" w:cs="宋体"/>
                <w:color w:val="auto"/>
                <w:kern w:val="0"/>
                <w:sz w:val="24"/>
                <w:highlight w:val="none"/>
              </w:rPr>
            </w:pPr>
            <w:r>
              <w:rPr>
                <w:rFonts w:hint="eastAsia" w:ascii="宋体" w:cs="宋体"/>
                <w:color w:val="auto"/>
                <w:kern w:val="0"/>
                <w:sz w:val="24"/>
                <w:highlight w:val="none"/>
              </w:rPr>
              <w:t>发包人</w:t>
            </w:r>
          </w:p>
        </w:tc>
        <w:tc>
          <w:tcPr>
            <w:tcW w:w="2330" w:type="dxa"/>
            <w:tcBorders>
              <w:top w:val="single" w:color="auto" w:sz="12" w:space="0"/>
              <w:left w:val="single" w:color="auto" w:sz="8" w:space="0"/>
              <w:bottom w:val="single" w:color="auto" w:sz="8" w:space="0"/>
              <w:right w:val="single" w:color="auto" w:sz="8" w:space="0"/>
            </w:tcBorders>
            <w:vAlign w:val="center"/>
          </w:tcPr>
          <w:p w14:paraId="22574D73">
            <w:pPr>
              <w:autoSpaceDE w:val="0"/>
              <w:autoSpaceDN w:val="0"/>
              <w:jc w:val="center"/>
              <w:rPr>
                <w:rFonts w:ascii="宋体" w:cs="宋体"/>
                <w:color w:val="auto"/>
                <w:kern w:val="0"/>
                <w:sz w:val="24"/>
                <w:highlight w:val="none"/>
              </w:rPr>
            </w:pPr>
            <w:r>
              <w:rPr>
                <w:rFonts w:hint="eastAsia" w:ascii="宋体" w:cs="宋体"/>
                <w:color w:val="auto"/>
                <w:kern w:val="0"/>
                <w:sz w:val="24"/>
                <w:highlight w:val="none"/>
              </w:rPr>
              <w:t>完成情况</w:t>
            </w:r>
          </w:p>
        </w:tc>
        <w:tc>
          <w:tcPr>
            <w:tcW w:w="1387" w:type="dxa"/>
            <w:tcBorders>
              <w:top w:val="single" w:color="auto" w:sz="12" w:space="0"/>
              <w:left w:val="single" w:color="auto" w:sz="8" w:space="0"/>
              <w:bottom w:val="single" w:color="auto" w:sz="8" w:space="0"/>
              <w:right w:val="single" w:color="auto" w:sz="12" w:space="0"/>
            </w:tcBorders>
            <w:vAlign w:val="center"/>
          </w:tcPr>
          <w:p w14:paraId="0A42E8EE">
            <w:pPr>
              <w:autoSpaceDE w:val="0"/>
              <w:autoSpaceDN w:val="0"/>
              <w:jc w:val="center"/>
              <w:rPr>
                <w:rFonts w:ascii="宋体" w:cs="宋体"/>
                <w:color w:val="auto"/>
                <w:kern w:val="0"/>
                <w:sz w:val="24"/>
                <w:highlight w:val="none"/>
              </w:rPr>
            </w:pPr>
            <w:r>
              <w:rPr>
                <w:rFonts w:hint="eastAsia" w:ascii="宋体" w:cs="宋体"/>
                <w:color w:val="auto"/>
                <w:kern w:val="0"/>
                <w:sz w:val="24"/>
                <w:highlight w:val="none"/>
              </w:rPr>
              <w:t>备注</w:t>
            </w:r>
          </w:p>
        </w:tc>
      </w:tr>
      <w:tr w14:paraId="04265E0D">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37CD9DED">
            <w:pPr>
              <w:autoSpaceDE w:val="0"/>
              <w:autoSpaceDN w:val="0"/>
              <w:rPr>
                <w:color w:val="auto"/>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tcPr>
          <w:p w14:paraId="66305EB1">
            <w:pPr>
              <w:autoSpaceDE w:val="0"/>
              <w:autoSpaceDN w:val="0"/>
              <w:rPr>
                <w:color w:val="auto"/>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tcPr>
          <w:p w14:paraId="68ADA515">
            <w:pPr>
              <w:autoSpaceDE w:val="0"/>
              <w:autoSpaceDN w:val="0"/>
              <w:rPr>
                <w:color w:val="auto"/>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tcPr>
          <w:p w14:paraId="68A30F56">
            <w:pPr>
              <w:autoSpaceDE w:val="0"/>
              <w:autoSpaceDN w:val="0"/>
              <w:rPr>
                <w:color w:val="auto"/>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tcPr>
          <w:p w14:paraId="529047FC">
            <w:pPr>
              <w:autoSpaceDE w:val="0"/>
              <w:autoSpaceDN w:val="0"/>
              <w:rPr>
                <w:color w:val="auto"/>
                <w:kern w:val="0"/>
                <w:sz w:val="24"/>
                <w:highlight w:val="none"/>
              </w:rPr>
            </w:pPr>
          </w:p>
        </w:tc>
      </w:tr>
      <w:tr w14:paraId="0EA3149A">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4EF2C17C">
            <w:pPr>
              <w:autoSpaceDE w:val="0"/>
              <w:autoSpaceDN w:val="0"/>
              <w:rPr>
                <w:color w:val="auto"/>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tcPr>
          <w:p w14:paraId="51F584B1">
            <w:pPr>
              <w:autoSpaceDE w:val="0"/>
              <w:autoSpaceDN w:val="0"/>
              <w:rPr>
                <w:color w:val="auto"/>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tcPr>
          <w:p w14:paraId="52F0618D">
            <w:pPr>
              <w:autoSpaceDE w:val="0"/>
              <w:autoSpaceDN w:val="0"/>
              <w:rPr>
                <w:color w:val="auto"/>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tcPr>
          <w:p w14:paraId="6ADB4399">
            <w:pPr>
              <w:autoSpaceDE w:val="0"/>
              <w:autoSpaceDN w:val="0"/>
              <w:rPr>
                <w:color w:val="auto"/>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tcPr>
          <w:p w14:paraId="78BD3B91">
            <w:pPr>
              <w:autoSpaceDE w:val="0"/>
              <w:autoSpaceDN w:val="0"/>
              <w:rPr>
                <w:color w:val="auto"/>
                <w:kern w:val="0"/>
                <w:sz w:val="24"/>
                <w:highlight w:val="none"/>
              </w:rPr>
            </w:pPr>
          </w:p>
        </w:tc>
      </w:tr>
      <w:tr w14:paraId="770F0641">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215A1337">
            <w:pPr>
              <w:autoSpaceDE w:val="0"/>
              <w:autoSpaceDN w:val="0"/>
              <w:rPr>
                <w:color w:val="auto"/>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tcPr>
          <w:p w14:paraId="179FF276">
            <w:pPr>
              <w:autoSpaceDE w:val="0"/>
              <w:autoSpaceDN w:val="0"/>
              <w:rPr>
                <w:color w:val="auto"/>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tcPr>
          <w:p w14:paraId="6E25454C">
            <w:pPr>
              <w:autoSpaceDE w:val="0"/>
              <w:autoSpaceDN w:val="0"/>
              <w:rPr>
                <w:color w:val="auto"/>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tcPr>
          <w:p w14:paraId="26E069CD">
            <w:pPr>
              <w:autoSpaceDE w:val="0"/>
              <w:autoSpaceDN w:val="0"/>
              <w:rPr>
                <w:color w:val="auto"/>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tcPr>
          <w:p w14:paraId="0A479440">
            <w:pPr>
              <w:autoSpaceDE w:val="0"/>
              <w:autoSpaceDN w:val="0"/>
              <w:rPr>
                <w:color w:val="auto"/>
                <w:kern w:val="0"/>
                <w:sz w:val="24"/>
                <w:highlight w:val="none"/>
              </w:rPr>
            </w:pPr>
          </w:p>
        </w:tc>
      </w:tr>
      <w:tr w14:paraId="195C9E54">
        <w:tblPrEx>
          <w:tblCellMar>
            <w:top w:w="0" w:type="dxa"/>
            <w:left w:w="0" w:type="dxa"/>
            <w:bottom w:w="0" w:type="dxa"/>
            <w:right w:w="0" w:type="dxa"/>
          </w:tblCellMar>
        </w:tblPrEx>
        <w:trPr>
          <w:trHeight w:val="566" w:hRule="atLeast"/>
        </w:trPr>
        <w:tc>
          <w:tcPr>
            <w:tcW w:w="1437" w:type="dxa"/>
            <w:tcBorders>
              <w:top w:val="single" w:color="auto" w:sz="8" w:space="0"/>
              <w:left w:val="single" w:color="auto" w:sz="12" w:space="0"/>
              <w:bottom w:val="single" w:color="auto" w:sz="8" w:space="0"/>
              <w:right w:val="single" w:color="auto" w:sz="8" w:space="0"/>
            </w:tcBorders>
          </w:tcPr>
          <w:p w14:paraId="166FF5DC">
            <w:pPr>
              <w:autoSpaceDE w:val="0"/>
              <w:autoSpaceDN w:val="0"/>
              <w:rPr>
                <w:color w:val="auto"/>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tcPr>
          <w:p w14:paraId="6037B157">
            <w:pPr>
              <w:autoSpaceDE w:val="0"/>
              <w:autoSpaceDN w:val="0"/>
              <w:rPr>
                <w:color w:val="auto"/>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tcPr>
          <w:p w14:paraId="539B4E31">
            <w:pPr>
              <w:autoSpaceDE w:val="0"/>
              <w:autoSpaceDN w:val="0"/>
              <w:rPr>
                <w:color w:val="auto"/>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tcPr>
          <w:p w14:paraId="081383BF">
            <w:pPr>
              <w:autoSpaceDE w:val="0"/>
              <w:autoSpaceDN w:val="0"/>
              <w:rPr>
                <w:color w:val="auto"/>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tcPr>
          <w:p w14:paraId="6FB1F6F9">
            <w:pPr>
              <w:autoSpaceDE w:val="0"/>
              <w:autoSpaceDN w:val="0"/>
              <w:rPr>
                <w:color w:val="auto"/>
                <w:kern w:val="0"/>
                <w:sz w:val="24"/>
                <w:highlight w:val="none"/>
              </w:rPr>
            </w:pPr>
          </w:p>
        </w:tc>
      </w:tr>
      <w:tr w14:paraId="5651080F">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1132B756">
            <w:pPr>
              <w:autoSpaceDE w:val="0"/>
              <w:autoSpaceDN w:val="0"/>
              <w:rPr>
                <w:color w:val="auto"/>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tcPr>
          <w:p w14:paraId="61B02845">
            <w:pPr>
              <w:autoSpaceDE w:val="0"/>
              <w:autoSpaceDN w:val="0"/>
              <w:rPr>
                <w:color w:val="auto"/>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tcPr>
          <w:p w14:paraId="3E05CA97">
            <w:pPr>
              <w:autoSpaceDE w:val="0"/>
              <w:autoSpaceDN w:val="0"/>
              <w:rPr>
                <w:color w:val="auto"/>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tcPr>
          <w:p w14:paraId="7F39CF6E">
            <w:pPr>
              <w:autoSpaceDE w:val="0"/>
              <w:autoSpaceDN w:val="0"/>
              <w:rPr>
                <w:color w:val="auto"/>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tcPr>
          <w:p w14:paraId="67D7A139">
            <w:pPr>
              <w:autoSpaceDE w:val="0"/>
              <w:autoSpaceDN w:val="0"/>
              <w:rPr>
                <w:color w:val="auto"/>
                <w:kern w:val="0"/>
                <w:sz w:val="24"/>
                <w:highlight w:val="none"/>
              </w:rPr>
            </w:pPr>
          </w:p>
        </w:tc>
      </w:tr>
      <w:tr w14:paraId="31ACEE83">
        <w:tblPrEx>
          <w:tblCellMar>
            <w:top w:w="0" w:type="dxa"/>
            <w:left w:w="0" w:type="dxa"/>
            <w:bottom w:w="0" w:type="dxa"/>
            <w:right w:w="0" w:type="dxa"/>
          </w:tblCellMar>
        </w:tblPrEx>
        <w:trPr>
          <w:trHeight w:val="780" w:hRule="atLeast"/>
        </w:trPr>
        <w:tc>
          <w:tcPr>
            <w:tcW w:w="1437" w:type="dxa"/>
            <w:tcBorders>
              <w:top w:val="single" w:color="auto" w:sz="8" w:space="0"/>
              <w:left w:val="single" w:color="auto" w:sz="12" w:space="0"/>
              <w:bottom w:val="single" w:color="auto" w:sz="8" w:space="0"/>
              <w:right w:val="single" w:color="auto" w:sz="8" w:space="0"/>
            </w:tcBorders>
          </w:tcPr>
          <w:p w14:paraId="7DAF070E">
            <w:pPr>
              <w:autoSpaceDE w:val="0"/>
              <w:autoSpaceDN w:val="0"/>
              <w:rPr>
                <w:color w:val="auto"/>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tcPr>
          <w:p w14:paraId="3EAE9B99">
            <w:pPr>
              <w:autoSpaceDE w:val="0"/>
              <w:autoSpaceDN w:val="0"/>
              <w:rPr>
                <w:color w:val="auto"/>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tcPr>
          <w:p w14:paraId="4B940BA2">
            <w:pPr>
              <w:autoSpaceDE w:val="0"/>
              <w:autoSpaceDN w:val="0"/>
              <w:rPr>
                <w:rFonts w:ascii="宋体" w:cs="宋体"/>
                <w:color w:val="auto"/>
                <w:kern w:val="0"/>
                <w:sz w:val="24"/>
                <w:highlight w:val="none"/>
              </w:rPr>
            </w:pPr>
            <w:r>
              <w:rPr>
                <w:rFonts w:ascii="宋体" w:cs="宋体"/>
                <w:color w:val="auto"/>
                <w:kern w:val="0"/>
                <w:sz w:val="24"/>
                <w:highlight w:val="none"/>
              </w:rPr>
              <w:t xml:space="preserve">  </w:t>
            </w:r>
          </w:p>
        </w:tc>
        <w:tc>
          <w:tcPr>
            <w:tcW w:w="2330" w:type="dxa"/>
            <w:tcBorders>
              <w:top w:val="single" w:color="auto" w:sz="8" w:space="0"/>
              <w:left w:val="single" w:color="auto" w:sz="8" w:space="0"/>
              <w:bottom w:val="single" w:color="auto" w:sz="8" w:space="0"/>
              <w:right w:val="single" w:color="auto" w:sz="8" w:space="0"/>
            </w:tcBorders>
          </w:tcPr>
          <w:p w14:paraId="098F1188">
            <w:pPr>
              <w:autoSpaceDE w:val="0"/>
              <w:autoSpaceDN w:val="0"/>
              <w:rPr>
                <w:color w:val="auto"/>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tcPr>
          <w:p w14:paraId="50A0536A">
            <w:pPr>
              <w:autoSpaceDE w:val="0"/>
              <w:autoSpaceDN w:val="0"/>
              <w:rPr>
                <w:color w:val="auto"/>
                <w:kern w:val="0"/>
                <w:sz w:val="24"/>
                <w:highlight w:val="none"/>
              </w:rPr>
            </w:pPr>
          </w:p>
        </w:tc>
      </w:tr>
      <w:tr w14:paraId="2ABE62F4">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5246EBBC">
            <w:pPr>
              <w:autoSpaceDE w:val="0"/>
              <w:autoSpaceDN w:val="0"/>
              <w:rPr>
                <w:color w:val="auto"/>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tcPr>
          <w:p w14:paraId="05CE6477">
            <w:pPr>
              <w:autoSpaceDE w:val="0"/>
              <w:autoSpaceDN w:val="0"/>
              <w:rPr>
                <w:color w:val="auto"/>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tcPr>
          <w:p w14:paraId="59F0E28D">
            <w:pPr>
              <w:autoSpaceDE w:val="0"/>
              <w:autoSpaceDN w:val="0"/>
              <w:rPr>
                <w:color w:val="auto"/>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tcPr>
          <w:p w14:paraId="09301358">
            <w:pPr>
              <w:autoSpaceDE w:val="0"/>
              <w:autoSpaceDN w:val="0"/>
              <w:rPr>
                <w:color w:val="auto"/>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tcPr>
          <w:p w14:paraId="1462BB76">
            <w:pPr>
              <w:autoSpaceDE w:val="0"/>
              <w:autoSpaceDN w:val="0"/>
              <w:rPr>
                <w:color w:val="auto"/>
                <w:kern w:val="0"/>
                <w:sz w:val="24"/>
                <w:highlight w:val="none"/>
              </w:rPr>
            </w:pPr>
          </w:p>
        </w:tc>
      </w:tr>
      <w:tr w14:paraId="5944DE23">
        <w:tblPrEx>
          <w:tblCellMar>
            <w:top w:w="0" w:type="dxa"/>
            <w:left w:w="0" w:type="dxa"/>
            <w:bottom w:w="0" w:type="dxa"/>
            <w:right w:w="0" w:type="dxa"/>
          </w:tblCellMar>
        </w:tblPrEx>
        <w:trPr>
          <w:trHeight w:val="566" w:hRule="atLeast"/>
        </w:trPr>
        <w:tc>
          <w:tcPr>
            <w:tcW w:w="1437" w:type="dxa"/>
            <w:tcBorders>
              <w:top w:val="single" w:color="auto" w:sz="8" w:space="0"/>
              <w:left w:val="single" w:color="auto" w:sz="12" w:space="0"/>
              <w:bottom w:val="single" w:color="auto" w:sz="8" w:space="0"/>
              <w:right w:val="single" w:color="auto" w:sz="8" w:space="0"/>
            </w:tcBorders>
          </w:tcPr>
          <w:p w14:paraId="64E6F03F">
            <w:pPr>
              <w:autoSpaceDE w:val="0"/>
              <w:autoSpaceDN w:val="0"/>
              <w:rPr>
                <w:color w:val="auto"/>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tcPr>
          <w:p w14:paraId="0A9B9747">
            <w:pPr>
              <w:autoSpaceDE w:val="0"/>
              <w:autoSpaceDN w:val="0"/>
              <w:rPr>
                <w:color w:val="auto"/>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tcPr>
          <w:p w14:paraId="0E0731F9">
            <w:pPr>
              <w:autoSpaceDE w:val="0"/>
              <w:autoSpaceDN w:val="0"/>
              <w:rPr>
                <w:color w:val="auto"/>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tcPr>
          <w:p w14:paraId="4514D341">
            <w:pPr>
              <w:autoSpaceDE w:val="0"/>
              <w:autoSpaceDN w:val="0"/>
              <w:rPr>
                <w:color w:val="auto"/>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tcPr>
          <w:p w14:paraId="4AF94E7D">
            <w:pPr>
              <w:autoSpaceDE w:val="0"/>
              <w:autoSpaceDN w:val="0"/>
              <w:rPr>
                <w:color w:val="auto"/>
                <w:kern w:val="0"/>
                <w:sz w:val="24"/>
                <w:highlight w:val="none"/>
              </w:rPr>
            </w:pPr>
          </w:p>
        </w:tc>
      </w:tr>
      <w:tr w14:paraId="77C2A676">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420ABE8E">
            <w:pPr>
              <w:autoSpaceDE w:val="0"/>
              <w:autoSpaceDN w:val="0"/>
              <w:rPr>
                <w:color w:val="auto"/>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tcPr>
          <w:p w14:paraId="313D1F42">
            <w:pPr>
              <w:autoSpaceDE w:val="0"/>
              <w:autoSpaceDN w:val="0"/>
              <w:rPr>
                <w:color w:val="auto"/>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tcPr>
          <w:p w14:paraId="10E5005F">
            <w:pPr>
              <w:autoSpaceDE w:val="0"/>
              <w:autoSpaceDN w:val="0"/>
              <w:rPr>
                <w:color w:val="auto"/>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tcPr>
          <w:p w14:paraId="3C4BE460">
            <w:pPr>
              <w:autoSpaceDE w:val="0"/>
              <w:autoSpaceDN w:val="0"/>
              <w:rPr>
                <w:color w:val="auto"/>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tcPr>
          <w:p w14:paraId="468502A1">
            <w:pPr>
              <w:autoSpaceDE w:val="0"/>
              <w:autoSpaceDN w:val="0"/>
              <w:rPr>
                <w:color w:val="auto"/>
                <w:kern w:val="0"/>
                <w:sz w:val="24"/>
                <w:highlight w:val="none"/>
              </w:rPr>
            </w:pPr>
          </w:p>
        </w:tc>
      </w:tr>
      <w:tr w14:paraId="63DDAD57">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0179041E">
            <w:pPr>
              <w:autoSpaceDE w:val="0"/>
              <w:autoSpaceDN w:val="0"/>
              <w:rPr>
                <w:color w:val="auto"/>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tcPr>
          <w:p w14:paraId="1A9FA122">
            <w:pPr>
              <w:autoSpaceDE w:val="0"/>
              <w:autoSpaceDN w:val="0"/>
              <w:rPr>
                <w:color w:val="auto"/>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tcPr>
          <w:p w14:paraId="78F54B99">
            <w:pPr>
              <w:autoSpaceDE w:val="0"/>
              <w:autoSpaceDN w:val="0"/>
              <w:rPr>
                <w:color w:val="auto"/>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tcPr>
          <w:p w14:paraId="75622567">
            <w:pPr>
              <w:autoSpaceDE w:val="0"/>
              <w:autoSpaceDN w:val="0"/>
              <w:rPr>
                <w:color w:val="auto"/>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tcPr>
          <w:p w14:paraId="5141C98B">
            <w:pPr>
              <w:autoSpaceDE w:val="0"/>
              <w:autoSpaceDN w:val="0"/>
              <w:rPr>
                <w:color w:val="auto"/>
                <w:kern w:val="0"/>
                <w:sz w:val="24"/>
                <w:highlight w:val="none"/>
              </w:rPr>
            </w:pPr>
          </w:p>
        </w:tc>
      </w:tr>
      <w:tr w14:paraId="4B615F70">
        <w:tblPrEx>
          <w:tblCellMar>
            <w:top w:w="0" w:type="dxa"/>
            <w:left w:w="0" w:type="dxa"/>
            <w:bottom w:w="0" w:type="dxa"/>
            <w:right w:w="0" w:type="dxa"/>
          </w:tblCellMar>
        </w:tblPrEx>
        <w:trPr>
          <w:trHeight w:val="602" w:hRule="atLeast"/>
        </w:trPr>
        <w:tc>
          <w:tcPr>
            <w:tcW w:w="1437" w:type="dxa"/>
            <w:tcBorders>
              <w:top w:val="single" w:color="auto" w:sz="8" w:space="0"/>
              <w:left w:val="single" w:color="auto" w:sz="12" w:space="0"/>
              <w:bottom w:val="single" w:color="auto" w:sz="12" w:space="0"/>
              <w:right w:val="single" w:color="auto" w:sz="8" w:space="0"/>
            </w:tcBorders>
          </w:tcPr>
          <w:p w14:paraId="4A4FC643">
            <w:pPr>
              <w:autoSpaceDE w:val="0"/>
              <w:autoSpaceDN w:val="0"/>
              <w:rPr>
                <w:color w:val="auto"/>
                <w:kern w:val="0"/>
                <w:sz w:val="24"/>
                <w:highlight w:val="none"/>
              </w:rPr>
            </w:pPr>
          </w:p>
        </w:tc>
        <w:tc>
          <w:tcPr>
            <w:tcW w:w="1430" w:type="dxa"/>
            <w:tcBorders>
              <w:top w:val="single" w:color="auto" w:sz="8" w:space="0"/>
              <w:left w:val="single" w:color="auto" w:sz="8" w:space="0"/>
              <w:bottom w:val="single" w:color="auto" w:sz="12" w:space="0"/>
              <w:right w:val="single" w:color="auto" w:sz="8" w:space="0"/>
            </w:tcBorders>
          </w:tcPr>
          <w:p w14:paraId="7175C224">
            <w:pPr>
              <w:autoSpaceDE w:val="0"/>
              <w:autoSpaceDN w:val="0"/>
              <w:rPr>
                <w:color w:val="auto"/>
                <w:kern w:val="0"/>
                <w:sz w:val="24"/>
                <w:highlight w:val="none"/>
              </w:rPr>
            </w:pPr>
          </w:p>
        </w:tc>
        <w:tc>
          <w:tcPr>
            <w:tcW w:w="2516" w:type="dxa"/>
            <w:tcBorders>
              <w:top w:val="single" w:color="auto" w:sz="8" w:space="0"/>
              <w:left w:val="single" w:color="auto" w:sz="8" w:space="0"/>
              <w:bottom w:val="single" w:color="auto" w:sz="12" w:space="0"/>
              <w:right w:val="single" w:color="auto" w:sz="8" w:space="0"/>
            </w:tcBorders>
          </w:tcPr>
          <w:p w14:paraId="4DA5DC0F">
            <w:pPr>
              <w:autoSpaceDE w:val="0"/>
              <w:autoSpaceDN w:val="0"/>
              <w:rPr>
                <w:color w:val="auto"/>
                <w:kern w:val="0"/>
                <w:sz w:val="24"/>
                <w:highlight w:val="none"/>
              </w:rPr>
            </w:pPr>
          </w:p>
        </w:tc>
        <w:tc>
          <w:tcPr>
            <w:tcW w:w="2330" w:type="dxa"/>
            <w:tcBorders>
              <w:top w:val="single" w:color="auto" w:sz="8" w:space="0"/>
              <w:left w:val="single" w:color="auto" w:sz="8" w:space="0"/>
              <w:bottom w:val="single" w:color="auto" w:sz="12" w:space="0"/>
              <w:right w:val="single" w:color="auto" w:sz="8" w:space="0"/>
            </w:tcBorders>
          </w:tcPr>
          <w:p w14:paraId="6EF80463">
            <w:pPr>
              <w:autoSpaceDE w:val="0"/>
              <w:autoSpaceDN w:val="0"/>
              <w:rPr>
                <w:color w:val="auto"/>
                <w:kern w:val="0"/>
                <w:sz w:val="24"/>
                <w:highlight w:val="none"/>
              </w:rPr>
            </w:pPr>
          </w:p>
        </w:tc>
        <w:tc>
          <w:tcPr>
            <w:tcW w:w="1387" w:type="dxa"/>
            <w:tcBorders>
              <w:top w:val="single" w:color="auto" w:sz="8" w:space="0"/>
              <w:left w:val="single" w:color="auto" w:sz="8" w:space="0"/>
              <w:bottom w:val="single" w:color="auto" w:sz="12" w:space="0"/>
              <w:right w:val="single" w:color="auto" w:sz="12" w:space="0"/>
            </w:tcBorders>
          </w:tcPr>
          <w:p w14:paraId="3BCD3B1B">
            <w:pPr>
              <w:autoSpaceDE w:val="0"/>
              <w:autoSpaceDN w:val="0"/>
              <w:rPr>
                <w:color w:val="auto"/>
                <w:kern w:val="0"/>
                <w:sz w:val="24"/>
                <w:highlight w:val="none"/>
              </w:rPr>
            </w:pPr>
          </w:p>
        </w:tc>
      </w:tr>
    </w:tbl>
    <w:p w14:paraId="7197235A">
      <w:pPr>
        <w:spacing w:line="360" w:lineRule="auto"/>
        <w:ind w:left="420"/>
        <w:rPr>
          <w:rFonts w:hAnsi="宋体" w:cs="仿宋"/>
          <w:color w:val="auto"/>
          <w:szCs w:val="21"/>
          <w:highlight w:val="none"/>
        </w:rPr>
      </w:pPr>
      <w:r>
        <w:rPr>
          <w:rFonts w:hint="eastAsia"/>
          <w:color w:val="auto"/>
          <w:kern w:val="0"/>
          <w:sz w:val="24"/>
          <w:highlight w:val="none"/>
        </w:rPr>
        <w:t>注：</w:t>
      </w:r>
      <w:r>
        <w:rPr>
          <w:rFonts w:hint="eastAsia" w:hAnsi="宋体" w:cs="仿宋"/>
          <w:color w:val="auto"/>
          <w:szCs w:val="21"/>
          <w:highlight w:val="none"/>
        </w:rPr>
        <w:t>①供应商应将</w:t>
      </w:r>
      <w:r>
        <w:rPr>
          <w:rFonts w:hint="eastAsia" w:hAnsi="宋体" w:cs="仿宋"/>
          <w:b/>
          <w:color w:val="auto"/>
          <w:szCs w:val="21"/>
          <w:highlight w:val="none"/>
          <w:u w:val="single"/>
        </w:rPr>
        <w:t xml:space="preserve"> 2022年1月1日</w:t>
      </w:r>
      <w:r>
        <w:rPr>
          <w:rFonts w:hint="eastAsia" w:hAnsi="宋体" w:cs="仿宋"/>
          <w:color w:val="auto"/>
          <w:szCs w:val="21"/>
          <w:highlight w:val="none"/>
        </w:rPr>
        <w:t>以来签订的类似项目情况填入本表中；</w:t>
      </w:r>
    </w:p>
    <w:p w14:paraId="4E342177">
      <w:pPr>
        <w:spacing w:line="360" w:lineRule="auto"/>
        <w:ind w:firstLine="420" w:firstLineChars="200"/>
        <w:rPr>
          <w:rFonts w:hAnsi="宋体" w:cs="仿宋"/>
          <w:color w:val="auto"/>
          <w:szCs w:val="21"/>
          <w:highlight w:val="none"/>
        </w:rPr>
      </w:pPr>
      <w:r>
        <w:rPr>
          <w:rFonts w:hint="eastAsia" w:hAnsi="宋体" w:cs="仿宋"/>
          <w:color w:val="auto"/>
          <w:szCs w:val="21"/>
          <w:highlight w:val="none"/>
        </w:rPr>
        <w:t>②</w:t>
      </w:r>
      <w:r>
        <w:rPr>
          <w:rFonts w:hAnsi="宋体" w:cs="仿宋"/>
          <w:color w:val="auto"/>
          <w:szCs w:val="21"/>
          <w:highlight w:val="none"/>
        </w:rPr>
        <w:t>本表后须</w:t>
      </w:r>
      <w:r>
        <w:rPr>
          <w:rFonts w:hAnsi="宋体" w:cs="仿宋"/>
          <w:b/>
          <w:color w:val="auto"/>
          <w:szCs w:val="21"/>
          <w:highlight w:val="none"/>
        </w:rPr>
        <w:t>应附合同协议书或委托书</w:t>
      </w:r>
      <w:r>
        <w:rPr>
          <w:rFonts w:hAnsi="宋体" w:cs="仿宋"/>
          <w:color w:val="auto"/>
          <w:szCs w:val="21"/>
          <w:highlight w:val="none"/>
        </w:rPr>
        <w:t>的</w:t>
      </w:r>
      <w:r>
        <w:rPr>
          <w:rFonts w:hint="eastAsia" w:hAnsi="宋体" w:cs="仿宋"/>
          <w:color w:val="auto"/>
          <w:szCs w:val="21"/>
          <w:highlight w:val="none"/>
        </w:rPr>
        <w:t>扫描件。</w:t>
      </w:r>
    </w:p>
    <w:p w14:paraId="40F4B01E">
      <w:pPr>
        <w:autoSpaceDE w:val="0"/>
        <w:autoSpaceDN w:val="0"/>
        <w:adjustRightInd w:val="0"/>
        <w:jc w:val="left"/>
        <w:rPr>
          <w:color w:val="auto"/>
          <w:kern w:val="0"/>
          <w:sz w:val="24"/>
          <w:highlight w:val="none"/>
        </w:rPr>
      </w:pPr>
    </w:p>
    <w:p w14:paraId="0615393B">
      <w:pPr>
        <w:snapToGrid w:val="0"/>
        <w:spacing w:before="50" w:after="50"/>
        <w:rPr>
          <w:rFonts w:ascii="宋体" w:hAnsi="宋体"/>
          <w:color w:val="auto"/>
          <w:szCs w:val="21"/>
          <w:highlight w:val="none"/>
        </w:rPr>
      </w:pPr>
    </w:p>
    <w:p w14:paraId="77414719">
      <w:pPr>
        <w:pStyle w:val="5"/>
        <w:overflowPunct w:val="0"/>
        <w:spacing w:line="520" w:lineRule="exact"/>
        <w:ind w:firstLine="0"/>
        <w:jc w:val="center"/>
        <w:rPr>
          <w:color w:val="auto"/>
          <w:sz w:val="24"/>
          <w:highlight w:val="none"/>
        </w:rPr>
      </w:pPr>
      <w:r>
        <w:rPr>
          <w:rFonts w:hint="eastAsia"/>
          <w:color w:val="auto"/>
          <w:sz w:val="24"/>
          <w:highlight w:val="none"/>
        </w:rPr>
        <w:t>供应商名称：</w:t>
      </w:r>
      <w:r>
        <w:rPr>
          <w:rFonts w:hint="eastAsia"/>
          <w:color w:val="auto"/>
          <w:sz w:val="24"/>
          <w:highlight w:val="none"/>
          <w:u w:val="single"/>
        </w:rPr>
        <w:t xml:space="preserve">                         </w:t>
      </w:r>
      <w:r>
        <w:rPr>
          <w:rFonts w:hint="eastAsia"/>
          <w:color w:val="auto"/>
          <w:sz w:val="24"/>
          <w:highlight w:val="none"/>
        </w:rPr>
        <w:t>（盖单位公章）</w:t>
      </w:r>
    </w:p>
    <w:p w14:paraId="1E5192E7">
      <w:pPr>
        <w:pStyle w:val="5"/>
        <w:overflowPunct w:val="0"/>
        <w:spacing w:line="520" w:lineRule="exact"/>
        <w:ind w:firstLine="1478" w:firstLineChars="616"/>
        <w:rPr>
          <w:color w:val="auto"/>
          <w:sz w:val="24"/>
          <w:highlight w:val="none"/>
        </w:rPr>
      </w:pPr>
      <w:r>
        <w:rPr>
          <w:rFonts w:hint="eastAsia"/>
          <w:color w:val="auto"/>
          <w:sz w:val="24"/>
          <w:highlight w:val="none"/>
        </w:rPr>
        <w:t>法定代表人或其委托代理人：</w:t>
      </w:r>
      <w:r>
        <w:rPr>
          <w:rFonts w:hint="eastAsia"/>
          <w:color w:val="auto"/>
          <w:sz w:val="24"/>
          <w:highlight w:val="none"/>
          <w:u w:val="single"/>
        </w:rPr>
        <w:t xml:space="preserve">           </w:t>
      </w:r>
      <w:r>
        <w:rPr>
          <w:rFonts w:hint="eastAsia"/>
          <w:color w:val="auto"/>
          <w:sz w:val="24"/>
          <w:highlight w:val="none"/>
        </w:rPr>
        <w:t>（签字）</w:t>
      </w:r>
    </w:p>
    <w:p w14:paraId="3A7D7578">
      <w:pPr>
        <w:pStyle w:val="5"/>
        <w:overflowPunct w:val="0"/>
        <w:spacing w:line="520" w:lineRule="exact"/>
        <w:ind w:firstLine="3998" w:firstLineChars="1666"/>
        <w:rPr>
          <w:color w:val="auto"/>
          <w:sz w:val="24"/>
          <w:highlight w:val="none"/>
        </w:rPr>
      </w:pPr>
      <w:r>
        <w:rPr>
          <w:rFonts w:hint="eastAsia"/>
          <w:color w:val="auto"/>
          <w:sz w:val="24"/>
          <w:highlight w:val="none"/>
          <w:u w:val="single"/>
        </w:rPr>
        <w:t xml:space="preserve">      </w:t>
      </w:r>
      <w:r>
        <w:rPr>
          <w:rFonts w:hint="eastAsia"/>
          <w:color w:val="auto"/>
          <w:sz w:val="24"/>
          <w:highlight w:val="none"/>
        </w:rPr>
        <w:t>年</w:t>
      </w:r>
      <w:r>
        <w:rPr>
          <w:rFonts w:hint="eastAsia"/>
          <w:color w:val="auto"/>
          <w:sz w:val="24"/>
          <w:highlight w:val="none"/>
          <w:u w:val="single"/>
        </w:rPr>
        <w:t xml:space="preserve">    </w:t>
      </w:r>
      <w:r>
        <w:rPr>
          <w:rFonts w:hint="eastAsia"/>
          <w:color w:val="auto"/>
          <w:sz w:val="24"/>
          <w:highlight w:val="none"/>
        </w:rPr>
        <w:t>月</w:t>
      </w:r>
      <w:r>
        <w:rPr>
          <w:rFonts w:hint="eastAsia"/>
          <w:color w:val="auto"/>
          <w:sz w:val="24"/>
          <w:highlight w:val="none"/>
          <w:u w:val="single"/>
        </w:rPr>
        <w:t xml:space="preserve">    </w:t>
      </w:r>
      <w:r>
        <w:rPr>
          <w:rFonts w:hint="eastAsia"/>
          <w:color w:val="auto"/>
          <w:sz w:val="24"/>
          <w:highlight w:val="none"/>
        </w:rPr>
        <w:t>日</w:t>
      </w:r>
    </w:p>
    <w:p w14:paraId="7A10565B">
      <w:pPr>
        <w:snapToGrid w:val="0"/>
        <w:spacing w:before="120" w:beforeLines="50" w:after="50"/>
        <w:jc w:val="left"/>
        <w:rPr>
          <w:rFonts w:ascii="宋体" w:hAnsi="宋体"/>
          <w:color w:val="auto"/>
          <w:szCs w:val="21"/>
          <w:highlight w:val="none"/>
        </w:rPr>
      </w:pPr>
    </w:p>
    <w:p w14:paraId="5FCDD220">
      <w:pPr>
        <w:snapToGrid w:val="0"/>
        <w:spacing w:before="120" w:beforeLines="50" w:after="50"/>
        <w:jc w:val="left"/>
        <w:rPr>
          <w:rFonts w:ascii="宋体" w:hAnsi="宋体"/>
          <w:color w:val="auto"/>
          <w:szCs w:val="21"/>
          <w:highlight w:val="none"/>
        </w:rPr>
      </w:pPr>
    </w:p>
    <w:p w14:paraId="7602F335">
      <w:pPr>
        <w:snapToGrid w:val="0"/>
        <w:spacing w:before="120" w:beforeLines="50" w:after="50"/>
        <w:jc w:val="center"/>
        <w:outlineLvl w:val="2"/>
        <w:rPr>
          <w:rFonts w:ascii="宋体" w:hAnsi="宋体"/>
          <w:b/>
          <w:bCs/>
          <w:color w:val="auto"/>
          <w:sz w:val="24"/>
          <w:highlight w:val="none"/>
        </w:rPr>
      </w:pPr>
      <w:r>
        <w:rPr>
          <w:rFonts w:hint="eastAsia" w:ascii="宋体" w:hAnsi="宋体"/>
          <w:b/>
          <w:color w:val="auto"/>
          <w:sz w:val="24"/>
          <w:highlight w:val="none"/>
        </w:rPr>
        <w:br w:type="page"/>
      </w:r>
      <w:bookmarkStart w:id="48" w:name="_Toc5115"/>
      <w:bookmarkStart w:id="49" w:name="_Toc27275"/>
      <w:r>
        <w:rPr>
          <w:rFonts w:hint="eastAsia" w:ascii="宋体" w:hAnsi="宋体"/>
          <w:b/>
          <w:bCs/>
          <w:color w:val="auto"/>
          <w:sz w:val="24"/>
          <w:highlight w:val="none"/>
        </w:rPr>
        <w:t>（二）项目实施主要人员表</w:t>
      </w:r>
      <w:bookmarkEnd w:id="48"/>
      <w:bookmarkEnd w:id="49"/>
    </w:p>
    <w:p w14:paraId="6A39336F">
      <w:pPr>
        <w:snapToGrid w:val="0"/>
        <w:spacing w:before="120" w:beforeLines="50" w:after="50"/>
        <w:ind w:left="142"/>
        <w:jc w:val="left"/>
        <w:rPr>
          <w:rFonts w:ascii="宋体" w:hAnsi="宋体"/>
          <w:b/>
          <w:color w:val="auto"/>
          <w:sz w:val="24"/>
          <w:highlight w:val="none"/>
        </w:rPr>
      </w:pPr>
    </w:p>
    <w:p w14:paraId="2F771AD8">
      <w:pPr>
        <w:jc w:val="center"/>
        <w:outlineLvl w:val="3"/>
        <w:rPr>
          <w:rFonts w:ascii="黑体" w:hAnsi="宋体" w:eastAsia="黑体"/>
          <w:color w:val="auto"/>
          <w:sz w:val="24"/>
          <w:highlight w:val="none"/>
        </w:rPr>
      </w:pPr>
      <w:r>
        <w:rPr>
          <w:rFonts w:hint="eastAsia" w:ascii="黑体" w:hAnsi="宋体" w:eastAsia="黑体"/>
          <w:color w:val="auto"/>
          <w:sz w:val="24"/>
          <w:highlight w:val="none"/>
        </w:rPr>
        <w:t>1.</w:t>
      </w:r>
      <w:r>
        <w:rPr>
          <w:rFonts w:ascii="黑体" w:hAnsi="宋体" w:eastAsia="黑体"/>
          <w:color w:val="auto"/>
          <w:sz w:val="24"/>
          <w:highlight w:val="none"/>
        </w:rPr>
        <w:t>参加本项目的主要人员汇总表</w:t>
      </w:r>
    </w:p>
    <w:p w14:paraId="074D8B11">
      <w:pPr>
        <w:jc w:val="center"/>
        <w:rPr>
          <w:rFonts w:ascii="黑体" w:hAnsi="宋体" w:eastAsia="黑体"/>
          <w:color w:val="auto"/>
          <w:sz w:val="24"/>
          <w:highlight w:val="none"/>
        </w:rPr>
      </w:pPr>
    </w:p>
    <w:tbl>
      <w:tblPr>
        <w:tblStyle w:val="25"/>
        <w:tblW w:w="9165" w:type="dxa"/>
        <w:tblInd w:w="15" w:type="dxa"/>
        <w:tblLayout w:type="fixed"/>
        <w:tblCellMar>
          <w:top w:w="0" w:type="dxa"/>
          <w:left w:w="0" w:type="dxa"/>
          <w:bottom w:w="0" w:type="dxa"/>
          <w:right w:w="0" w:type="dxa"/>
        </w:tblCellMar>
      </w:tblPr>
      <w:tblGrid>
        <w:gridCol w:w="712"/>
        <w:gridCol w:w="720"/>
        <w:gridCol w:w="1815"/>
        <w:gridCol w:w="1267"/>
        <w:gridCol w:w="1267"/>
        <w:gridCol w:w="1267"/>
        <w:gridCol w:w="2117"/>
      </w:tblGrid>
      <w:tr w14:paraId="3FB47071">
        <w:tblPrEx>
          <w:tblCellMar>
            <w:top w:w="0" w:type="dxa"/>
            <w:left w:w="0" w:type="dxa"/>
            <w:bottom w:w="0" w:type="dxa"/>
            <w:right w:w="0" w:type="dxa"/>
          </w:tblCellMar>
        </w:tblPrEx>
        <w:trPr>
          <w:trHeight w:val="900" w:hRule="atLeast"/>
        </w:trPr>
        <w:tc>
          <w:tcPr>
            <w:tcW w:w="712" w:type="dxa"/>
            <w:tcBorders>
              <w:top w:val="single" w:color="auto" w:sz="12" w:space="0"/>
              <w:left w:val="single" w:color="auto" w:sz="12" w:space="0"/>
              <w:bottom w:val="single" w:color="auto" w:sz="8" w:space="0"/>
              <w:right w:val="single" w:color="auto" w:sz="8" w:space="0"/>
            </w:tcBorders>
            <w:vAlign w:val="center"/>
          </w:tcPr>
          <w:p w14:paraId="44DCC04D">
            <w:pPr>
              <w:autoSpaceDE w:val="0"/>
              <w:autoSpaceDN w:val="0"/>
              <w:jc w:val="center"/>
              <w:rPr>
                <w:rFonts w:ascii="宋体" w:cs="宋体"/>
                <w:color w:val="auto"/>
                <w:kern w:val="0"/>
                <w:sz w:val="24"/>
                <w:highlight w:val="none"/>
              </w:rPr>
            </w:pPr>
            <w:r>
              <w:rPr>
                <w:rFonts w:hint="eastAsia" w:ascii="宋体" w:cs="宋体"/>
                <w:color w:val="auto"/>
                <w:kern w:val="0"/>
                <w:sz w:val="24"/>
                <w:highlight w:val="none"/>
              </w:rPr>
              <w:t>姓名</w:t>
            </w:r>
          </w:p>
        </w:tc>
        <w:tc>
          <w:tcPr>
            <w:tcW w:w="720" w:type="dxa"/>
            <w:tcBorders>
              <w:top w:val="single" w:color="auto" w:sz="12" w:space="0"/>
              <w:left w:val="single" w:color="auto" w:sz="8" w:space="0"/>
              <w:bottom w:val="single" w:color="auto" w:sz="8" w:space="0"/>
              <w:right w:val="single" w:color="auto" w:sz="8" w:space="0"/>
            </w:tcBorders>
            <w:vAlign w:val="center"/>
          </w:tcPr>
          <w:p w14:paraId="63CA1B7E">
            <w:pPr>
              <w:autoSpaceDE w:val="0"/>
              <w:autoSpaceDN w:val="0"/>
              <w:jc w:val="center"/>
              <w:rPr>
                <w:rFonts w:ascii="宋体" w:cs="宋体"/>
                <w:color w:val="auto"/>
                <w:kern w:val="0"/>
                <w:sz w:val="24"/>
                <w:highlight w:val="none"/>
              </w:rPr>
            </w:pPr>
            <w:r>
              <w:rPr>
                <w:rFonts w:hint="eastAsia" w:ascii="宋体" w:cs="宋体"/>
                <w:color w:val="auto"/>
                <w:kern w:val="0"/>
                <w:sz w:val="24"/>
                <w:highlight w:val="none"/>
              </w:rPr>
              <w:t>年龄</w:t>
            </w:r>
          </w:p>
        </w:tc>
        <w:tc>
          <w:tcPr>
            <w:tcW w:w="1815" w:type="dxa"/>
            <w:tcBorders>
              <w:top w:val="single" w:color="auto" w:sz="12" w:space="0"/>
              <w:left w:val="single" w:color="auto" w:sz="8" w:space="0"/>
              <w:bottom w:val="single" w:color="auto" w:sz="8" w:space="0"/>
              <w:right w:val="single" w:color="auto" w:sz="8" w:space="0"/>
            </w:tcBorders>
            <w:vAlign w:val="center"/>
          </w:tcPr>
          <w:p w14:paraId="5B8DA297">
            <w:pPr>
              <w:autoSpaceDE w:val="0"/>
              <w:autoSpaceDN w:val="0"/>
              <w:jc w:val="center"/>
              <w:rPr>
                <w:rFonts w:ascii="宋体" w:cs="宋体"/>
                <w:color w:val="auto"/>
                <w:kern w:val="0"/>
                <w:sz w:val="24"/>
                <w:highlight w:val="none"/>
              </w:rPr>
            </w:pPr>
            <w:r>
              <w:rPr>
                <w:rFonts w:hint="eastAsia" w:ascii="宋体" w:cs="宋体"/>
                <w:color w:val="auto"/>
                <w:kern w:val="0"/>
                <w:sz w:val="24"/>
                <w:highlight w:val="none"/>
              </w:rPr>
              <w:t>拟在本项目中</w:t>
            </w:r>
          </w:p>
          <w:p w14:paraId="63A35152">
            <w:pPr>
              <w:autoSpaceDE w:val="0"/>
              <w:autoSpaceDN w:val="0"/>
              <w:jc w:val="center"/>
              <w:rPr>
                <w:rFonts w:ascii="宋体" w:cs="宋体"/>
                <w:color w:val="auto"/>
                <w:kern w:val="0"/>
                <w:sz w:val="24"/>
                <w:highlight w:val="none"/>
              </w:rPr>
            </w:pPr>
            <w:r>
              <w:rPr>
                <w:rFonts w:hint="eastAsia" w:ascii="宋体" w:cs="宋体"/>
                <w:color w:val="auto"/>
                <w:kern w:val="0"/>
                <w:sz w:val="24"/>
                <w:highlight w:val="none"/>
              </w:rPr>
              <w:t>担任的职务</w:t>
            </w:r>
          </w:p>
        </w:tc>
        <w:tc>
          <w:tcPr>
            <w:tcW w:w="1267" w:type="dxa"/>
            <w:tcBorders>
              <w:top w:val="single" w:color="auto" w:sz="12" w:space="0"/>
              <w:left w:val="single" w:color="auto" w:sz="8" w:space="0"/>
              <w:bottom w:val="single" w:color="auto" w:sz="8" w:space="0"/>
              <w:right w:val="single" w:color="auto" w:sz="8" w:space="0"/>
            </w:tcBorders>
            <w:vAlign w:val="center"/>
          </w:tcPr>
          <w:p w14:paraId="0B73A829">
            <w:pPr>
              <w:autoSpaceDE w:val="0"/>
              <w:autoSpaceDN w:val="0"/>
              <w:jc w:val="center"/>
              <w:rPr>
                <w:rFonts w:ascii="宋体" w:cs="宋体"/>
                <w:color w:val="auto"/>
                <w:kern w:val="0"/>
                <w:sz w:val="24"/>
                <w:highlight w:val="none"/>
              </w:rPr>
            </w:pPr>
            <w:r>
              <w:rPr>
                <w:rFonts w:hint="eastAsia" w:ascii="宋体" w:cs="宋体"/>
                <w:color w:val="auto"/>
                <w:kern w:val="0"/>
                <w:sz w:val="24"/>
                <w:highlight w:val="none"/>
              </w:rPr>
              <w:t>技术职称</w:t>
            </w:r>
          </w:p>
        </w:tc>
        <w:tc>
          <w:tcPr>
            <w:tcW w:w="1267" w:type="dxa"/>
            <w:tcBorders>
              <w:top w:val="single" w:color="auto" w:sz="12" w:space="0"/>
              <w:left w:val="single" w:color="auto" w:sz="8" w:space="0"/>
              <w:bottom w:val="single" w:color="auto" w:sz="8" w:space="0"/>
              <w:right w:val="single" w:color="auto" w:sz="8" w:space="0"/>
            </w:tcBorders>
            <w:vAlign w:val="center"/>
          </w:tcPr>
          <w:p w14:paraId="6F06D98D">
            <w:pPr>
              <w:autoSpaceDE w:val="0"/>
              <w:autoSpaceDN w:val="0"/>
              <w:jc w:val="center"/>
              <w:rPr>
                <w:rFonts w:ascii="宋体" w:cs="宋体"/>
                <w:color w:val="auto"/>
                <w:kern w:val="0"/>
                <w:sz w:val="24"/>
                <w:highlight w:val="none"/>
              </w:rPr>
            </w:pPr>
            <w:r>
              <w:rPr>
                <w:rFonts w:hint="eastAsia" w:ascii="宋体" w:cs="宋体"/>
                <w:color w:val="auto"/>
                <w:kern w:val="0"/>
                <w:sz w:val="24"/>
                <w:highlight w:val="none"/>
              </w:rPr>
              <w:t>从事专业</w:t>
            </w:r>
          </w:p>
        </w:tc>
        <w:tc>
          <w:tcPr>
            <w:tcW w:w="1267" w:type="dxa"/>
            <w:tcBorders>
              <w:top w:val="single" w:color="auto" w:sz="12" w:space="0"/>
              <w:left w:val="single" w:color="auto" w:sz="8" w:space="0"/>
              <w:bottom w:val="single" w:color="auto" w:sz="8" w:space="0"/>
              <w:right w:val="single" w:color="auto" w:sz="8" w:space="0"/>
            </w:tcBorders>
            <w:vAlign w:val="center"/>
          </w:tcPr>
          <w:p w14:paraId="74D4D9F3">
            <w:pPr>
              <w:autoSpaceDE w:val="0"/>
              <w:autoSpaceDN w:val="0"/>
              <w:jc w:val="center"/>
              <w:rPr>
                <w:rFonts w:ascii="宋体" w:cs="宋体"/>
                <w:color w:val="auto"/>
                <w:kern w:val="0"/>
                <w:sz w:val="24"/>
                <w:highlight w:val="none"/>
              </w:rPr>
            </w:pPr>
            <w:r>
              <w:rPr>
                <w:rFonts w:hint="eastAsia" w:ascii="宋体" w:cs="宋体"/>
                <w:color w:val="auto"/>
                <w:kern w:val="0"/>
                <w:sz w:val="24"/>
                <w:highlight w:val="none"/>
              </w:rPr>
              <w:t>工作年限</w:t>
            </w:r>
          </w:p>
        </w:tc>
        <w:tc>
          <w:tcPr>
            <w:tcW w:w="2117" w:type="dxa"/>
            <w:tcBorders>
              <w:top w:val="single" w:color="auto" w:sz="12" w:space="0"/>
              <w:left w:val="single" w:color="auto" w:sz="8" w:space="0"/>
              <w:bottom w:val="single" w:color="auto" w:sz="8" w:space="0"/>
              <w:right w:val="single" w:color="auto" w:sz="12" w:space="0"/>
            </w:tcBorders>
            <w:vAlign w:val="center"/>
          </w:tcPr>
          <w:p w14:paraId="24BA367E">
            <w:pPr>
              <w:autoSpaceDE w:val="0"/>
              <w:autoSpaceDN w:val="0"/>
              <w:jc w:val="center"/>
              <w:rPr>
                <w:rFonts w:ascii="宋体" w:cs="宋体"/>
                <w:color w:val="auto"/>
                <w:kern w:val="0"/>
                <w:sz w:val="24"/>
                <w:highlight w:val="none"/>
              </w:rPr>
            </w:pPr>
            <w:r>
              <w:rPr>
                <w:rFonts w:hint="eastAsia" w:ascii="宋体" w:cs="宋体"/>
                <w:color w:val="auto"/>
                <w:kern w:val="0"/>
                <w:sz w:val="24"/>
                <w:highlight w:val="none"/>
              </w:rPr>
              <w:t>类似项目</w:t>
            </w:r>
          </w:p>
          <w:p w14:paraId="16C932F4">
            <w:pPr>
              <w:autoSpaceDE w:val="0"/>
              <w:autoSpaceDN w:val="0"/>
              <w:jc w:val="center"/>
              <w:rPr>
                <w:rFonts w:ascii="宋体" w:cs="宋体"/>
                <w:color w:val="auto"/>
                <w:kern w:val="0"/>
                <w:sz w:val="24"/>
                <w:highlight w:val="none"/>
              </w:rPr>
            </w:pPr>
            <w:r>
              <w:rPr>
                <w:rFonts w:hint="eastAsia" w:ascii="宋体" w:cs="宋体"/>
                <w:color w:val="auto"/>
                <w:kern w:val="0"/>
                <w:sz w:val="24"/>
                <w:highlight w:val="none"/>
              </w:rPr>
              <w:t>经验年限</w:t>
            </w:r>
          </w:p>
        </w:tc>
      </w:tr>
      <w:tr w14:paraId="191B2907">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8" w:space="0"/>
              <w:right w:val="single" w:color="auto" w:sz="8" w:space="0"/>
            </w:tcBorders>
            <w:vAlign w:val="center"/>
          </w:tcPr>
          <w:p w14:paraId="084A6291">
            <w:pPr>
              <w:autoSpaceDE w:val="0"/>
              <w:autoSpaceDN w:val="0"/>
              <w:jc w:val="center"/>
              <w:rPr>
                <w:color w:val="auto"/>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28B3FB0A">
            <w:pPr>
              <w:autoSpaceDE w:val="0"/>
              <w:autoSpaceDN w:val="0"/>
              <w:jc w:val="center"/>
              <w:rPr>
                <w:color w:val="auto"/>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1BB28879">
            <w:pPr>
              <w:autoSpaceDE w:val="0"/>
              <w:autoSpaceDN w:val="0"/>
              <w:jc w:val="center"/>
              <w:rPr>
                <w:color w:val="auto"/>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2B2A5BA1">
            <w:pPr>
              <w:autoSpaceDE w:val="0"/>
              <w:autoSpaceDN w:val="0"/>
              <w:jc w:val="center"/>
              <w:rPr>
                <w:color w:val="auto"/>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130A08E1">
            <w:pPr>
              <w:autoSpaceDE w:val="0"/>
              <w:autoSpaceDN w:val="0"/>
              <w:jc w:val="center"/>
              <w:rPr>
                <w:color w:val="auto"/>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3036DF8">
            <w:pPr>
              <w:autoSpaceDE w:val="0"/>
              <w:autoSpaceDN w:val="0"/>
              <w:jc w:val="center"/>
              <w:rPr>
                <w:color w:val="auto"/>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359E687C">
            <w:pPr>
              <w:autoSpaceDE w:val="0"/>
              <w:autoSpaceDN w:val="0"/>
              <w:jc w:val="center"/>
              <w:rPr>
                <w:color w:val="auto"/>
                <w:kern w:val="0"/>
                <w:sz w:val="24"/>
                <w:highlight w:val="none"/>
              </w:rPr>
            </w:pPr>
          </w:p>
        </w:tc>
      </w:tr>
      <w:tr w14:paraId="290D1FFB">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4201C311">
            <w:pPr>
              <w:autoSpaceDE w:val="0"/>
              <w:autoSpaceDN w:val="0"/>
              <w:jc w:val="center"/>
              <w:rPr>
                <w:color w:val="auto"/>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58A52EA1">
            <w:pPr>
              <w:autoSpaceDE w:val="0"/>
              <w:autoSpaceDN w:val="0"/>
              <w:jc w:val="center"/>
              <w:rPr>
                <w:color w:val="auto"/>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53FAACF4">
            <w:pPr>
              <w:autoSpaceDE w:val="0"/>
              <w:autoSpaceDN w:val="0"/>
              <w:jc w:val="center"/>
              <w:rPr>
                <w:color w:val="auto"/>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52C9FE02">
            <w:pPr>
              <w:autoSpaceDE w:val="0"/>
              <w:autoSpaceDN w:val="0"/>
              <w:jc w:val="center"/>
              <w:rPr>
                <w:color w:val="auto"/>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2A2265C0">
            <w:pPr>
              <w:autoSpaceDE w:val="0"/>
              <w:autoSpaceDN w:val="0"/>
              <w:jc w:val="center"/>
              <w:rPr>
                <w:color w:val="auto"/>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4A6341F">
            <w:pPr>
              <w:autoSpaceDE w:val="0"/>
              <w:autoSpaceDN w:val="0"/>
              <w:jc w:val="center"/>
              <w:rPr>
                <w:color w:val="auto"/>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772A33AB">
            <w:pPr>
              <w:autoSpaceDE w:val="0"/>
              <w:autoSpaceDN w:val="0"/>
              <w:jc w:val="center"/>
              <w:rPr>
                <w:color w:val="auto"/>
                <w:kern w:val="0"/>
                <w:sz w:val="24"/>
                <w:highlight w:val="none"/>
              </w:rPr>
            </w:pPr>
          </w:p>
        </w:tc>
      </w:tr>
      <w:tr w14:paraId="08D93C5D">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7790B992">
            <w:pPr>
              <w:autoSpaceDE w:val="0"/>
              <w:autoSpaceDN w:val="0"/>
              <w:jc w:val="center"/>
              <w:rPr>
                <w:color w:val="auto"/>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062C0AA2">
            <w:pPr>
              <w:autoSpaceDE w:val="0"/>
              <w:autoSpaceDN w:val="0"/>
              <w:jc w:val="center"/>
              <w:rPr>
                <w:color w:val="auto"/>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62A08E3D">
            <w:pPr>
              <w:autoSpaceDE w:val="0"/>
              <w:autoSpaceDN w:val="0"/>
              <w:jc w:val="center"/>
              <w:rPr>
                <w:rFonts w:ascii="宋体" w:cs="宋体"/>
                <w:color w:val="auto"/>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447DAC80">
            <w:pPr>
              <w:autoSpaceDE w:val="0"/>
              <w:autoSpaceDN w:val="0"/>
              <w:jc w:val="center"/>
              <w:rPr>
                <w:color w:val="auto"/>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244F8B62">
            <w:pPr>
              <w:autoSpaceDE w:val="0"/>
              <w:autoSpaceDN w:val="0"/>
              <w:jc w:val="center"/>
              <w:rPr>
                <w:color w:val="auto"/>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1AA30320">
            <w:pPr>
              <w:autoSpaceDE w:val="0"/>
              <w:autoSpaceDN w:val="0"/>
              <w:jc w:val="center"/>
              <w:rPr>
                <w:color w:val="auto"/>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7ABB91E7">
            <w:pPr>
              <w:autoSpaceDE w:val="0"/>
              <w:autoSpaceDN w:val="0"/>
              <w:jc w:val="center"/>
              <w:rPr>
                <w:color w:val="auto"/>
                <w:kern w:val="0"/>
                <w:sz w:val="24"/>
                <w:highlight w:val="none"/>
              </w:rPr>
            </w:pPr>
          </w:p>
        </w:tc>
      </w:tr>
      <w:tr w14:paraId="156BD62B">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8" w:space="0"/>
              <w:right w:val="single" w:color="auto" w:sz="8" w:space="0"/>
            </w:tcBorders>
            <w:vAlign w:val="center"/>
          </w:tcPr>
          <w:p w14:paraId="10ED6F90">
            <w:pPr>
              <w:autoSpaceDE w:val="0"/>
              <w:autoSpaceDN w:val="0"/>
              <w:jc w:val="center"/>
              <w:rPr>
                <w:color w:val="auto"/>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7FDDAE7E">
            <w:pPr>
              <w:autoSpaceDE w:val="0"/>
              <w:autoSpaceDN w:val="0"/>
              <w:jc w:val="center"/>
              <w:rPr>
                <w:color w:val="auto"/>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767C070A">
            <w:pPr>
              <w:autoSpaceDE w:val="0"/>
              <w:autoSpaceDN w:val="0"/>
              <w:jc w:val="center"/>
              <w:rPr>
                <w:color w:val="auto"/>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F2700CC">
            <w:pPr>
              <w:autoSpaceDE w:val="0"/>
              <w:autoSpaceDN w:val="0"/>
              <w:jc w:val="center"/>
              <w:rPr>
                <w:color w:val="auto"/>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665656D1">
            <w:pPr>
              <w:autoSpaceDE w:val="0"/>
              <w:autoSpaceDN w:val="0"/>
              <w:jc w:val="center"/>
              <w:rPr>
                <w:color w:val="auto"/>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194D7F6C">
            <w:pPr>
              <w:autoSpaceDE w:val="0"/>
              <w:autoSpaceDN w:val="0"/>
              <w:jc w:val="center"/>
              <w:rPr>
                <w:color w:val="auto"/>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4D1E1080">
            <w:pPr>
              <w:autoSpaceDE w:val="0"/>
              <w:autoSpaceDN w:val="0"/>
              <w:jc w:val="center"/>
              <w:rPr>
                <w:color w:val="auto"/>
                <w:kern w:val="0"/>
                <w:sz w:val="24"/>
                <w:highlight w:val="none"/>
              </w:rPr>
            </w:pPr>
          </w:p>
        </w:tc>
      </w:tr>
      <w:tr w14:paraId="62203300">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6503F707">
            <w:pPr>
              <w:autoSpaceDE w:val="0"/>
              <w:autoSpaceDN w:val="0"/>
              <w:jc w:val="center"/>
              <w:rPr>
                <w:color w:val="auto"/>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6428A55A">
            <w:pPr>
              <w:autoSpaceDE w:val="0"/>
              <w:autoSpaceDN w:val="0"/>
              <w:jc w:val="center"/>
              <w:rPr>
                <w:color w:val="auto"/>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065C576C">
            <w:pPr>
              <w:autoSpaceDE w:val="0"/>
              <w:autoSpaceDN w:val="0"/>
              <w:jc w:val="center"/>
              <w:rPr>
                <w:color w:val="auto"/>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1F928907">
            <w:pPr>
              <w:autoSpaceDE w:val="0"/>
              <w:autoSpaceDN w:val="0"/>
              <w:jc w:val="center"/>
              <w:rPr>
                <w:color w:val="auto"/>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539F8D43">
            <w:pPr>
              <w:autoSpaceDE w:val="0"/>
              <w:autoSpaceDN w:val="0"/>
              <w:jc w:val="center"/>
              <w:rPr>
                <w:color w:val="auto"/>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2AFB1444">
            <w:pPr>
              <w:autoSpaceDE w:val="0"/>
              <w:autoSpaceDN w:val="0"/>
              <w:jc w:val="center"/>
              <w:rPr>
                <w:color w:val="auto"/>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7D452EC5">
            <w:pPr>
              <w:autoSpaceDE w:val="0"/>
              <w:autoSpaceDN w:val="0"/>
              <w:jc w:val="center"/>
              <w:rPr>
                <w:color w:val="auto"/>
                <w:kern w:val="0"/>
                <w:sz w:val="24"/>
                <w:highlight w:val="none"/>
              </w:rPr>
            </w:pPr>
          </w:p>
        </w:tc>
      </w:tr>
      <w:tr w14:paraId="6CEBA68F">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12" w:space="0"/>
              <w:right w:val="single" w:color="auto" w:sz="8" w:space="0"/>
            </w:tcBorders>
            <w:vAlign w:val="center"/>
          </w:tcPr>
          <w:p w14:paraId="08517586">
            <w:pPr>
              <w:autoSpaceDE w:val="0"/>
              <w:autoSpaceDN w:val="0"/>
              <w:jc w:val="center"/>
              <w:rPr>
                <w:color w:val="auto"/>
                <w:kern w:val="0"/>
                <w:sz w:val="24"/>
                <w:highlight w:val="none"/>
              </w:rPr>
            </w:pPr>
          </w:p>
        </w:tc>
        <w:tc>
          <w:tcPr>
            <w:tcW w:w="720" w:type="dxa"/>
            <w:tcBorders>
              <w:top w:val="single" w:color="auto" w:sz="8" w:space="0"/>
              <w:left w:val="single" w:color="auto" w:sz="8" w:space="0"/>
              <w:bottom w:val="single" w:color="auto" w:sz="12" w:space="0"/>
              <w:right w:val="single" w:color="auto" w:sz="8" w:space="0"/>
            </w:tcBorders>
            <w:vAlign w:val="center"/>
          </w:tcPr>
          <w:p w14:paraId="38164616">
            <w:pPr>
              <w:autoSpaceDE w:val="0"/>
              <w:autoSpaceDN w:val="0"/>
              <w:jc w:val="center"/>
              <w:rPr>
                <w:color w:val="auto"/>
                <w:kern w:val="0"/>
                <w:sz w:val="24"/>
                <w:highlight w:val="none"/>
              </w:rPr>
            </w:pPr>
          </w:p>
        </w:tc>
        <w:tc>
          <w:tcPr>
            <w:tcW w:w="1815" w:type="dxa"/>
            <w:tcBorders>
              <w:top w:val="single" w:color="auto" w:sz="8" w:space="0"/>
              <w:left w:val="single" w:color="auto" w:sz="8" w:space="0"/>
              <w:bottom w:val="single" w:color="auto" w:sz="12" w:space="0"/>
              <w:right w:val="single" w:color="auto" w:sz="8" w:space="0"/>
            </w:tcBorders>
            <w:vAlign w:val="center"/>
          </w:tcPr>
          <w:p w14:paraId="498B7A81">
            <w:pPr>
              <w:autoSpaceDE w:val="0"/>
              <w:autoSpaceDN w:val="0"/>
              <w:jc w:val="center"/>
              <w:rPr>
                <w:color w:val="auto"/>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06E78FC4">
            <w:pPr>
              <w:autoSpaceDE w:val="0"/>
              <w:autoSpaceDN w:val="0"/>
              <w:jc w:val="center"/>
              <w:rPr>
                <w:color w:val="auto"/>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7C831111">
            <w:pPr>
              <w:autoSpaceDE w:val="0"/>
              <w:autoSpaceDN w:val="0"/>
              <w:jc w:val="center"/>
              <w:rPr>
                <w:color w:val="auto"/>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4B32A23A">
            <w:pPr>
              <w:autoSpaceDE w:val="0"/>
              <w:autoSpaceDN w:val="0"/>
              <w:jc w:val="center"/>
              <w:rPr>
                <w:color w:val="auto"/>
                <w:kern w:val="0"/>
                <w:sz w:val="24"/>
                <w:highlight w:val="none"/>
              </w:rPr>
            </w:pPr>
          </w:p>
        </w:tc>
        <w:tc>
          <w:tcPr>
            <w:tcW w:w="2117" w:type="dxa"/>
            <w:tcBorders>
              <w:top w:val="single" w:color="auto" w:sz="8" w:space="0"/>
              <w:left w:val="single" w:color="auto" w:sz="8" w:space="0"/>
              <w:bottom w:val="single" w:color="auto" w:sz="12" w:space="0"/>
              <w:right w:val="single" w:color="auto" w:sz="12" w:space="0"/>
            </w:tcBorders>
            <w:vAlign w:val="center"/>
          </w:tcPr>
          <w:p w14:paraId="70865805">
            <w:pPr>
              <w:autoSpaceDE w:val="0"/>
              <w:autoSpaceDN w:val="0"/>
              <w:jc w:val="center"/>
              <w:rPr>
                <w:color w:val="auto"/>
                <w:kern w:val="0"/>
                <w:sz w:val="24"/>
                <w:highlight w:val="none"/>
              </w:rPr>
            </w:pPr>
          </w:p>
        </w:tc>
      </w:tr>
    </w:tbl>
    <w:p w14:paraId="2761A7C6">
      <w:pPr>
        <w:snapToGrid w:val="0"/>
        <w:spacing w:before="50" w:after="50"/>
        <w:rPr>
          <w:rFonts w:ascii="宋体" w:hAnsi="宋体"/>
          <w:color w:val="auto"/>
          <w:szCs w:val="21"/>
          <w:highlight w:val="none"/>
        </w:rPr>
      </w:pPr>
    </w:p>
    <w:p w14:paraId="686E1917">
      <w:pPr>
        <w:pStyle w:val="5"/>
        <w:overflowPunct w:val="0"/>
        <w:spacing w:line="520" w:lineRule="exact"/>
        <w:ind w:firstLine="0"/>
        <w:jc w:val="center"/>
        <w:rPr>
          <w:color w:val="auto"/>
          <w:sz w:val="24"/>
          <w:highlight w:val="none"/>
        </w:rPr>
      </w:pPr>
      <w:r>
        <w:rPr>
          <w:rFonts w:hint="eastAsia"/>
          <w:color w:val="auto"/>
          <w:sz w:val="24"/>
          <w:highlight w:val="none"/>
        </w:rPr>
        <w:t>供应商名称：</w:t>
      </w:r>
      <w:r>
        <w:rPr>
          <w:rFonts w:hint="eastAsia"/>
          <w:color w:val="auto"/>
          <w:sz w:val="24"/>
          <w:highlight w:val="none"/>
          <w:u w:val="single"/>
        </w:rPr>
        <w:t xml:space="preserve">                         </w:t>
      </w:r>
      <w:r>
        <w:rPr>
          <w:rFonts w:hint="eastAsia"/>
          <w:color w:val="auto"/>
          <w:sz w:val="24"/>
          <w:highlight w:val="none"/>
        </w:rPr>
        <w:t>（盖单位公章）</w:t>
      </w:r>
    </w:p>
    <w:p w14:paraId="62C5701A">
      <w:pPr>
        <w:pStyle w:val="5"/>
        <w:overflowPunct w:val="0"/>
        <w:spacing w:line="520" w:lineRule="exact"/>
        <w:ind w:firstLine="1478" w:firstLineChars="616"/>
        <w:rPr>
          <w:color w:val="auto"/>
          <w:sz w:val="24"/>
          <w:highlight w:val="none"/>
        </w:rPr>
      </w:pPr>
      <w:r>
        <w:rPr>
          <w:rFonts w:hint="eastAsia"/>
          <w:color w:val="auto"/>
          <w:sz w:val="24"/>
          <w:highlight w:val="none"/>
        </w:rPr>
        <w:t>法定代表人或其委托代理人：</w:t>
      </w:r>
      <w:r>
        <w:rPr>
          <w:rFonts w:hint="eastAsia"/>
          <w:color w:val="auto"/>
          <w:sz w:val="24"/>
          <w:highlight w:val="none"/>
          <w:u w:val="single"/>
        </w:rPr>
        <w:t xml:space="preserve">           </w:t>
      </w:r>
      <w:r>
        <w:rPr>
          <w:rFonts w:hint="eastAsia"/>
          <w:color w:val="auto"/>
          <w:sz w:val="24"/>
          <w:highlight w:val="none"/>
        </w:rPr>
        <w:t>（签字）</w:t>
      </w:r>
    </w:p>
    <w:p w14:paraId="4B6A931A">
      <w:pPr>
        <w:pStyle w:val="5"/>
        <w:overflowPunct w:val="0"/>
        <w:spacing w:line="520" w:lineRule="exact"/>
        <w:ind w:firstLine="3998" w:firstLineChars="1666"/>
        <w:rPr>
          <w:color w:val="auto"/>
          <w:sz w:val="24"/>
          <w:highlight w:val="none"/>
        </w:rPr>
      </w:pPr>
      <w:r>
        <w:rPr>
          <w:rFonts w:hint="eastAsia"/>
          <w:color w:val="auto"/>
          <w:sz w:val="24"/>
          <w:highlight w:val="none"/>
          <w:u w:val="single"/>
        </w:rPr>
        <w:t xml:space="preserve">      </w:t>
      </w:r>
      <w:r>
        <w:rPr>
          <w:rFonts w:hint="eastAsia"/>
          <w:color w:val="auto"/>
          <w:sz w:val="24"/>
          <w:highlight w:val="none"/>
        </w:rPr>
        <w:t>年</w:t>
      </w:r>
      <w:r>
        <w:rPr>
          <w:rFonts w:hint="eastAsia"/>
          <w:color w:val="auto"/>
          <w:sz w:val="24"/>
          <w:highlight w:val="none"/>
          <w:u w:val="single"/>
        </w:rPr>
        <w:t xml:space="preserve">    </w:t>
      </w:r>
      <w:r>
        <w:rPr>
          <w:rFonts w:hint="eastAsia"/>
          <w:color w:val="auto"/>
          <w:sz w:val="24"/>
          <w:highlight w:val="none"/>
        </w:rPr>
        <w:t>月</w:t>
      </w:r>
      <w:r>
        <w:rPr>
          <w:rFonts w:hint="eastAsia"/>
          <w:color w:val="auto"/>
          <w:sz w:val="24"/>
          <w:highlight w:val="none"/>
          <w:u w:val="single"/>
        </w:rPr>
        <w:t xml:space="preserve">    </w:t>
      </w:r>
      <w:r>
        <w:rPr>
          <w:rFonts w:hint="eastAsia"/>
          <w:color w:val="auto"/>
          <w:sz w:val="24"/>
          <w:highlight w:val="none"/>
        </w:rPr>
        <w:t>日</w:t>
      </w:r>
    </w:p>
    <w:p w14:paraId="529A175F">
      <w:pPr>
        <w:snapToGrid w:val="0"/>
        <w:spacing w:before="50" w:after="120" w:afterLines="50"/>
        <w:jc w:val="left"/>
        <w:rPr>
          <w:rFonts w:ascii="宋体" w:hAnsi="宋体"/>
          <w:color w:val="auto"/>
          <w:sz w:val="24"/>
          <w:szCs w:val="20"/>
          <w:highlight w:val="none"/>
        </w:rPr>
      </w:pPr>
    </w:p>
    <w:p w14:paraId="7C7F89ED">
      <w:pPr>
        <w:jc w:val="center"/>
        <w:outlineLvl w:val="3"/>
        <w:rPr>
          <w:rFonts w:ascii="黑体" w:hAnsi="宋体" w:eastAsia="黑体"/>
          <w:b/>
          <w:color w:val="auto"/>
          <w:sz w:val="24"/>
          <w:highlight w:val="none"/>
        </w:rPr>
      </w:pPr>
      <w:r>
        <w:rPr>
          <w:rFonts w:ascii="黑体" w:hAnsi="宋体" w:eastAsia="黑体"/>
          <w:b/>
          <w:color w:val="auto"/>
          <w:sz w:val="24"/>
          <w:highlight w:val="none"/>
        </w:rPr>
        <w:br w:type="page"/>
      </w:r>
      <w:r>
        <w:rPr>
          <w:rFonts w:hint="eastAsia" w:ascii="黑体" w:hAnsi="宋体" w:eastAsia="黑体"/>
          <w:b/>
          <w:color w:val="auto"/>
          <w:sz w:val="24"/>
          <w:highlight w:val="none"/>
        </w:rPr>
        <w:t>2.</w:t>
      </w:r>
      <w:r>
        <w:rPr>
          <w:rFonts w:ascii="黑体" w:hAnsi="宋体" w:eastAsia="黑体"/>
          <w:b/>
          <w:color w:val="auto"/>
          <w:sz w:val="24"/>
          <w:highlight w:val="none"/>
        </w:rPr>
        <w:t>主要人员</w:t>
      </w:r>
      <w:r>
        <w:rPr>
          <w:rFonts w:hint="eastAsia" w:ascii="黑体" w:hAnsi="宋体" w:eastAsia="黑体"/>
          <w:b/>
          <w:color w:val="auto"/>
          <w:sz w:val="24"/>
          <w:highlight w:val="none"/>
        </w:rPr>
        <w:t>简历</w:t>
      </w:r>
      <w:r>
        <w:rPr>
          <w:rFonts w:ascii="黑体" w:hAnsi="宋体" w:eastAsia="黑体"/>
          <w:b/>
          <w:color w:val="auto"/>
          <w:sz w:val="24"/>
          <w:highlight w:val="none"/>
        </w:rPr>
        <w:t>表</w:t>
      </w:r>
    </w:p>
    <w:p w14:paraId="43DB30F3">
      <w:pPr>
        <w:jc w:val="center"/>
        <w:rPr>
          <w:rFonts w:ascii="黑体" w:hAnsi="宋体" w:eastAsia="黑体"/>
          <w:color w:val="auto"/>
          <w:sz w:val="24"/>
          <w:highlight w:val="none"/>
        </w:rPr>
      </w:pPr>
    </w:p>
    <w:tbl>
      <w:tblPr>
        <w:tblStyle w:val="25"/>
        <w:tblW w:w="5000" w:type="pct"/>
        <w:jc w:val="center"/>
        <w:tblLayout w:type="autofit"/>
        <w:tblCellMar>
          <w:top w:w="0" w:type="dxa"/>
          <w:left w:w="108" w:type="dxa"/>
          <w:bottom w:w="0" w:type="dxa"/>
          <w:right w:w="108" w:type="dxa"/>
        </w:tblCellMar>
      </w:tblPr>
      <w:tblGrid>
        <w:gridCol w:w="1141"/>
        <w:gridCol w:w="842"/>
        <w:gridCol w:w="993"/>
        <w:gridCol w:w="988"/>
        <w:gridCol w:w="998"/>
        <w:gridCol w:w="784"/>
        <w:gridCol w:w="1201"/>
        <w:gridCol w:w="54"/>
        <w:gridCol w:w="1945"/>
      </w:tblGrid>
      <w:tr w14:paraId="17C17368">
        <w:tblPrEx>
          <w:tblCellMar>
            <w:top w:w="0" w:type="dxa"/>
            <w:left w:w="108" w:type="dxa"/>
            <w:bottom w:w="0" w:type="dxa"/>
            <w:right w:w="108" w:type="dxa"/>
          </w:tblCellMar>
        </w:tblPrEx>
        <w:trPr>
          <w:trHeight w:val="360" w:hRule="atLeast"/>
          <w:jc w:val="center"/>
        </w:trPr>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F1AAD3">
            <w:pPr>
              <w:widowControl/>
              <w:jc w:val="center"/>
              <w:textAlignment w:val="top"/>
              <w:rPr>
                <w:rFonts w:ascii="微软雅黑" w:hAnsi="微软雅黑" w:eastAsia="微软雅黑" w:cs="微软雅黑"/>
                <w:color w:val="auto"/>
                <w:sz w:val="20"/>
                <w:szCs w:val="20"/>
                <w:highlight w:val="none"/>
              </w:rPr>
            </w:pPr>
            <w:r>
              <w:rPr>
                <w:rFonts w:hint="eastAsia" w:ascii="微软雅黑" w:hAnsi="微软雅黑" w:eastAsia="微软雅黑" w:cs="微软雅黑"/>
                <w:color w:val="auto"/>
                <w:kern w:val="0"/>
                <w:sz w:val="20"/>
                <w:szCs w:val="20"/>
                <w:highlight w:val="none"/>
                <w:lang w:bidi="ar"/>
              </w:rPr>
              <w:t>姓</w:t>
            </w:r>
            <w:r>
              <w:rPr>
                <w:rStyle w:val="35"/>
                <w:rFonts w:hint="default"/>
                <w:color w:val="auto"/>
                <w:highlight w:val="none"/>
                <w:lang w:bidi="ar"/>
              </w:rPr>
              <w:t xml:space="preserve"> 名</w:t>
            </w:r>
          </w:p>
        </w:tc>
        <w:tc>
          <w:tcPr>
            <w:tcW w:w="10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433449C">
            <w:pPr>
              <w:jc w:val="center"/>
              <w:rPr>
                <w:rFonts w:ascii="微软雅黑" w:hAnsi="微软雅黑" w:eastAsia="微软雅黑" w:cs="微软雅黑"/>
                <w:color w:val="auto"/>
                <w:sz w:val="20"/>
                <w:szCs w:val="20"/>
                <w:highlight w:val="none"/>
              </w:rPr>
            </w:pPr>
          </w:p>
        </w:tc>
        <w:tc>
          <w:tcPr>
            <w:tcW w:w="55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DBD3FD">
            <w:pPr>
              <w:widowControl/>
              <w:jc w:val="center"/>
              <w:textAlignment w:val="top"/>
              <w:rPr>
                <w:rFonts w:ascii="微软雅黑" w:hAnsi="微软雅黑" w:eastAsia="微软雅黑" w:cs="微软雅黑"/>
                <w:color w:val="auto"/>
                <w:sz w:val="20"/>
                <w:szCs w:val="20"/>
                <w:highlight w:val="none"/>
              </w:rPr>
            </w:pPr>
            <w:r>
              <w:rPr>
                <w:rFonts w:hint="eastAsia" w:ascii="微软雅黑" w:hAnsi="微软雅黑" w:eastAsia="微软雅黑" w:cs="微软雅黑"/>
                <w:color w:val="auto"/>
                <w:kern w:val="0"/>
                <w:sz w:val="20"/>
                <w:szCs w:val="20"/>
                <w:highlight w:val="none"/>
                <w:lang w:bidi="ar"/>
              </w:rPr>
              <w:t>年龄</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60570B">
            <w:pPr>
              <w:jc w:val="center"/>
              <w:rPr>
                <w:rFonts w:ascii="微软雅黑" w:hAnsi="微软雅黑" w:eastAsia="微软雅黑" w:cs="微软雅黑"/>
                <w:color w:val="auto"/>
                <w:sz w:val="20"/>
                <w:szCs w:val="20"/>
                <w:highlight w:val="none"/>
              </w:rPr>
            </w:pPr>
          </w:p>
        </w:tc>
        <w:tc>
          <w:tcPr>
            <w:tcW w:w="1139"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3BF81B6F">
            <w:pPr>
              <w:widowControl/>
              <w:jc w:val="left"/>
              <w:textAlignment w:val="top"/>
              <w:rPr>
                <w:rFonts w:ascii="微软雅黑" w:hAnsi="微软雅黑" w:eastAsia="微软雅黑" w:cs="微软雅黑"/>
                <w:color w:val="auto"/>
                <w:kern w:val="0"/>
                <w:sz w:val="20"/>
                <w:szCs w:val="20"/>
                <w:highlight w:val="none"/>
                <w:lang w:bidi="ar"/>
              </w:rPr>
            </w:pPr>
            <w:r>
              <w:rPr>
                <w:rFonts w:hint="eastAsia" w:ascii="微软雅黑" w:hAnsi="微软雅黑" w:eastAsia="微软雅黑" w:cs="微软雅黑"/>
                <w:color w:val="auto"/>
                <w:kern w:val="0"/>
                <w:sz w:val="20"/>
                <w:szCs w:val="20"/>
                <w:highlight w:val="none"/>
                <w:lang w:bidi="ar"/>
              </w:rPr>
              <w:t>执业资格证书</w:t>
            </w:r>
          </w:p>
          <w:p w14:paraId="38415461">
            <w:pPr>
              <w:widowControl/>
              <w:jc w:val="left"/>
              <w:textAlignment w:val="top"/>
              <w:rPr>
                <w:rFonts w:ascii="微软雅黑" w:hAnsi="微软雅黑" w:eastAsia="微软雅黑" w:cs="微软雅黑"/>
                <w:color w:val="auto"/>
                <w:sz w:val="20"/>
                <w:szCs w:val="20"/>
                <w:highlight w:val="none"/>
              </w:rPr>
            </w:pPr>
            <w:r>
              <w:rPr>
                <w:rFonts w:hint="eastAsia" w:ascii="微软雅黑" w:hAnsi="微软雅黑" w:eastAsia="微软雅黑" w:cs="微软雅黑"/>
                <w:color w:val="auto"/>
                <w:kern w:val="0"/>
                <w:sz w:val="20"/>
                <w:szCs w:val="20"/>
                <w:highlight w:val="none"/>
                <w:lang w:bidi="ar"/>
              </w:rPr>
              <w:t>（或上岗证书）名称</w:t>
            </w:r>
          </w:p>
        </w:tc>
        <w:tc>
          <w:tcPr>
            <w:tcW w:w="108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4EEC06">
            <w:pPr>
              <w:jc w:val="center"/>
              <w:rPr>
                <w:rFonts w:ascii="微软雅黑" w:hAnsi="微软雅黑" w:eastAsia="微软雅黑" w:cs="微软雅黑"/>
                <w:color w:val="auto"/>
                <w:sz w:val="20"/>
                <w:szCs w:val="20"/>
                <w:highlight w:val="none"/>
              </w:rPr>
            </w:pPr>
          </w:p>
        </w:tc>
      </w:tr>
      <w:tr w14:paraId="185E9F7E">
        <w:tblPrEx>
          <w:tblCellMar>
            <w:top w:w="0" w:type="dxa"/>
            <w:left w:w="108" w:type="dxa"/>
            <w:bottom w:w="0" w:type="dxa"/>
            <w:right w:w="108" w:type="dxa"/>
          </w:tblCellMar>
        </w:tblPrEx>
        <w:trPr>
          <w:trHeight w:val="665" w:hRule="atLeast"/>
          <w:jc w:val="center"/>
        </w:trPr>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750C5C">
            <w:pPr>
              <w:widowControl/>
              <w:jc w:val="center"/>
              <w:textAlignment w:val="top"/>
              <w:rPr>
                <w:rFonts w:ascii="微软雅黑" w:hAnsi="微软雅黑" w:eastAsia="微软雅黑" w:cs="微软雅黑"/>
                <w:color w:val="auto"/>
                <w:sz w:val="20"/>
                <w:szCs w:val="20"/>
                <w:highlight w:val="none"/>
              </w:rPr>
            </w:pPr>
            <w:r>
              <w:rPr>
                <w:rFonts w:hint="eastAsia" w:ascii="微软雅黑" w:hAnsi="微软雅黑" w:eastAsia="微软雅黑" w:cs="微软雅黑"/>
                <w:color w:val="auto"/>
                <w:kern w:val="0"/>
                <w:sz w:val="20"/>
                <w:szCs w:val="20"/>
                <w:highlight w:val="none"/>
                <w:lang w:bidi="ar"/>
              </w:rPr>
              <w:t>职</w:t>
            </w:r>
            <w:r>
              <w:rPr>
                <w:rStyle w:val="35"/>
                <w:rFonts w:hint="default"/>
                <w:color w:val="auto"/>
                <w:highlight w:val="none"/>
                <w:lang w:bidi="ar"/>
              </w:rPr>
              <w:t xml:space="preserve"> 称</w:t>
            </w:r>
          </w:p>
        </w:tc>
        <w:tc>
          <w:tcPr>
            <w:tcW w:w="10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C680C5F">
            <w:pPr>
              <w:jc w:val="center"/>
              <w:rPr>
                <w:rFonts w:ascii="微软雅黑" w:hAnsi="微软雅黑" w:eastAsia="微软雅黑" w:cs="微软雅黑"/>
                <w:color w:val="auto"/>
                <w:sz w:val="20"/>
                <w:szCs w:val="20"/>
                <w:highlight w:val="none"/>
              </w:rPr>
            </w:pPr>
          </w:p>
        </w:tc>
        <w:tc>
          <w:tcPr>
            <w:tcW w:w="55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AF8887">
            <w:pPr>
              <w:widowControl/>
              <w:jc w:val="center"/>
              <w:textAlignment w:val="top"/>
              <w:rPr>
                <w:rFonts w:ascii="微软雅黑" w:hAnsi="微软雅黑" w:eastAsia="微软雅黑" w:cs="微软雅黑"/>
                <w:color w:val="auto"/>
                <w:sz w:val="20"/>
                <w:szCs w:val="20"/>
                <w:highlight w:val="none"/>
              </w:rPr>
            </w:pPr>
            <w:r>
              <w:rPr>
                <w:rFonts w:hint="eastAsia" w:ascii="微软雅黑" w:hAnsi="微软雅黑" w:eastAsia="微软雅黑" w:cs="微软雅黑"/>
                <w:color w:val="auto"/>
                <w:kern w:val="0"/>
                <w:sz w:val="20"/>
                <w:szCs w:val="20"/>
                <w:highlight w:val="none"/>
                <w:lang w:bidi="ar"/>
              </w:rPr>
              <w:t>学历</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159229">
            <w:pPr>
              <w:jc w:val="center"/>
              <w:rPr>
                <w:rFonts w:ascii="微软雅黑" w:hAnsi="微软雅黑" w:eastAsia="微软雅黑" w:cs="微软雅黑"/>
                <w:color w:val="auto"/>
                <w:sz w:val="20"/>
                <w:szCs w:val="20"/>
                <w:highlight w:val="none"/>
              </w:rPr>
            </w:pPr>
          </w:p>
        </w:tc>
        <w:tc>
          <w:tcPr>
            <w:tcW w:w="1139"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5995171E">
            <w:pPr>
              <w:widowControl/>
              <w:jc w:val="left"/>
              <w:textAlignment w:val="top"/>
              <w:rPr>
                <w:rFonts w:ascii="微软雅黑" w:hAnsi="微软雅黑" w:eastAsia="微软雅黑" w:cs="微软雅黑"/>
                <w:color w:val="auto"/>
                <w:sz w:val="20"/>
                <w:szCs w:val="20"/>
                <w:highlight w:val="none"/>
              </w:rPr>
            </w:pPr>
            <w:r>
              <w:rPr>
                <w:rFonts w:hint="eastAsia" w:ascii="微软雅黑" w:hAnsi="微软雅黑" w:eastAsia="微软雅黑" w:cs="微软雅黑"/>
                <w:color w:val="auto"/>
                <w:kern w:val="0"/>
                <w:sz w:val="20"/>
                <w:szCs w:val="20"/>
                <w:highlight w:val="none"/>
                <w:lang w:bidi="ar"/>
              </w:rPr>
              <w:t>拟在本项目任职</w:t>
            </w:r>
          </w:p>
        </w:tc>
        <w:tc>
          <w:tcPr>
            <w:tcW w:w="108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A4CD23">
            <w:pPr>
              <w:jc w:val="center"/>
              <w:rPr>
                <w:rFonts w:ascii="微软雅黑" w:hAnsi="微软雅黑" w:eastAsia="微软雅黑" w:cs="微软雅黑"/>
                <w:color w:val="auto"/>
                <w:sz w:val="20"/>
                <w:szCs w:val="20"/>
                <w:highlight w:val="none"/>
              </w:rPr>
            </w:pPr>
          </w:p>
        </w:tc>
      </w:tr>
      <w:tr w14:paraId="78556646">
        <w:tblPrEx>
          <w:tblCellMar>
            <w:top w:w="0" w:type="dxa"/>
            <w:left w:w="108" w:type="dxa"/>
            <w:bottom w:w="0" w:type="dxa"/>
            <w:right w:w="108" w:type="dxa"/>
          </w:tblCellMar>
        </w:tblPrEx>
        <w:trPr>
          <w:trHeight w:val="360" w:hRule="atLeast"/>
          <w:jc w:val="center"/>
        </w:trPr>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196E35">
            <w:pPr>
              <w:widowControl/>
              <w:jc w:val="center"/>
              <w:textAlignment w:val="top"/>
              <w:rPr>
                <w:rFonts w:ascii="微软雅黑" w:hAnsi="微软雅黑" w:eastAsia="微软雅黑" w:cs="微软雅黑"/>
                <w:color w:val="auto"/>
                <w:sz w:val="20"/>
                <w:szCs w:val="20"/>
                <w:highlight w:val="none"/>
              </w:rPr>
            </w:pPr>
            <w:r>
              <w:rPr>
                <w:rFonts w:hint="eastAsia" w:ascii="微软雅黑" w:hAnsi="微软雅黑" w:eastAsia="微软雅黑" w:cs="微软雅黑"/>
                <w:color w:val="auto"/>
                <w:kern w:val="0"/>
                <w:sz w:val="20"/>
                <w:szCs w:val="20"/>
                <w:highlight w:val="none"/>
                <w:lang w:bidi="ar"/>
              </w:rPr>
              <w:t>工作年限</w:t>
            </w:r>
          </w:p>
        </w:tc>
        <w:tc>
          <w:tcPr>
            <w:tcW w:w="2136"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47A59B07">
            <w:pPr>
              <w:jc w:val="center"/>
              <w:rPr>
                <w:rFonts w:ascii="微软雅黑" w:hAnsi="微软雅黑" w:eastAsia="微软雅黑" w:cs="微软雅黑"/>
                <w:color w:val="auto"/>
                <w:sz w:val="20"/>
                <w:szCs w:val="20"/>
                <w:highlight w:val="none"/>
              </w:rPr>
            </w:pPr>
          </w:p>
        </w:tc>
        <w:tc>
          <w:tcPr>
            <w:tcW w:w="1139"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37394917">
            <w:pPr>
              <w:widowControl/>
              <w:jc w:val="left"/>
              <w:textAlignment w:val="top"/>
              <w:rPr>
                <w:rFonts w:ascii="微软雅黑" w:hAnsi="微软雅黑" w:eastAsia="微软雅黑" w:cs="微软雅黑"/>
                <w:color w:val="auto"/>
                <w:sz w:val="20"/>
                <w:szCs w:val="20"/>
                <w:highlight w:val="none"/>
              </w:rPr>
            </w:pPr>
            <w:r>
              <w:rPr>
                <w:rFonts w:hint="eastAsia" w:ascii="微软雅黑" w:hAnsi="微软雅黑" w:eastAsia="微软雅黑" w:cs="微软雅黑"/>
                <w:color w:val="auto"/>
                <w:kern w:val="0"/>
                <w:sz w:val="20"/>
                <w:szCs w:val="20"/>
                <w:highlight w:val="none"/>
                <w:lang w:bidi="ar"/>
              </w:rPr>
              <w:t>从事相关工作年限</w:t>
            </w:r>
          </w:p>
        </w:tc>
        <w:tc>
          <w:tcPr>
            <w:tcW w:w="108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B5CBBA">
            <w:pPr>
              <w:jc w:val="center"/>
              <w:rPr>
                <w:rFonts w:ascii="微软雅黑" w:hAnsi="微软雅黑" w:eastAsia="微软雅黑" w:cs="微软雅黑"/>
                <w:color w:val="auto"/>
                <w:sz w:val="20"/>
                <w:szCs w:val="20"/>
                <w:highlight w:val="none"/>
              </w:rPr>
            </w:pPr>
          </w:p>
        </w:tc>
      </w:tr>
      <w:tr w14:paraId="0251CCA9">
        <w:tblPrEx>
          <w:tblCellMar>
            <w:top w:w="0" w:type="dxa"/>
            <w:left w:w="108" w:type="dxa"/>
            <w:bottom w:w="0" w:type="dxa"/>
            <w:right w:w="108" w:type="dxa"/>
          </w:tblCellMar>
        </w:tblPrEx>
        <w:trPr>
          <w:trHeight w:val="710" w:hRule="atLeast"/>
          <w:jc w:val="center"/>
        </w:trPr>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41851C">
            <w:pPr>
              <w:widowControl/>
              <w:jc w:val="center"/>
              <w:textAlignment w:val="top"/>
              <w:rPr>
                <w:rFonts w:ascii="微软雅黑" w:hAnsi="微软雅黑" w:eastAsia="微软雅黑" w:cs="微软雅黑"/>
                <w:color w:val="auto"/>
                <w:sz w:val="20"/>
                <w:szCs w:val="20"/>
                <w:highlight w:val="none"/>
              </w:rPr>
            </w:pPr>
            <w:r>
              <w:rPr>
                <w:rFonts w:hint="eastAsia" w:ascii="微软雅黑" w:hAnsi="微软雅黑" w:eastAsia="微软雅黑" w:cs="微软雅黑"/>
                <w:color w:val="auto"/>
                <w:kern w:val="0"/>
                <w:sz w:val="20"/>
                <w:szCs w:val="20"/>
                <w:highlight w:val="none"/>
                <w:lang w:bidi="ar"/>
              </w:rPr>
              <w:t>毕业学校</w:t>
            </w:r>
          </w:p>
        </w:tc>
        <w:tc>
          <w:tcPr>
            <w:tcW w:w="4361" w:type="pct"/>
            <w:gridSpan w:val="8"/>
            <w:tcBorders>
              <w:top w:val="single" w:color="000000" w:sz="4" w:space="0"/>
              <w:left w:val="single" w:color="000000" w:sz="4" w:space="0"/>
              <w:bottom w:val="single" w:color="000000" w:sz="4" w:space="0"/>
              <w:right w:val="single" w:color="000000" w:sz="4" w:space="0"/>
            </w:tcBorders>
            <w:shd w:val="clear" w:color="auto" w:fill="FFFFFF"/>
            <w:vAlign w:val="center"/>
          </w:tcPr>
          <w:p w14:paraId="0F9C82C7">
            <w:pPr>
              <w:widowControl/>
              <w:jc w:val="center"/>
              <w:textAlignment w:val="top"/>
              <w:rPr>
                <w:rFonts w:ascii="微软雅黑" w:hAnsi="微软雅黑" w:eastAsia="微软雅黑" w:cs="微软雅黑"/>
                <w:color w:val="auto"/>
                <w:sz w:val="20"/>
                <w:szCs w:val="20"/>
                <w:highlight w:val="none"/>
              </w:rPr>
            </w:pPr>
            <w:r>
              <w:rPr>
                <w:rFonts w:hint="eastAsia" w:ascii="微软雅黑" w:hAnsi="微软雅黑" w:eastAsia="微软雅黑" w:cs="微软雅黑"/>
                <w:color w:val="auto"/>
                <w:kern w:val="0"/>
                <w:sz w:val="20"/>
                <w:szCs w:val="20"/>
                <w:highlight w:val="none"/>
                <w:lang w:bidi="ar"/>
              </w:rPr>
              <w:t>年毕业于</w:t>
            </w:r>
            <w:r>
              <w:rPr>
                <w:rStyle w:val="35"/>
                <w:rFonts w:hint="default"/>
                <w:color w:val="auto"/>
                <w:highlight w:val="none"/>
                <w:lang w:bidi="ar"/>
              </w:rPr>
              <w:t xml:space="preserve">          学校       专业</w:t>
            </w:r>
          </w:p>
        </w:tc>
      </w:tr>
      <w:tr w14:paraId="06E2B4C0">
        <w:tblPrEx>
          <w:tblCellMar>
            <w:top w:w="0" w:type="dxa"/>
            <w:left w:w="108" w:type="dxa"/>
            <w:bottom w:w="0" w:type="dxa"/>
            <w:right w:w="108" w:type="dxa"/>
          </w:tblCellMar>
        </w:tblPrEx>
        <w:trPr>
          <w:trHeight w:val="590"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FFFFFF"/>
            <w:vAlign w:val="center"/>
          </w:tcPr>
          <w:p w14:paraId="172523FF">
            <w:pPr>
              <w:widowControl/>
              <w:jc w:val="center"/>
              <w:textAlignment w:val="top"/>
              <w:rPr>
                <w:rFonts w:ascii="微软雅黑" w:hAnsi="微软雅黑" w:eastAsia="微软雅黑" w:cs="微软雅黑"/>
                <w:color w:val="auto"/>
                <w:sz w:val="20"/>
                <w:szCs w:val="20"/>
                <w:highlight w:val="none"/>
              </w:rPr>
            </w:pPr>
            <w:r>
              <w:rPr>
                <w:rFonts w:hint="eastAsia" w:ascii="微软雅黑" w:hAnsi="微软雅黑" w:eastAsia="微软雅黑" w:cs="微软雅黑"/>
                <w:color w:val="auto"/>
                <w:kern w:val="0"/>
                <w:sz w:val="20"/>
                <w:szCs w:val="20"/>
                <w:highlight w:val="none"/>
                <w:lang w:bidi="ar"/>
              </w:rPr>
              <w:t>主要工作经历</w:t>
            </w:r>
          </w:p>
        </w:tc>
      </w:tr>
      <w:tr w14:paraId="15BD28A0">
        <w:tblPrEx>
          <w:tblCellMar>
            <w:top w:w="0" w:type="dxa"/>
            <w:left w:w="108" w:type="dxa"/>
            <w:bottom w:w="0" w:type="dxa"/>
            <w:right w:w="108" w:type="dxa"/>
          </w:tblCellMar>
        </w:tblPrEx>
        <w:trPr>
          <w:trHeight w:val="36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23CDC54">
            <w:pPr>
              <w:widowControl/>
              <w:jc w:val="center"/>
              <w:textAlignment w:val="top"/>
              <w:rPr>
                <w:rFonts w:ascii="微软雅黑" w:hAnsi="微软雅黑" w:eastAsia="微软雅黑" w:cs="微软雅黑"/>
                <w:color w:val="auto"/>
                <w:sz w:val="20"/>
                <w:szCs w:val="20"/>
                <w:highlight w:val="none"/>
              </w:rPr>
            </w:pPr>
            <w:r>
              <w:rPr>
                <w:rFonts w:hint="eastAsia" w:ascii="微软雅黑" w:hAnsi="微软雅黑" w:eastAsia="微软雅黑" w:cs="微软雅黑"/>
                <w:color w:val="auto"/>
                <w:kern w:val="0"/>
                <w:sz w:val="20"/>
                <w:szCs w:val="20"/>
                <w:highlight w:val="none"/>
                <w:lang w:bidi="ar"/>
              </w:rPr>
              <w:t>时</w:t>
            </w:r>
            <w:r>
              <w:rPr>
                <w:rStyle w:val="35"/>
                <w:rFonts w:hint="default"/>
                <w:color w:val="auto"/>
                <w:highlight w:val="none"/>
                <w:lang w:bidi="ar"/>
              </w:rPr>
              <w:t xml:space="preserve"> 间</w:t>
            </w: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33DD4D4C">
            <w:pPr>
              <w:widowControl/>
              <w:jc w:val="center"/>
              <w:textAlignment w:val="top"/>
              <w:rPr>
                <w:rFonts w:ascii="微软雅黑" w:hAnsi="微软雅黑" w:eastAsia="微软雅黑" w:cs="微软雅黑"/>
                <w:color w:val="auto"/>
                <w:sz w:val="20"/>
                <w:szCs w:val="20"/>
                <w:highlight w:val="none"/>
              </w:rPr>
            </w:pPr>
            <w:r>
              <w:rPr>
                <w:rFonts w:hint="eastAsia" w:ascii="微软雅黑" w:hAnsi="微软雅黑" w:eastAsia="微软雅黑" w:cs="微软雅黑"/>
                <w:color w:val="auto"/>
                <w:kern w:val="0"/>
                <w:sz w:val="20"/>
                <w:szCs w:val="20"/>
                <w:highlight w:val="none"/>
                <w:lang w:bidi="ar"/>
              </w:rPr>
              <w:t>参加过的类似项目</w:t>
            </w: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EB1AB9">
            <w:pPr>
              <w:widowControl/>
              <w:jc w:val="center"/>
              <w:textAlignment w:val="top"/>
              <w:rPr>
                <w:rFonts w:ascii="微软雅黑" w:hAnsi="微软雅黑" w:eastAsia="微软雅黑" w:cs="微软雅黑"/>
                <w:color w:val="auto"/>
                <w:sz w:val="20"/>
                <w:szCs w:val="20"/>
                <w:highlight w:val="none"/>
              </w:rPr>
            </w:pPr>
            <w:r>
              <w:rPr>
                <w:rFonts w:hint="eastAsia" w:ascii="微软雅黑" w:hAnsi="微软雅黑" w:eastAsia="微软雅黑" w:cs="微软雅黑"/>
                <w:color w:val="auto"/>
                <w:kern w:val="0"/>
                <w:sz w:val="20"/>
                <w:szCs w:val="20"/>
                <w:highlight w:val="none"/>
                <w:lang w:bidi="ar"/>
              </w:rPr>
              <w:t>担任职务</w:t>
            </w: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56D1B4D">
            <w:pPr>
              <w:widowControl/>
              <w:jc w:val="center"/>
              <w:textAlignment w:val="top"/>
              <w:rPr>
                <w:rFonts w:ascii="微软雅黑" w:hAnsi="微软雅黑" w:eastAsia="微软雅黑" w:cs="微软雅黑"/>
                <w:color w:val="auto"/>
                <w:sz w:val="20"/>
                <w:szCs w:val="20"/>
                <w:highlight w:val="none"/>
              </w:rPr>
            </w:pPr>
            <w:r>
              <w:rPr>
                <w:rFonts w:hint="eastAsia" w:ascii="微软雅黑" w:hAnsi="微软雅黑" w:eastAsia="微软雅黑" w:cs="微软雅黑"/>
                <w:color w:val="auto"/>
                <w:kern w:val="0"/>
                <w:sz w:val="20"/>
                <w:szCs w:val="20"/>
                <w:highlight w:val="none"/>
                <w:lang w:bidi="ar"/>
              </w:rPr>
              <w:t>发包人及联系电话</w:t>
            </w:r>
          </w:p>
        </w:tc>
      </w:tr>
      <w:tr w14:paraId="51E1345E">
        <w:tblPrEx>
          <w:tblCellMar>
            <w:top w:w="0" w:type="dxa"/>
            <w:left w:w="108" w:type="dxa"/>
            <w:bottom w:w="0" w:type="dxa"/>
            <w:right w:w="108" w:type="dxa"/>
          </w:tblCellMar>
        </w:tblPrEx>
        <w:trPr>
          <w:trHeight w:val="36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4CC38D3">
            <w:pPr>
              <w:jc w:val="center"/>
              <w:rPr>
                <w:rFonts w:ascii="微软雅黑" w:hAnsi="微软雅黑" w:eastAsia="微软雅黑" w:cs="微软雅黑"/>
                <w:color w:val="auto"/>
                <w:sz w:val="20"/>
                <w:szCs w:val="20"/>
                <w:highlight w:val="none"/>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79ACC10E">
            <w:pPr>
              <w:jc w:val="center"/>
              <w:rPr>
                <w:rFonts w:ascii="微软雅黑" w:hAnsi="微软雅黑" w:eastAsia="微软雅黑" w:cs="微软雅黑"/>
                <w:color w:val="auto"/>
                <w:sz w:val="20"/>
                <w:szCs w:val="20"/>
                <w:highlight w:val="none"/>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771E15">
            <w:pPr>
              <w:jc w:val="center"/>
              <w:rPr>
                <w:rFonts w:ascii="微软雅黑" w:hAnsi="微软雅黑" w:eastAsia="微软雅黑" w:cs="微软雅黑"/>
                <w:color w:val="auto"/>
                <w:sz w:val="20"/>
                <w:szCs w:val="20"/>
                <w:highlight w:val="none"/>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BCA1054">
            <w:pPr>
              <w:jc w:val="center"/>
              <w:rPr>
                <w:rFonts w:ascii="微软雅黑" w:hAnsi="微软雅黑" w:eastAsia="微软雅黑" w:cs="微软雅黑"/>
                <w:color w:val="auto"/>
                <w:sz w:val="20"/>
                <w:szCs w:val="20"/>
                <w:highlight w:val="none"/>
              </w:rPr>
            </w:pPr>
          </w:p>
        </w:tc>
      </w:tr>
      <w:tr w14:paraId="2F178C39">
        <w:tblPrEx>
          <w:tblCellMar>
            <w:top w:w="0" w:type="dxa"/>
            <w:left w:w="108" w:type="dxa"/>
            <w:bottom w:w="0" w:type="dxa"/>
            <w:right w:w="108" w:type="dxa"/>
          </w:tblCellMar>
        </w:tblPrEx>
        <w:trPr>
          <w:trHeight w:val="36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7A2C96C">
            <w:pPr>
              <w:jc w:val="center"/>
              <w:rPr>
                <w:rFonts w:ascii="微软雅黑" w:hAnsi="微软雅黑" w:eastAsia="微软雅黑" w:cs="微软雅黑"/>
                <w:color w:val="auto"/>
                <w:sz w:val="20"/>
                <w:szCs w:val="20"/>
                <w:highlight w:val="none"/>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4B1614D1">
            <w:pPr>
              <w:jc w:val="center"/>
              <w:rPr>
                <w:rFonts w:ascii="微软雅黑" w:hAnsi="微软雅黑" w:eastAsia="微软雅黑" w:cs="微软雅黑"/>
                <w:color w:val="auto"/>
                <w:sz w:val="20"/>
                <w:szCs w:val="20"/>
                <w:highlight w:val="none"/>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2974F0">
            <w:pPr>
              <w:jc w:val="center"/>
              <w:rPr>
                <w:rFonts w:ascii="微软雅黑" w:hAnsi="微软雅黑" w:eastAsia="微软雅黑" w:cs="微软雅黑"/>
                <w:color w:val="auto"/>
                <w:sz w:val="20"/>
                <w:szCs w:val="20"/>
                <w:highlight w:val="none"/>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677DAF4">
            <w:pPr>
              <w:jc w:val="center"/>
              <w:rPr>
                <w:rFonts w:ascii="微软雅黑" w:hAnsi="微软雅黑" w:eastAsia="微软雅黑" w:cs="微软雅黑"/>
                <w:color w:val="auto"/>
                <w:sz w:val="20"/>
                <w:szCs w:val="20"/>
                <w:highlight w:val="none"/>
              </w:rPr>
            </w:pPr>
          </w:p>
        </w:tc>
      </w:tr>
      <w:tr w14:paraId="0510500D">
        <w:tblPrEx>
          <w:tblCellMar>
            <w:top w:w="0" w:type="dxa"/>
            <w:left w:w="108" w:type="dxa"/>
            <w:bottom w:w="0" w:type="dxa"/>
            <w:right w:w="108" w:type="dxa"/>
          </w:tblCellMar>
        </w:tblPrEx>
        <w:trPr>
          <w:trHeight w:val="36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56B286C">
            <w:pPr>
              <w:jc w:val="center"/>
              <w:rPr>
                <w:rFonts w:ascii="微软雅黑" w:hAnsi="微软雅黑" w:eastAsia="微软雅黑" w:cs="微软雅黑"/>
                <w:color w:val="auto"/>
                <w:sz w:val="20"/>
                <w:szCs w:val="20"/>
                <w:highlight w:val="none"/>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6AFA762C">
            <w:pPr>
              <w:jc w:val="center"/>
              <w:rPr>
                <w:rFonts w:ascii="微软雅黑" w:hAnsi="微软雅黑" w:eastAsia="微软雅黑" w:cs="微软雅黑"/>
                <w:color w:val="auto"/>
                <w:sz w:val="20"/>
                <w:szCs w:val="20"/>
                <w:highlight w:val="none"/>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946601">
            <w:pPr>
              <w:jc w:val="center"/>
              <w:rPr>
                <w:rFonts w:ascii="微软雅黑" w:hAnsi="微软雅黑" w:eastAsia="微软雅黑" w:cs="微软雅黑"/>
                <w:color w:val="auto"/>
                <w:sz w:val="20"/>
                <w:szCs w:val="20"/>
                <w:highlight w:val="none"/>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919FD1E">
            <w:pPr>
              <w:jc w:val="center"/>
              <w:rPr>
                <w:rFonts w:ascii="微软雅黑" w:hAnsi="微软雅黑" w:eastAsia="微软雅黑" w:cs="微软雅黑"/>
                <w:color w:val="auto"/>
                <w:sz w:val="20"/>
                <w:szCs w:val="20"/>
                <w:highlight w:val="none"/>
              </w:rPr>
            </w:pPr>
          </w:p>
        </w:tc>
      </w:tr>
      <w:tr w14:paraId="2D71881C">
        <w:tblPrEx>
          <w:tblCellMar>
            <w:top w:w="0" w:type="dxa"/>
            <w:left w:w="108" w:type="dxa"/>
            <w:bottom w:w="0" w:type="dxa"/>
            <w:right w:w="108" w:type="dxa"/>
          </w:tblCellMar>
        </w:tblPrEx>
        <w:trPr>
          <w:trHeight w:val="33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DDBC8A1">
            <w:pPr>
              <w:jc w:val="center"/>
              <w:rPr>
                <w:rFonts w:ascii="微软雅黑" w:hAnsi="微软雅黑" w:eastAsia="微软雅黑" w:cs="微软雅黑"/>
                <w:color w:val="auto"/>
                <w:sz w:val="20"/>
                <w:szCs w:val="20"/>
                <w:highlight w:val="none"/>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53ACB462">
            <w:pPr>
              <w:jc w:val="center"/>
              <w:rPr>
                <w:rFonts w:ascii="微软雅黑" w:hAnsi="微软雅黑" w:eastAsia="微软雅黑" w:cs="微软雅黑"/>
                <w:color w:val="auto"/>
                <w:sz w:val="20"/>
                <w:szCs w:val="20"/>
                <w:highlight w:val="none"/>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910306">
            <w:pPr>
              <w:jc w:val="center"/>
              <w:rPr>
                <w:rFonts w:ascii="微软雅黑" w:hAnsi="微软雅黑" w:eastAsia="微软雅黑" w:cs="微软雅黑"/>
                <w:color w:val="auto"/>
                <w:sz w:val="20"/>
                <w:szCs w:val="20"/>
                <w:highlight w:val="none"/>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0D2DB47B">
            <w:pPr>
              <w:jc w:val="center"/>
              <w:rPr>
                <w:rFonts w:ascii="微软雅黑" w:hAnsi="微软雅黑" w:eastAsia="微软雅黑" w:cs="微软雅黑"/>
                <w:color w:val="auto"/>
                <w:sz w:val="20"/>
                <w:szCs w:val="20"/>
                <w:highlight w:val="none"/>
              </w:rPr>
            </w:pPr>
          </w:p>
        </w:tc>
      </w:tr>
      <w:tr w14:paraId="2F855A4B">
        <w:tblPrEx>
          <w:tblCellMar>
            <w:top w:w="0" w:type="dxa"/>
            <w:left w:w="108" w:type="dxa"/>
            <w:bottom w:w="0" w:type="dxa"/>
            <w:right w:w="108" w:type="dxa"/>
          </w:tblCellMar>
        </w:tblPrEx>
        <w:trPr>
          <w:trHeight w:val="33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77F6133">
            <w:pPr>
              <w:jc w:val="center"/>
              <w:rPr>
                <w:rFonts w:ascii="微软雅黑" w:hAnsi="微软雅黑" w:eastAsia="微软雅黑" w:cs="微软雅黑"/>
                <w:color w:val="auto"/>
                <w:sz w:val="20"/>
                <w:szCs w:val="20"/>
                <w:highlight w:val="none"/>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6CC0E938">
            <w:pPr>
              <w:jc w:val="center"/>
              <w:rPr>
                <w:rFonts w:ascii="微软雅黑" w:hAnsi="微软雅黑" w:eastAsia="微软雅黑" w:cs="微软雅黑"/>
                <w:color w:val="auto"/>
                <w:sz w:val="20"/>
                <w:szCs w:val="20"/>
                <w:highlight w:val="none"/>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C007C0">
            <w:pPr>
              <w:jc w:val="center"/>
              <w:rPr>
                <w:rFonts w:ascii="微软雅黑" w:hAnsi="微软雅黑" w:eastAsia="微软雅黑" w:cs="微软雅黑"/>
                <w:color w:val="auto"/>
                <w:sz w:val="20"/>
                <w:szCs w:val="20"/>
                <w:highlight w:val="none"/>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4F614B6">
            <w:pPr>
              <w:jc w:val="center"/>
              <w:rPr>
                <w:rFonts w:ascii="微软雅黑" w:hAnsi="微软雅黑" w:eastAsia="微软雅黑" w:cs="微软雅黑"/>
                <w:color w:val="auto"/>
                <w:sz w:val="20"/>
                <w:szCs w:val="20"/>
                <w:highlight w:val="none"/>
              </w:rPr>
            </w:pPr>
          </w:p>
        </w:tc>
      </w:tr>
      <w:tr w14:paraId="7B4293C2">
        <w:tblPrEx>
          <w:tblCellMar>
            <w:top w:w="0" w:type="dxa"/>
            <w:left w:w="108" w:type="dxa"/>
            <w:bottom w:w="0" w:type="dxa"/>
            <w:right w:w="108" w:type="dxa"/>
          </w:tblCellMar>
        </w:tblPrEx>
        <w:trPr>
          <w:trHeight w:val="33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9E5B05C">
            <w:pPr>
              <w:jc w:val="center"/>
              <w:rPr>
                <w:rFonts w:ascii="微软雅黑" w:hAnsi="微软雅黑" w:eastAsia="微软雅黑" w:cs="微软雅黑"/>
                <w:color w:val="auto"/>
                <w:sz w:val="20"/>
                <w:szCs w:val="20"/>
                <w:highlight w:val="none"/>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6BAB8D57">
            <w:pPr>
              <w:jc w:val="center"/>
              <w:rPr>
                <w:rFonts w:ascii="微软雅黑" w:hAnsi="微软雅黑" w:eastAsia="微软雅黑" w:cs="微软雅黑"/>
                <w:color w:val="auto"/>
                <w:sz w:val="20"/>
                <w:szCs w:val="20"/>
                <w:highlight w:val="none"/>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5A2D3B">
            <w:pPr>
              <w:jc w:val="center"/>
              <w:rPr>
                <w:rFonts w:ascii="微软雅黑" w:hAnsi="微软雅黑" w:eastAsia="微软雅黑" w:cs="微软雅黑"/>
                <w:color w:val="auto"/>
                <w:sz w:val="20"/>
                <w:szCs w:val="20"/>
                <w:highlight w:val="none"/>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185F631">
            <w:pPr>
              <w:jc w:val="center"/>
              <w:rPr>
                <w:rFonts w:ascii="微软雅黑" w:hAnsi="微软雅黑" w:eastAsia="微软雅黑" w:cs="微软雅黑"/>
                <w:color w:val="auto"/>
                <w:sz w:val="20"/>
                <w:szCs w:val="20"/>
                <w:highlight w:val="none"/>
              </w:rPr>
            </w:pPr>
          </w:p>
        </w:tc>
      </w:tr>
      <w:tr w14:paraId="32340FE4">
        <w:tblPrEx>
          <w:tblCellMar>
            <w:top w:w="0" w:type="dxa"/>
            <w:left w:w="108" w:type="dxa"/>
            <w:bottom w:w="0" w:type="dxa"/>
            <w:right w:w="108" w:type="dxa"/>
          </w:tblCellMar>
        </w:tblPrEx>
        <w:trPr>
          <w:trHeight w:val="33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42B7123">
            <w:pPr>
              <w:jc w:val="center"/>
              <w:rPr>
                <w:rFonts w:ascii="微软雅黑" w:hAnsi="微软雅黑" w:eastAsia="微软雅黑" w:cs="微软雅黑"/>
                <w:color w:val="auto"/>
                <w:sz w:val="20"/>
                <w:szCs w:val="20"/>
                <w:highlight w:val="none"/>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51A028B3">
            <w:pPr>
              <w:jc w:val="center"/>
              <w:rPr>
                <w:rFonts w:ascii="微软雅黑" w:hAnsi="微软雅黑" w:eastAsia="微软雅黑" w:cs="微软雅黑"/>
                <w:color w:val="auto"/>
                <w:sz w:val="20"/>
                <w:szCs w:val="20"/>
                <w:highlight w:val="none"/>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4644D4">
            <w:pPr>
              <w:jc w:val="center"/>
              <w:rPr>
                <w:rFonts w:ascii="微软雅黑" w:hAnsi="微软雅黑" w:eastAsia="微软雅黑" w:cs="微软雅黑"/>
                <w:color w:val="auto"/>
                <w:sz w:val="20"/>
                <w:szCs w:val="20"/>
                <w:highlight w:val="none"/>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CB3EC7">
            <w:pPr>
              <w:jc w:val="center"/>
              <w:rPr>
                <w:rFonts w:ascii="宋体" w:hAnsi="宋体" w:cs="宋体"/>
                <w:color w:val="auto"/>
                <w:sz w:val="22"/>
                <w:szCs w:val="22"/>
                <w:highlight w:val="none"/>
              </w:rPr>
            </w:pPr>
          </w:p>
        </w:tc>
      </w:tr>
    </w:tbl>
    <w:p w14:paraId="12526F21">
      <w:pPr>
        <w:autoSpaceDE w:val="0"/>
        <w:autoSpaceDN w:val="0"/>
        <w:adjustRightInd w:val="0"/>
        <w:spacing w:line="120" w:lineRule="exact"/>
        <w:jc w:val="left"/>
        <w:rPr>
          <w:color w:val="auto"/>
          <w:kern w:val="0"/>
          <w:sz w:val="24"/>
          <w:highlight w:val="none"/>
        </w:rPr>
      </w:pPr>
    </w:p>
    <w:p w14:paraId="7F7DFB88">
      <w:pPr>
        <w:pStyle w:val="31"/>
        <w:rPr>
          <w:color w:val="auto"/>
          <w:highlight w:val="none"/>
        </w:rPr>
      </w:pPr>
    </w:p>
    <w:p w14:paraId="1F27999A">
      <w:pPr>
        <w:spacing w:line="360" w:lineRule="auto"/>
        <w:rPr>
          <w:rFonts w:hAnsi="宋体" w:cs="仿宋"/>
          <w:color w:val="auto"/>
          <w:szCs w:val="21"/>
          <w:highlight w:val="none"/>
        </w:rPr>
      </w:pPr>
      <w:r>
        <w:rPr>
          <w:rFonts w:hint="eastAsia" w:hAnsi="宋体" w:cs="仿宋"/>
          <w:color w:val="auto"/>
          <w:szCs w:val="21"/>
          <w:highlight w:val="none"/>
        </w:rPr>
        <w:t>注：①项目负责人及各专业负责人均应填写；</w:t>
      </w:r>
    </w:p>
    <w:p w14:paraId="4D3C72E6">
      <w:pPr>
        <w:spacing w:line="360" w:lineRule="auto"/>
        <w:ind w:firstLine="420" w:firstLineChars="200"/>
        <w:rPr>
          <w:rFonts w:hAnsi="宋体" w:cs="仿宋"/>
          <w:color w:val="auto"/>
          <w:szCs w:val="21"/>
          <w:highlight w:val="none"/>
        </w:rPr>
      </w:pPr>
      <w:r>
        <w:rPr>
          <w:rFonts w:hAnsi="宋体" w:cs="仿宋"/>
          <w:color w:val="auto"/>
          <w:szCs w:val="21"/>
          <w:highlight w:val="none"/>
        </w:rPr>
        <w:t>②本表人员应与参加本项目的主要人员汇总表中所列人员相一致，附主要人员的</w:t>
      </w:r>
      <w:r>
        <w:rPr>
          <w:rFonts w:hAnsi="宋体" w:cs="仿宋"/>
          <w:b/>
          <w:color w:val="auto"/>
          <w:szCs w:val="21"/>
          <w:highlight w:val="none"/>
        </w:rPr>
        <w:t>身份证、职称证</w:t>
      </w:r>
      <w:r>
        <w:rPr>
          <w:rFonts w:hint="eastAsia" w:ascii="宋体" w:hAnsi="宋体" w:cs="宋体"/>
          <w:color w:val="auto"/>
          <w:szCs w:val="21"/>
          <w:highlight w:val="none"/>
        </w:rPr>
        <w:t>复印件</w:t>
      </w:r>
      <w:r>
        <w:rPr>
          <w:rFonts w:hAnsi="宋体" w:cs="仿宋"/>
          <w:color w:val="auto"/>
          <w:szCs w:val="21"/>
          <w:highlight w:val="none"/>
        </w:rPr>
        <w:t>。</w:t>
      </w:r>
      <w:r>
        <w:rPr>
          <w:rFonts w:hint="eastAsia" w:ascii="宋体" w:hAnsi="宋体" w:cs="宋体"/>
          <w:color w:val="auto"/>
          <w:szCs w:val="21"/>
          <w:highlight w:val="none"/>
        </w:rPr>
        <w:t>加盖公章。</w:t>
      </w:r>
    </w:p>
    <w:p w14:paraId="2310C61C">
      <w:pPr>
        <w:pStyle w:val="10"/>
        <w:rPr>
          <w:color w:val="auto"/>
          <w:highlight w:val="none"/>
        </w:rPr>
      </w:pPr>
    </w:p>
    <w:p w14:paraId="558CF0DE">
      <w:pPr>
        <w:rPr>
          <w:color w:val="auto"/>
          <w:highlight w:val="none"/>
        </w:rPr>
      </w:pPr>
      <w:r>
        <w:rPr>
          <w:color w:val="auto"/>
          <w:highlight w:val="none"/>
        </w:rPr>
        <w:br w:type="page"/>
      </w:r>
    </w:p>
    <w:p w14:paraId="1B01668B">
      <w:pPr>
        <w:pStyle w:val="10"/>
        <w:rPr>
          <w:color w:val="auto"/>
          <w:highlight w:val="none"/>
        </w:rPr>
      </w:pPr>
    </w:p>
    <w:p w14:paraId="1FC79992">
      <w:pPr>
        <w:snapToGrid w:val="0"/>
        <w:spacing w:line="360" w:lineRule="auto"/>
        <w:jc w:val="center"/>
        <w:outlineLvl w:val="1"/>
        <w:rPr>
          <w:rFonts w:ascii="黑体" w:hAnsi="黑体" w:eastAsia="黑体" w:cs="黑体"/>
          <w:color w:val="auto"/>
          <w:sz w:val="36"/>
          <w:szCs w:val="36"/>
          <w:highlight w:val="none"/>
        </w:rPr>
      </w:pPr>
      <w:bookmarkStart w:id="50" w:name="_Toc11791"/>
      <w:bookmarkStart w:id="51" w:name="_Toc18160"/>
      <w:r>
        <w:rPr>
          <w:rFonts w:hint="eastAsia" w:ascii="黑体" w:hAnsi="黑体" w:eastAsia="黑体" w:cs="黑体"/>
          <w:color w:val="auto"/>
          <w:sz w:val="36"/>
          <w:szCs w:val="36"/>
          <w:highlight w:val="none"/>
        </w:rPr>
        <w:t>五、服务方案</w:t>
      </w:r>
      <w:bookmarkEnd w:id="50"/>
      <w:bookmarkEnd w:id="51"/>
      <w:r>
        <w:rPr>
          <w:rFonts w:hint="eastAsia" w:ascii="黑体" w:hAnsi="黑体" w:eastAsia="黑体" w:cs="黑体"/>
          <w:color w:val="auto"/>
          <w:sz w:val="36"/>
          <w:szCs w:val="36"/>
          <w:highlight w:val="none"/>
        </w:rPr>
        <w:t xml:space="preserve"> </w:t>
      </w:r>
    </w:p>
    <w:p w14:paraId="475B3CEC">
      <w:pPr>
        <w:spacing w:line="520" w:lineRule="exact"/>
        <w:ind w:firstLine="640" w:firstLineChars="200"/>
        <w:jc w:val="left"/>
        <w:rPr>
          <w:rFonts w:ascii="仿宋_GB2312" w:hAnsi="仿宋" w:eastAsia="仿宋_GB2312" w:cs="宋体"/>
          <w:bCs/>
          <w:color w:val="auto"/>
          <w:kern w:val="0"/>
          <w:sz w:val="32"/>
          <w:szCs w:val="32"/>
          <w:highlight w:val="none"/>
        </w:rPr>
      </w:pPr>
      <w:r>
        <w:rPr>
          <w:rFonts w:hint="eastAsia" w:ascii="仿宋_GB2312" w:hAnsi="仿宋" w:eastAsia="仿宋_GB2312" w:cs="宋体"/>
          <w:bCs/>
          <w:color w:val="auto"/>
          <w:kern w:val="0"/>
          <w:sz w:val="32"/>
          <w:szCs w:val="32"/>
          <w:highlight w:val="none"/>
        </w:rPr>
        <w:t>服务方案的工作思路需清晰，方案内容需详实，对海域测量相关法律法规的理解须熟悉透彻，对钦州港公共水域浅点整治实施方案重点、难点和要点分析应准确到位，根据项目实际情况应有针对性的措施和服务承诺，能很好地满足采购需求。</w:t>
      </w:r>
    </w:p>
    <w:p w14:paraId="123CFD22">
      <w:pPr>
        <w:pStyle w:val="10"/>
        <w:rPr>
          <w:color w:val="auto"/>
          <w:highlight w:val="none"/>
        </w:rPr>
      </w:pPr>
    </w:p>
    <w:p w14:paraId="48C7BB32">
      <w:pPr>
        <w:pStyle w:val="10"/>
        <w:rPr>
          <w:color w:val="auto"/>
          <w:highlight w:val="none"/>
        </w:rPr>
      </w:pPr>
    </w:p>
    <w:p w14:paraId="31654FB2">
      <w:pPr>
        <w:pStyle w:val="10"/>
        <w:rPr>
          <w:color w:val="auto"/>
          <w:highlight w:val="none"/>
        </w:rPr>
      </w:pPr>
    </w:p>
    <w:p w14:paraId="16AF3409">
      <w:pPr>
        <w:pStyle w:val="10"/>
        <w:rPr>
          <w:color w:val="auto"/>
          <w:highlight w:val="none"/>
        </w:rPr>
      </w:pPr>
    </w:p>
    <w:p w14:paraId="5A6C04FA">
      <w:pPr>
        <w:pStyle w:val="10"/>
        <w:rPr>
          <w:color w:val="auto"/>
          <w:highlight w:val="none"/>
        </w:rPr>
      </w:pPr>
    </w:p>
    <w:p w14:paraId="7D07BE23">
      <w:pPr>
        <w:pStyle w:val="10"/>
        <w:rPr>
          <w:color w:val="auto"/>
          <w:highlight w:val="none"/>
        </w:rPr>
      </w:pPr>
    </w:p>
    <w:p w14:paraId="2D164452">
      <w:pPr>
        <w:pStyle w:val="10"/>
        <w:rPr>
          <w:color w:val="auto"/>
          <w:highlight w:val="none"/>
        </w:rPr>
      </w:pPr>
    </w:p>
    <w:p w14:paraId="4A47BE27">
      <w:pPr>
        <w:pStyle w:val="10"/>
        <w:rPr>
          <w:color w:val="auto"/>
          <w:highlight w:val="none"/>
        </w:rPr>
      </w:pPr>
    </w:p>
    <w:p w14:paraId="3D56B922">
      <w:pPr>
        <w:pStyle w:val="10"/>
        <w:rPr>
          <w:color w:val="auto"/>
          <w:highlight w:val="none"/>
        </w:rPr>
      </w:pPr>
    </w:p>
    <w:p w14:paraId="43091475">
      <w:pPr>
        <w:pStyle w:val="10"/>
        <w:rPr>
          <w:color w:val="auto"/>
          <w:highlight w:val="none"/>
        </w:rPr>
      </w:pPr>
    </w:p>
    <w:p w14:paraId="4E62B4CE">
      <w:pPr>
        <w:pStyle w:val="10"/>
        <w:rPr>
          <w:color w:val="auto"/>
          <w:highlight w:val="none"/>
        </w:rPr>
      </w:pPr>
    </w:p>
    <w:p w14:paraId="3BBF16AE">
      <w:pPr>
        <w:pStyle w:val="10"/>
        <w:rPr>
          <w:color w:val="auto"/>
          <w:highlight w:val="none"/>
        </w:rPr>
      </w:pPr>
    </w:p>
    <w:p w14:paraId="2CD5F4DE">
      <w:pPr>
        <w:pStyle w:val="10"/>
        <w:rPr>
          <w:color w:val="auto"/>
          <w:highlight w:val="none"/>
        </w:rPr>
      </w:pPr>
    </w:p>
    <w:p w14:paraId="271FB274">
      <w:pPr>
        <w:pStyle w:val="10"/>
        <w:rPr>
          <w:color w:val="auto"/>
          <w:highlight w:val="none"/>
        </w:rPr>
      </w:pPr>
    </w:p>
    <w:p w14:paraId="060DE2C3">
      <w:pPr>
        <w:pStyle w:val="10"/>
        <w:rPr>
          <w:color w:val="auto"/>
          <w:highlight w:val="none"/>
        </w:rPr>
      </w:pPr>
    </w:p>
    <w:p w14:paraId="5DC1056A">
      <w:pPr>
        <w:pStyle w:val="10"/>
        <w:rPr>
          <w:color w:val="auto"/>
          <w:highlight w:val="none"/>
        </w:rPr>
      </w:pPr>
    </w:p>
    <w:p w14:paraId="50F9A4A6">
      <w:pPr>
        <w:pStyle w:val="10"/>
        <w:rPr>
          <w:color w:val="auto"/>
          <w:highlight w:val="none"/>
        </w:rPr>
      </w:pPr>
    </w:p>
    <w:p w14:paraId="142E58C9">
      <w:pPr>
        <w:pStyle w:val="10"/>
        <w:rPr>
          <w:color w:val="auto"/>
          <w:highlight w:val="none"/>
        </w:rPr>
      </w:pPr>
    </w:p>
    <w:p w14:paraId="5110E0C0">
      <w:pPr>
        <w:pStyle w:val="10"/>
        <w:rPr>
          <w:color w:val="auto"/>
          <w:highlight w:val="none"/>
        </w:rPr>
      </w:pPr>
    </w:p>
    <w:p w14:paraId="0F8AF567">
      <w:pPr>
        <w:pStyle w:val="10"/>
        <w:rPr>
          <w:color w:val="auto"/>
          <w:highlight w:val="none"/>
        </w:rPr>
      </w:pPr>
    </w:p>
    <w:p w14:paraId="60F5271D">
      <w:pPr>
        <w:pStyle w:val="10"/>
        <w:rPr>
          <w:color w:val="auto"/>
          <w:highlight w:val="none"/>
        </w:rPr>
      </w:pPr>
    </w:p>
    <w:p w14:paraId="37EA744E">
      <w:pPr>
        <w:pStyle w:val="10"/>
        <w:rPr>
          <w:color w:val="auto"/>
          <w:highlight w:val="none"/>
        </w:rPr>
      </w:pPr>
    </w:p>
    <w:p w14:paraId="387C95F9">
      <w:pPr>
        <w:pStyle w:val="10"/>
        <w:rPr>
          <w:color w:val="auto"/>
          <w:highlight w:val="none"/>
        </w:rPr>
      </w:pPr>
    </w:p>
    <w:p w14:paraId="1E924FCB">
      <w:pPr>
        <w:pStyle w:val="10"/>
        <w:rPr>
          <w:color w:val="auto"/>
          <w:highlight w:val="none"/>
        </w:rPr>
      </w:pPr>
    </w:p>
    <w:p w14:paraId="6E0BEC85">
      <w:pPr>
        <w:pStyle w:val="10"/>
        <w:rPr>
          <w:color w:val="auto"/>
          <w:highlight w:val="none"/>
        </w:rPr>
      </w:pPr>
    </w:p>
    <w:p w14:paraId="5A7D98FC">
      <w:pPr>
        <w:pStyle w:val="10"/>
        <w:rPr>
          <w:color w:val="auto"/>
          <w:highlight w:val="none"/>
        </w:rPr>
      </w:pPr>
    </w:p>
    <w:p w14:paraId="1F62E054">
      <w:pPr>
        <w:pStyle w:val="10"/>
        <w:rPr>
          <w:color w:val="auto"/>
          <w:highlight w:val="none"/>
        </w:rPr>
      </w:pPr>
    </w:p>
    <w:p w14:paraId="2F44B5C2">
      <w:pPr>
        <w:pStyle w:val="10"/>
        <w:rPr>
          <w:color w:val="auto"/>
          <w:highlight w:val="none"/>
        </w:rPr>
      </w:pPr>
    </w:p>
    <w:p w14:paraId="79FD92A3">
      <w:pPr>
        <w:pStyle w:val="10"/>
        <w:rPr>
          <w:color w:val="auto"/>
          <w:highlight w:val="none"/>
        </w:rPr>
      </w:pPr>
    </w:p>
    <w:p w14:paraId="0FEF7C24">
      <w:pPr>
        <w:pStyle w:val="10"/>
        <w:rPr>
          <w:color w:val="auto"/>
          <w:highlight w:val="none"/>
        </w:rPr>
      </w:pPr>
    </w:p>
    <w:p w14:paraId="717A2D8B">
      <w:pPr>
        <w:pStyle w:val="10"/>
        <w:rPr>
          <w:color w:val="auto"/>
          <w:highlight w:val="none"/>
        </w:rPr>
      </w:pPr>
    </w:p>
    <w:p w14:paraId="77321DBC">
      <w:pPr>
        <w:pStyle w:val="10"/>
        <w:rPr>
          <w:color w:val="auto"/>
          <w:highlight w:val="none"/>
        </w:rPr>
      </w:pPr>
    </w:p>
    <w:p w14:paraId="174C7111">
      <w:pPr>
        <w:pStyle w:val="10"/>
        <w:rPr>
          <w:color w:val="auto"/>
          <w:highlight w:val="none"/>
        </w:rPr>
      </w:pPr>
    </w:p>
    <w:p w14:paraId="6A9A4468">
      <w:pPr>
        <w:snapToGrid w:val="0"/>
        <w:spacing w:line="360" w:lineRule="auto"/>
        <w:jc w:val="center"/>
        <w:outlineLvl w:val="1"/>
        <w:rPr>
          <w:rFonts w:ascii="黑体" w:hAnsi="黑体" w:eastAsia="黑体" w:cs="黑体"/>
          <w:color w:val="auto"/>
          <w:sz w:val="36"/>
          <w:szCs w:val="36"/>
          <w:highlight w:val="none"/>
        </w:rPr>
      </w:pPr>
      <w:bookmarkStart w:id="52" w:name="_Toc24713"/>
      <w:bookmarkStart w:id="53" w:name="_Toc21629"/>
      <w:r>
        <w:rPr>
          <w:rFonts w:hint="eastAsia" w:ascii="黑体" w:hAnsi="黑体" w:eastAsia="黑体" w:cs="黑体"/>
          <w:color w:val="auto"/>
          <w:sz w:val="36"/>
          <w:szCs w:val="36"/>
          <w:highlight w:val="none"/>
        </w:rPr>
        <w:t>六、其他资料</w:t>
      </w:r>
      <w:bookmarkEnd w:id="52"/>
      <w:bookmarkEnd w:id="53"/>
    </w:p>
    <w:p w14:paraId="3B3F4291">
      <w:pPr>
        <w:pStyle w:val="10"/>
        <w:rPr>
          <w:color w:val="auto"/>
          <w:highlight w:val="none"/>
        </w:rPr>
      </w:pPr>
    </w:p>
    <w:p w14:paraId="04E98707">
      <w:pPr>
        <w:pStyle w:val="10"/>
        <w:rPr>
          <w:color w:val="auto"/>
          <w:highlight w:val="none"/>
        </w:rPr>
      </w:pPr>
    </w:p>
    <w:p w14:paraId="0DEDBC90">
      <w:pPr>
        <w:autoSpaceDE w:val="0"/>
        <w:autoSpaceDN w:val="0"/>
        <w:spacing w:line="360" w:lineRule="auto"/>
        <w:ind w:firstLine="4080" w:firstLineChars="1700"/>
        <w:rPr>
          <w:rFonts w:ascii="宋体" w:hAnsi="宋体" w:cs="宋体"/>
          <w:color w:val="auto"/>
          <w:kern w:val="0"/>
          <w:sz w:val="24"/>
          <w:highlight w:val="none"/>
          <w:lang w:val="zh-CN"/>
        </w:rPr>
        <w:sectPr>
          <w:pgSz w:w="11910" w:h="16840"/>
          <w:pgMar w:top="1340" w:right="1500" w:bottom="280" w:left="1680" w:header="720" w:footer="720" w:gutter="0"/>
          <w:cols w:space="720" w:num="1"/>
        </w:sectPr>
      </w:pPr>
    </w:p>
    <w:p w14:paraId="74678972">
      <w:pPr>
        <w:pStyle w:val="2"/>
        <w:jc w:val="center"/>
        <w:rPr>
          <w:color w:val="auto"/>
          <w:highlight w:val="none"/>
        </w:rPr>
      </w:pPr>
      <w:bookmarkStart w:id="54" w:name="_Toc10947"/>
      <w:bookmarkStart w:id="55" w:name="_Toc5554"/>
      <w:r>
        <w:rPr>
          <w:rFonts w:hint="eastAsia"/>
          <w:color w:val="auto"/>
          <w:highlight w:val="none"/>
        </w:rPr>
        <w:t xml:space="preserve">第六章 </w:t>
      </w:r>
      <w:r>
        <w:rPr>
          <w:rFonts w:ascii="宋体" w:hAnsi="宋体" w:cs="宋体"/>
          <w:color w:val="auto"/>
          <w:highlight w:val="none"/>
        </w:rPr>
        <w:t>合同</w:t>
      </w:r>
      <w:r>
        <w:rPr>
          <w:rFonts w:hint="eastAsia" w:ascii="宋体" w:hAnsi="宋体" w:cs="宋体"/>
          <w:color w:val="auto"/>
          <w:highlight w:val="none"/>
        </w:rPr>
        <w:t>格式</w:t>
      </w:r>
      <w:r>
        <w:rPr>
          <w:rFonts w:ascii="宋体" w:hAnsi="宋体" w:cs="宋体"/>
          <w:color w:val="auto"/>
          <w:highlight w:val="none"/>
        </w:rPr>
        <w:t>及主要条款</w:t>
      </w:r>
      <w:bookmarkEnd w:id="54"/>
      <w:bookmarkEnd w:id="55"/>
    </w:p>
    <w:p w14:paraId="4310CFE7">
      <w:pPr>
        <w:spacing w:before="156" w:beforeLines="50" w:after="156" w:afterLines="50" w:line="360" w:lineRule="auto"/>
        <w:jc w:val="center"/>
        <w:outlineLvl w:val="1"/>
        <w:rPr>
          <w:rFonts w:ascii="黑体" w:hAnsi="宋体" w:eastAsia="黑体"/>
          <w:color w:val="auto"/>
          <w:sz w:val="32"/>
          <w:szCs w:val="32"/>
          <w:highlight w:val="none"/>
        </w:rPr>
      </w:pPr>
      <w:bookmarkStart w:id="56" w:name="_Toc38903735"/>
      <w:bookmarkStart w:id="57" w:name="_Toc89866132"/>
      <w:bookmarkStart w:id="58" w:name="_Toc24135"/>
      <w:bookmarkStart w:id="59" w:name="_Toc4777"/>
      <w:bookmarkStart w:id="60" w:name="_Toc6647"/>
      <w:bookmarkStart w:id="61" w:name="_Toc15286"/>
    </w:p>
    <w:p w14:paraId="7704A390">
      <w:pPr>
        <w:spacing w:before="156" w:beforeLines="50" w:after="156" w:afterLines="50" w:line="360" w:lineRule="auto"/>
        <w:jc w:val="center"/>
        <w:outlineLvl w:val="1"/>
        <w:rPr>
          <w:rFonts w:ascii="黑体" w:hAnsi="宋体" w:eastAsia="黑体"/>
          <w:color w:val="auto"/>
          <w:sz w:val="32"/>
          <w:szCs w:val="32"/>
          <w:highlight w:val="none"/>
        </w:rPr>
      </w:pPr>
    </w:p>
    <w:p w14:paraId="0803B291">
      <w:pPr>
        <w:spacing w:before="156" w:beforeLines="50" w:after="156" w:afterLines="50" w:line="360" w:lineRule="auto"/>
        <w:jc w:val="center"/>
        <w:outlineLvl w:val="1"/>
        <w:rPr>
          <w:rFonts w:ascii="黑体" w:hAnsi="宋体" w:eastAsia="黑体"/>
          <w:color w:val="auto"/>
          <w:sz w:val="32"/>
          <w:szCs w:val="32"/>
          <w:highlight w:val="none"/>
        </w:rPr>
      </w:pPr>
    </w:p>
    <w:p w14:paraId="10E623D8">
      <w:pPr>
        <w:spacing w:before="156" w:beforeLines="50" w:after="156" w:afterLines="50" w:line="360" w:lineRule="auto"/>
        <w:jc w:val="center"/>
        <w:outlineLvl w:val="1"/>
        <w:rPr>
          <w:rFonts w:ascii="黑体" w:hAnsi="宋体" w:eastAsia="黑体"/>
          <w:color w:val="auto"/>
          <w:sz w:val="32"/>
          <w:szCs w:val="32"/>
          <w:highlight w:val="none"/>
        </w:rPr>
      </w:pPr>
    </w:p>
    <w:p w14:paraId="67F9CDAA">
      <w:pPr>
        <w:spacing w:before="156" w:beforeLines="50" w:after="156" w:afterLines="50" w:line="360" w:lineRule="auto"/>
        <w:jc w:val="center"/>
        <w:outlineLvl w:val="1"/>
        <w:rPr>
          <w:rFonts w:ascii="黑体" w:hAnsi="宋体" w:eastAsia="黑体"/>
          <w:color w:val="auto"/>
          <w:sz w:val="32"/>
          <w:szCs w:val="32"/>
          <w:highlight w:val="none"/>
        </w:rPr>
      </w:pPr>
    </w:p>
    <w:p w14:paraId="7553D56F">
      <w:pPr>
        <w:spacing w:before="156" w:beforeLines="50" w:after="156" w:afterLines="50" w:line="360" w:lineRule="auto"/>
        <w:jc w:val="center"/>
        <w:outlineLvl w:val="1"/>
        <w:rPr>
          <w:rFonts w:ascii="黑体" w:hAnsi="宋体" w:eastAsia="黑体"/>
          <w:color w:val="auto"/>
          <w:sz w:val="32"/>
          <w:szCs w:val="32"/>
          <w:highlight w:val="none"/>
        </w:rPr>
      </w:pPr>
    </w:p>
    <w:p w14:paraId="2C300BFF">
      <w:pPr>
        <w:spacing w:before="156" w:beforeLines="50" w:after="156" w:afterLines="50" w:line="360" w:lineRule="auto"/>
        <w:jc w:val="center"/>
        <w:outlineLvl w:val="1"/>
        <w:rPr>
          <w:rFonts w:ascii="黑体" w:hAnsi="宋体" w:eastAsia="黑体"/>
          <w:color w:val="auto"/>
          <w:sz w:val="32"/>
          <w:szCs w:val="32"/>
          <w:highlight w:val="none"/>
        </w:rPr>
      </w:pPr>
    </w:p>
    <w:p w14:paraId="4A48F51A">
      <w:pPr>
        <w:spacing w:before="156" w:beforeLines="50" w:after="156" w:afterLines="50" w:line="360" w:lineRule="auto"/>
        <w:jc w:val="center"/>
        <w:outlineLvl w:val="1"/>
        <w:rPr>
          <w:rFonts w:ascii="黑体" w:hAnsi="宋体" w:eastAsia="黑体"/>
          <w:color w:val="auto"/>
          <w:sz w:val="32"/>
          <w:szCs w:val="32"/>
          <w:highlight w:val="none"/>
        </w:rPr>
      </w:pPr>
    </w:p>
    <w:p w14:paraId="6BEFBA83">
      <w:pPr>
        <w:spacing w:before="156" w:beforeLines="50" w:after="156" w:afterLines="50" w:line="360" w:lineRule="auto"/>
        <w:jc w:val="center"/>
        <w:outlineLvl w:val="1"/>
        <w:rPr>
          <w:rFonts w:ascii="黑体" w:hAnsi="宋体" w:eastAsia="黑体"/>
          <w:color w:val="auto"/>
          <w:sz w:val="32"/>
          <w:szCs w:val="32"/>
          <w:highlight w:val="none"/>
        </w:rPr>
      </w:pPr>
    </w:p>
    <w:p w14:paraId="66D32C26">
      <w:pPr>
        <w:spacing w:before="156" w:beforeLines="50" w:after="156" w:afterLines="50" w:line="360" w:lineRule="auto"/>
        <w:jc w:val="center"/>
        <w:outlineLvl w:val="1"/>
        <w:rPr>
          <w:rFonts w:ascii="黑体" w:hAnsi="宋体" w:eastAsia="黑体"/>
          <w:color w:val="auto"/>
          <w:sz w:val="32"/>
          <w:szCs w:val="32"/>
          <w:highlight w:val="none"/>
        </w:rPr>
      </w:pPr>
    </w:p>
    <w:p w14:paraId="4E5191AF">
      <w:pPr>
        <w:spacing w:before="156" w:beforeLines="50" w:after="156" w:afterLines="50" w:line="360" w:lineRule="auto"/>
        <w:jc w:val="center"/>
        <w:outlineLvl w:val="1"/>
        <w:rPr>
          <w:rFonts w:ascii="黑体" w:hAnsi="宋体" w:eastAsia="黑体"/>
          <w:color w:val="auto"/>
          <w:sz w:val="32"/>
          <w:szCs w:val="32"/>
          <w:highlight w:val="none"/>
        </w:rPr>
      </w:pPr>
    </w:p>
    <w:p w14:paraId="2A4EC549">
      <w:pPr>
        <w:spacing w:before="156" w:beforeLines="50" w:after="156" w:afterLines="50" w:line="360" w:lineRule="auto"/>
        <w:jc w:val="center"/>
        <w:outlineLvl w:val="1"/>
        <w:rPr>
          <w:rFonts w:ascii="黑体" w:hAnsi="宋体" w:eastAsia="黑体"/>
          <w:color w:val="auto"/>
          <w:sz w:val="32"/>
          <w:szCs w:val="32"/>
          <w:highlight w:val="none"/>
        </w:rPr>
      </w:pPr>
    </w:p>
    <w:p w14:paraId="2AF34BC6">
      <w:pPr>
        <w:spacing w:before="156" w:beforeLines="50" w:after="156" w:afterLines="50" w:line="360" w:lineRule="auto"/>
        <w:jc w:val="center"/>
        <w:outlineLvl w:val="1"/>
        <w:rPr>
          <w:rFonts w:ascii="黑体" w:hAnsi="宋体" w:eastAsia="黑体"/>
          <w:color w:val="auto"/>
          <w:sz w:val="32"/>
          <w:szCs w:val="32"/>
          <w:highlight w:val="none"/>
        </w:rPr>
      </w:pPr>
    </w:p>
    <w:p w14:paraId="52AEC4FE">
      <w:pPr>
        <w:spacing w:before="156" w:beforeLines="50" w:after="156" w:afterLines="50" w:line="360" w:lineRule="auto"/>
        <w:jc w:val="center"/>
        <w:outlineLvl w:val="1"/>
        <w:rPr>
          <w:rFonts w:ascii="黑体" w:hAnsi="宋体" w:eastAsia="黑体"/>
          <w:color w:val="auto"/>
          <w:sz w:val="32"/>
          <w:szCs w:val="32"/>
          <w:highlight w:val="none"/>
        </w:rPr>
      </w:pPr>
    </w:p>
    <w:p w14:paraId="15C82ADA">
      <w:pPr>
        <w:spacing w:before="156" w:beforeLines="50" w:after="156" w:afterLines="50" w:line="360" w:lineRule="auto"/>
        <w:jc w:val="center"/>
        <w:outlineLvl w:val="1"/>
        <w:rPr>
          <w:rFonts w:ascii="黑体" w:hAnsi="宋体" w:eastAsia="黑体"/>
          <w:color w:val="auto"/>
          <w:sz w:val="32"/>
          <w:szCs w:val="32"/>
          <w:highlight w:val="none"/>
        </w:rPr>
      </w:pPr>
    </w:p>
    <w:p w14:paraId="3B20BA39">
      <w:pPr>
        <w:spacing w:before="156" w:beforeLines="50" w:after="156" w:afterLines="50" w:line="360" w:lineRule="auto"/>
        <w:jc w:val="center"/>
        <w:outlineLvl w:val="1"/>
        <w:rPr>
          <w:rFonts w:ascii="黑体" w:hAnsi="宋体" w:eastAsia="黑体"/>
          <w:color w:val="auto"/>
          <w:sz w:val="32"/>
          <w:szCs w:val="32"/>
          <w:highlight w:val="none"/>
        </w:rPr>
      </w:pPr>
    </w:p>
    <w:p w14:paraId="7194EC0E">
      <w:pPr>
        <w:spacing w:before="156" w:beforeLines="50" w:after="156" w:afterLines="50" w:line="360" w:lineRule="auto"/>
        <w:jc w:val="center"/>
        <w:outlineLvl w:val="1"/>
        <w:rPr>
          <w:rFonts w:ascii="黑体" w:hAnsi="宋体" w:eastAsia="黑体"/>
          <w:color w:val="auto"/>
          <w:sz w:val="32"/>
          <w:szCs w:val="32"/>
          <w:highlight w:val="none"/>
        </w:rPr>
      </w:pPr>
    </w:p>
    <w:p w14:paraId="7930BCA2">
      <w:pPr>
        <w:rPr>
          <w:rFonts w:ascii="宋体" w:hAnsi="宋体" w:cs="宋体"/>
          <w:color w:val="auto"/>
          <w:sz w:val="32"/>
          <w:szCs w:val="32"/>
          <w:highlight w:val="none"/>
        </w:rPr>
      </w:pPr>
      <w:r>
        <w:rPr>
          <w:rFonts w:hint="eastAsia" w:ascii="宋体" w:hAnsi="宋体" w:cs="宋体"/>
          <w:color w:val="auto"/>
          <w:sz w:val="32"/>
          <w:szCs w:val="32"/>
          <w:highlight w:val="none"/>
        </w:rPr>
        <w:t xml:space="preserve">                 </w:t>
      </w:r>
    </w:p>
    <w:p w14:paraId="5DC19440">
      <w:pPr>
        <w:rPr>
          <w:rFonts w:ascii="宋体" w:hAnsi="宋体" w:cs="宋体"/>
          <w:b/>
          <w:bCs/>
          <w:color w:val="auto"/>
          <w:sz w:val="32"/>
          <w:szCs w:val="32"/>
          <w:highlight w:val="none"/>
        </w:rPr>
      </w:pPr>
    </w:p>
    <w:p w14:paraId="66614FC3">
      <w:pPr>
        <w:jc w:val="center"/>
        <w:rPr>
          <w:rFonts w:ascii="宋体" w:hAnsi="宋体" w:cs="宋体"/>
          <w:color w:val="auto"/>
          <w:sz w:val="52"/>
          <w:szCs w:val="52"/>
          <w:highlight w:val="none"/>
        </w:rPr>
      </w:pPr>
      <w:r>
        <w:rPr>
          <w:rFonts w:hint="eastAsia" w:ascii="宋体" w:hAnsi="宋体" w:cs="宋体"/>
          <w:b/>
          <w:bCs/>
          <w:color w:val="auto"/>
          <w:sz w:val="52"/>
          <w:szCs w:val="52"/>
          <w:highlight w:val="none"/>
        </w:rPr>
        <w:t>合 同</w:t>
      </w:r>
    </w:p>
    <w:p w14:paraId="3E3DD6FD">
      <w:pPr>
        <w:rPr>
          <w:rFonts w:ascii="宋体" w:hAnsi="宋体" w:cs="宋体"/>
          <w:color w:val="auto"/>
          <w:sz w:val="32"/>
          <w:szCs w:val="32"/>
          <w:highlight w:val="none"/>
        </w:rPr>
      </w:pPr>
    </w:p>
    <w:p w14:paraId="656D7802">
      <w:pPr>
        <w:rPr>
          <w:rFonts w:ascii="宋体" w:hAnsi="宋体" w:cs="宋体"/>
          <w:color w:val="auto"/>
          <w:sz w:val="32"/>
          <w:szCs w:val="32"/>
          <w:highlight w:val="none"/>
        </w:rPr>
      </w:pPr>
    </w:p>
    <w:p w14:paraId="33A1C53C">
      <w:pPr>
        <w:rPr>
          <w:rFonts w:ascii="宋体" w:hAnsi="宋体" w:cs="宋体"/>
          <w:color w:val="auto"/>
          <w:sz w:val="32"/>
          <w:szCs w:val="32"/>
          <w:highlight w:val="none"/>
        </w:rPr>
      </w:pPr>
    </w:p>
    <w:p w14:paraId="601866D6">
      <w:pPr>
        <w:tabs>
          <w:tab w:val="left" w:pos="7350"/>
        </w:tabs>
        <w:spacing w:line="360" w:lineRule="auto"/>
        <w:rPr>
          <w:rFonts w:ascii="宋体" w:hAnsi="宋体" w:cs="宋体"/>
          <w:color w:val="auto"/>
          <w:sz w:val="32"/>
          <w:szCs w:val="32"/>
          <w:highlight w:val="none"/>
          <w:u w:val="single"/>
        </w:rPr>
      </w:pPr>
      <w:r>
        <w:rPr>
          <w:rFonts w:hint="eastAsia" w:ascii="宋体" w:hAnsi="宋体" w:cs="宋体"/>
          <w:color w:val="auto"/>
          <w:sz w:val="32"/>
          <w:szCs w:val="32"/>
          <w:highlight w:val="none"/>
        </w:rPr>
        <w:t>项目名称：钦州港公共水域浅点整治研究</w:t>
      </w:r>
    </w:p>
    <w:p w14:paraId="232E09FE">
      <w:pPr>
        <w:tabs>
          <w:tab w:val="left" w:pos="7350"/>
        </w:tabs>
        <w:spacing w:line="320" w:lineRule="exact"/>
        <w:rPr>
          <w:rFonts w:ascii="宋体" w:hAnsi="宋体" w:cs="宋体"/>
          <w:color w:val="auto"/>
          <w:sz w:val="32"/>
          <w:szCs w:val="32"/>
          <w:highlight w:val="none"/>
        </w:rPr>
      </w:pPr>
      <w:r>
        <w:rPr>
          <w:rFonts w:hint="eastAsia" w:ascii="宋体" w:hAnsi="宋体" w:cs="宋体"/>
          <w:color w:val="auto"/>
          <w:sz w:val="32"/>
          <w:szCs w:val="32"/>
          <w:highlight w:val="none"/>
        </w:rPr>
        <w:t xml:space="preserve"> </w:t>
      </w:r>
    </w:p>
    <w:p w14:paraId="38421E7B">
      <w:pPr>
        <w:tabs>
          <w:tab w:val="left" w:pos="7350"/>
        </w:tabs>
        <w:spacing w:line="320" w:lineRule="exact"/>
        <w:rPr>
          <w:rFonts w:ascii="宋体" w:hAnsi="宋体" w:cs="宋体"/>
          <w:color w:val="auto"/>
          <w:sz w:val="32"/>
          <w:szCs w:val="32"/>
          <w:highlight w:val="none"/>
        </w:rPr>
      </w:pPr>
    </w:p>
    <w:p w14:paraId="5B9819EA">
      <w:pPr>
        <w:tabs>
          <w:tab w:val="left" w:pos="1260"/>
        </w:tabs>
        <w:spacing w:line="320" w:lineRule="exact"/>
        <w:ind w:firstLine="320" w:firstLineChars="100"/>
        <w:rPr>
          <w:rFonts w:ascii="宋体" w:hAnsi="宋体" w:cs="宋体"/>
          <w:color w:val="auto"/>
          <w:spacing w:val="48"/>
          <w:sz w:val="32"/>
          <w:szCs w:val="32"/>
          <w:highlight w:val="none"/>
        </w:rPr>
      </w:pPr>
      <w:r>
        <w:rPr>
          <w:rFonts w:hint="eastAsia" w:ascii="宋体" w:hAnsi="宋体" w:cs="宋体"/>
          <w:color w:val="auto"/>
          <w:sz w:val="32"/>
          <w:szCs w:val="32"/>
          <w:highlight w:val="none"/>
        </w:rPr>
        <w:t>甲 方</w:t>
      </w:r>
    </w:p>
    <w:p w14:paraId="75271FEA">
      <w:pPr>
        <w:spacing w:line="320" w:lineRule="exact"/>
        <w:rPr>
          <w:rFonts w:ascii="宋体" w:hAnsi="宋体" w:cs="宋体"/>
          <w:color w:val="auto"/>
          <w:sz w:val="32"/>
          <w:szCs w:val="32"/>
          <w:highlight w:val="none"/>
        </w:rPr>
      </w:pPr>
      <w:r>
        <w:rPr>
          <w:rFonts w:ascii="宋体" w:hAnsi="宋体" w:cs="宋体"/>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1000125</wp:posOffset>
                </wp:positionH>
                <wp:positionV relativeFrom="paragraph">
                  <wp:posOffset>169545</wp:posOffset>
                </wp:positionV>
                <wp:extent cx="3600450" cy="0"/>
                <wp:effectExtent l="0" t="0" r="0" b="0"/>
                <wp:wrapNone/>
                <wp:docPr id="3" name="直接连接符 2"/>
                <wp:cNvGraphicFramePr/>
                <a:graphic xmlns:a="http://schemas.openxmlformats.org/drawingml/2006/main">
                  <a:graphicData uri="http://schemas.microsoft.com/office/word/2010/wordprocessingShape">
                    <wps:wsp>
                      <wps:cNvCnPr/>
                      <wps:spPr>
                        <a:xfrm>
                          <a:off x="0" y="0"/>
                          <a:ext cx="360045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接连接符 2" o:spid="_x0000_s1026" o:spt="20" style="position:absolute;left:0pt;margin-left:78.75pt;margin-top:13.35pt;height:0pt;width:283.5pt;z-index:251660288;mso-width-relative:page;mso-height-relative:page;" filled="f" stroked="t" coordsize="21600,21600" o:gfxdata="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MtK&#10;vF7WAAAACQEAAA8AAAAAAAAAAQAgAAAAIgAAAGRycy9kb3ducmV2LnhtbFBLAQIUABQAAAAIAIdO&#10;4kDjDt1k7AEAANgDAAAOAAAAAAAAAAEAIAAAACUBAABkcnMvZTJvRG9jLnhtbFBLBQYAAAAABgAG&#10;AFkBAACDBQAAAAA=&#10;">
                <v:fill on="f" focussize="0,0"/>
                <v:stroke color="#000000" joinstyle="round"/>
                <v:imagedata o:title=""/>
                <o:lock v:ext="edit" aspectratio="f"/>
              </v:line>
            </w:pict>
          </mc:Fallback>
        </mc:AlternateContent>
      </w:r>
      <w:r>
        <w:rPr>
          <w:rFonts w:hint="eastAsia" w:ascii="宋体" w:hAnsi="宋体" w:cs="宋体"/>
          <w:color w:val="auto"/>
          <w:sz w:val="32"/>
          <w:szCs w:val="32"/>
          <w:highlight w:val="none"/>
        </w:rPr>
        <w:t xml:space="preserve">   </w:t>
      </w:r>
      <w:r>
        <w:rPr>
          <w:rFonts w:hint="eastAsia" w:ascii="宋体" w:hAnsi="宋体" w:cs="宋体"/>
          <w:color w:val="auto"/>
          <w:sz w:val="32"/>
          <w:szCs w:val="32"/>
          <w:highlight w:val="none"/>
          <w:lang w:val="en-US" w:eastAsia="zh-CN"/>
        </w:rPr>
        <w:t xml:space="preserve">       </w:t>
      </w:r>
      <w:r>
        <w:rPr>
          <w:rFonts w:hint="eastAsia" w:ascii="宋体" w:hAnsi="宋体" w:cs="宋体"/>
          <w:color w:val="auto"/>
          <w:sz w:val="32"/>
          <w:szCs w:val="32"/>
          <w:highlight w:val="none"/>
        </w:rPr>
        <w:t>广西壮族自治区北部湾港口管理局钦州</w:t>
      </w:r>
      <w:r>
        <w:rPr>
          <w:rFonts w:hint="eastAsia" w:ascii="宋体" w:hAnsi="宋体" w:cs="宋体"/>
          <w:color w:val="auto"/>
          <w:sz w:val="32"/>
          <w:szCs w:val="32"/>
          <w:highlight w:val="none"/>
          <w:u w:val="single"/>
        </w:rPr>
        <w:t>分局</w:t>
      </w:r>
    </w:p>
    <w:p w14:paraId="09DF2795">
      <w:pPr>
        <w:spacing w:line="320" w:lineRule="exact"/>
        <w:ind w:firstLine="320" w:firstLineChars="100"/>
        <w:rPr>
          <w:rFonts w:hint="eastAsia" w:ascii="宋体" w:hAnsi="宋体" w:cs="宋体"/>
          <w:color w:val="auto"/>
          <w:sz w:val="32"/>
          <w:szCs w:val="32"/>
          <w:highlight w:val="none"/>
        </w:rPr>
      </w:pPr>
    </w:p>
    <w:p w14:paraId="79004226">
      <w:pPr>
        <w:spacing w:line="320" w:lineRule="exact"/>
        <w:ind w:firstLine="320" w:firstLineChars="100"/>
        <w:rPr>
          <w:rFonts w:ascii="宋体" w:hAnsi="宋体" w:cs="宋体"/>
          <w:color w:val="auto"/>
          <w:sz w:val="32"/>
          <w:szCs w:val="32"/>
          <w:highlight w:val="none"/>
        </w:rPr>
      </w:pPr>
      <w:r>
        <w:rPr>
          <w:rFonts w:hint="eastAsia" w:ascii="宋体" w:hAnsi="宋体" w:cs="宋体"/>
          <w:color w:val="auto"/>
          <w:sz w:val="32"/>
          <w:szCs w:val="32"/>
          <w:highlight w:val="none"/>
        </w:rPr>
        <w:t>乙 方</w:t>
      </w:r>
    </w:p>
    <w:p w14:paraId="19F6AC9C">
      <w:pPr>
        <w:spacing w:line="320" w:lineRule="exact"/>
        <w:rPr>
          <w:rFonts w:ascii="宋体" w:hAnsi="宋体" w:cs="宋体"/>
          <w:color w:val="auto"/>
          <w:sz w:val="32"/>
          <w:szCs w:val="32"/>
          <w:highlight w:val="none"/>
        </w:rPr>
      </w:pPr>
      <w:r>
        <w:rPr>
          <w:rFonts w:ascii="宋体" w:hAnsi="宋体" w:cs="宋体"/>
          <w:color w:val="auto"/>
          <w:highlight w:val="none"/>
        </w:rPr>
        <mc:AlternateContent>
          <mc:Choice Requires="wps">
            <w:drawing>
              <wp:anchor distT="0" distB="0" distL="114300" distR="114300" simplePos="0" relativeHeight="251661312" behindDoc="0" locked="0" layoutInCell="1" allowOverlap="1">
                <wp:simplePos x="0" y="0"/>
                <wp:positionH relativeFrom="column">
                  <wp:posOffset>1000125</wp:posOffset>
                </wp:positionH>
                <wp:positionV relativeFrom="paragraph">
                  <wp:posOffset>172085</wp:posOffset>
                </wp:positionV>
                <wp:extent cx="3667125" cy="0"/>
                <wp:effectExtent l="0" t="0" r="0" b="0"/>
                <wp:wrapNone/>
                <wp:docPr id="2" name="直接连接符 1"/>
                <wp:cNvGraphicFramePr/>
                <a:graphic xmlns:a="http://schemas.openxmlformats.org/drawingml/2006/main">
                  <a:graphicData uri="http://schemas.microsoft.com/office/word/2010/wordprocessingShape">
                    <wps:wsp>
                      <wps:cNvCnPr/>
                      <wps:spPr>
                        <a:xfrm>
                          <a:off x="0" y="0"/>
                          <a:ext cx="366712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接连接符 1" o:spid="_x0000_s1026" o:spt="20" style="position:absolute;left:0pt;margin-left:78.75pt;margin-top:13.55pt;height:0pt;width:288.75pt;z-index:251661312;mso-width-relative:page;mso-height-relative:page;" filled="f" stroked="t" coordsize="21600,21600" o:gfxdata="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M5I&#10;gtYAAAAJAQAADwAAAAAAAAABACAAAAAiAAAAZHJzL2Rvd25yZXYueG1sUEsBAhQAFAAAAAgAh07i&#10;QHVBXSjrAQAA2AMAAA4AAAAAAAAAAQAgAAAAJQEAAGRycy9lMm9Eb2MueG1sUEsFBgAAAAAGAAYA&#10;WQEAAIIFAAAAAA==&#10;">
                <v:fill on="f" focussize="0,0"/>
                <v:stroke color="#000000" joinstyle="round"/>
                <v:imagedata o:title=""/>
                <o:lock v:ext="edit" aspectratio="f"/>
              </v:line>
            </w:pict>
          </mc:Fallback>
        </mc:AlternateContent>
      </w:r>
      <w:r>
        <w:rPr>
          <w:rFonts w:hint="eastAsia" w:ascii="宋体" w:hAnsi="宋体" w:cs="宋体"/>
          <w:color w:val="auto"/>
          <w:sz w:val="32"/>
          <w:szCs w:val="32"/>
          <w:highlight w:val="none"/>
        </w:rPr>
        <w:t xml:space="preserve">   </w:t>
      </w:r>
      <w:r>
        <w:rPr>
          <w:rFonts w:hint="eastAsia" w:ascii="宋体" w:hAnsi="宋体" w:cs="宋体"/>
          <w:b/>
          <w:bCs/>
          <w:color w:val="auto"/>
          <w:sz w:val="32"/>
          <w:szCs w:val="32"/>
          <w:highlight w:val="none"/>
        </w:rPr>
        <w:t xml:space="preserve">                    </w:t>
      </w:r>
    </w:p>
    <w:p w14:paraId="27489971">
      <w:pPr>
        <w:rPr>
          <w:rFonts w:ascii="宋体" w:hAnsi="宋体" w:cs="宋体"/>
          <w:color w:val="auto"/>
          <w:sz w:val="32"/>
          <w:szCs w:val="32"/>
          <w:highlight w:val="none"/>
        </w:rPr>
      </w:pPr>
    </w:p>
    <w:p w14:paraId="27334371">
      <w:pPr>
        <w:rPr>
          <w:rFonts w:ascii="宋体" w:hAnsi="宋体" w:cs="宋体"/>
          <w:color w:val="auto"/>
          <w:sz w:val="32"/>
          <w:szCs w:val="32"/>
          <w:highlight w:val="none"/>
        </w:rPr>
      </w:pPr>
    </w:p>
    <w:p w14:paraId="74AF1326">
      <w:pPr>
        <w:rPr>
          <w:rFonts w:ascii="宋体" w:hAnsi="宋体" w:cs="宋体"/>
          <w:color w:val="auto"/>
          <w:sz w:val="32"/>
          <w:szCs w:val="32"/>
          <w:highlight w:val="none"/>
        </w:rPr>
      </w:pPr>
    </w:p>
    <w:p w14:paraId="7B7E957B">
      <w:pPr>
        <w:rPr>
          <w:rFonts w:ascii="宋体" w:hAnsi="宋体" w:cs="宋体"/>
          <w:color w:val="auto"/>
          <w:sz w:val="32"/>
          <w:szCs w:val="32"/>
          <w:highlight w:val="none"/>
        </w:rPr>
      </w:pPr>
    </w:p>
    <w:p w14:paraId="4239997A">
      <w:pPr>
        <w:tabs>
          <w:tab w:val="left" w:pos="2280"/>
        </w:tabs>
        <w:ind w:firstLine="1920" w:firstLineChars="600"/>
        <w:rPr>
          <w:rFonts w:ascii="宋体" w:hAnsi="宋体" w:cs="宋体"/>
          <w:color w:val="auto"/>
          <w:sz w:val="32"/>
          <w:szCs w:val="32"/>
          <w:highlight w:val="none"/>
        </w:rPr>
      </w:pPr>
      <w:r>
        <w:rPr>
          <w:rFonts w:hint="eastAsia" w:ascii="宋体" w:hAnsi="宋体" w:cs="宋体"/>
          <w:color w:val="auto"/>
          <w:sz w:val="32"/>
          <w:szCs w:val="32"/>
          <w:highlight w:val="none"/>
        </w:rPr>
        <w:t>签订地点：钦州港</w:t>
      </w:r>
    </w:p>
    <w:p w14:paraId="36C1B8A9">
      <w:pPr>
        <w:tabs>
          <w:tab w:val="left" w:pos="2280"/>
        </w:tabs>
        <w:ind w:firstLine="1920" w:firstLineChars="600"/>
        <w:rPr>
          <w:rFonts w:ascii="宋体" w:hAnsi="宋体" w:cs="宋体"/>
          <w:color w:val="auto"/>
          <w:sz w:val="32"/>
          <w:szCs w:val="32"/>
          <w:highlight w:val="none"/>
        </w:rPr>
      </w:pPr>
      <w:r>
        <w:rPr>
          <w:rFonts w:hint="eastAsia" w:ascii="宋体" w:hAnsi="宋体" w:cs="宋体"/>
          <w:color w:val="auto"/>
          <w:sz w:val="32"/>
          <w:szCs w:val="32"/>
          <w:highlight w:val="none"/>
        </w:rPr>
        <w:t>签订日期：2025年  月  日</w:t>
      </w:r>
    </w:p>
    <w:p w14:paraId="40D5EEFB">
      <w:pPr>
        <w:tabs>
          <w:tab w:val="left" w:pos="9030"/>
        </w:tabs>
        <w:spacing w:line="360" w:lineRule="auto"/>
        <w:ind w:left="315" w:leftChars="150" w:right="210" w:rightChars="100" w:firstLine="640" w:firstLineChars="200"/>
        <w:rPr>
          <w:rFonts w:ascii="宋体" w:hAnsi="宋体" w:cs="宋体"/>
          <w:color w:val="auto"/>
          <w:sz w:val="24"/>
          <w:highlight w:val="none"/>
        </w:rPr>
      </w:pPr>
      <w:r>
        <w:rPr>
          <w:rFonts w:hint="eastAsia" w:ascii="宋体" w:hAnsi="宋体" w:cs="宋体"/>
          <w:color w:val="auto"/>
          <w:sz w:val="32"/>
          <w:szCs w:val="32"/>
          <w:highlight w:val="none"/>
        </w:rPr>
        <w:br w:type="page"/>
      </w:r>
    </w:p>
    <w:p w14:paraId="524E49C6">
      <w:pPr>
        <w:spacing w:line="360" w:lineRule="auto"/>
        <w:ind w:firstLine="480" w:firstLineChars="200"/>
        <w:jc w:val="left"/>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甲方：</w:t>
      </w:r>
      <w:r>
        <w:rPr>
          <w:rFonts w:hint="eastAsia" w:ascii="宋体" w:hAnsi="宋体" w:cs="宋体"/>
          <w:snapToGrid w:val="0"/>
          <w:color w:val="auto"/>
          <w:kern w:val="0"/>
          <w:sz w:val="24"/>
          <w:highlight w:val="none"/>
          <w:u w:val="single"/>
        </w:rPr>
        <w:t xml:space="preserve">广西壮族自治区北部湾港港口管理局钦州分局         </w:t>
      </w:r>
    </w:p>
    <w:p w14:paraId="207121A0">
      <w:pPr>
        <w:widowControl/>
        <w:spacing w:after="75" w:line="360" w:lineRule="auto"/>
        <w:ind w:firstLine="480" w:firstLineChars="200"/>
        <w:jc w:val="left"/>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乙方：</w:t>
      </w:r>
      <w:r>
        <w:rPr>
          <w:rFonts w:hint="eastAsia" w:ascii="宋体" w:hAnsi="宋体" w:cs="宋体"/>
          <w:snapToGrid w:val="0"/>
          <w:color w:val="auto"/>
          <w:kern w:val="0"/>
          <w:sz w:val="24"/>
          <w:highlight w:val="none"/>
          <w:u w:val="single"/>
        </w:rPr>
        <w:t xml:space="preserve">                            </w:t>
      </w:r>
    </w:p>
    <w:p w14:paraId="2F23B1CC">
      <w:pPr>
        <w:widowControl/>
        <w:spacing w:line="360" w:lineRule="auto"/>
        <w:ind w:firstLine="480" w:firstLineChars="200"/>
        <w:rPr>
          <w:rFonts w:ascii="宋体" w:hAnsi="宋体" w:cs="宋体"/>
          <w:snapToGrid w:val="0"/>
          <w:color w:val="auto"/>
          <w:kern w:val="0"/>
          <w:sz w:val="24"/>
          <w:highlight w:val="none"/>
        </w:rPr>
      </w:pPr>
    </w:p>
    <w:p w14:paraId="07689B35">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双方根据《中华人民共和国民法典》及有关规定，本着平等互利、真诚合作的原则，经协商，就钦州港公共水域浅点整治研究，达成以下协议：</w:t>
      </w:r>
    </w:p>
    <w:p w14:paraId="5316E74A">
      <w:pPr>
        <w:spacing w:line="360" w:lineRule="auto"/>
        <w:ind w:firstLine="482" w:firstLineChars="200"/>
        <w:rPr>
          <w:rFonts w:ascii="宋体" w:hAnsi="宋体" w:cs="宋体"/>
          <w:b/>
          <w:bCs/>
          <w:snapToGrid w:val="0"/>
          <w:color w:val="auto"/>
          <w:kern w:val="0"/>
          <w:sz w:val="24"/>
          <w:highlight w:val="none"/>
        </w:rPr>
      </w:pPr>
      <w:r>
        <w:rPr>
          <w:rFonts w:hint="eastAsia" w:ascii="宋体" w:hAnsi="宋体" w:cs="宋体"/>
          <w:b/>
          <w:bCs/>
          <w:snapToGrid w:val="0"/>
          <w:color w:val="auto"/>
          <w:kern w:val="0"/>
          <w:sz w:val="24"/>
          <w:highlight w:val="none"/>
        </w:rPr>
        <w:t>一、 本合同依据下列文件签订</w:t>
      </w:r>
    </w:p>
    <w:p w14:paraId="30B3F41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（一）《中华人民共和国民法典》。</w:t>
      </w:r>
    </w:p>
    <w:p w14:paraId="02A74FD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（二）国家及地方有关技术咨询管理法规和规章。</w:t>
      </w:r>
    </w:p>
    <w:p w14:paraId="67AF1497">
      <w:pPr>
        <w:spacing w:line="360" w:lineRule="auto"/>
        <w:ind w:firstLine="482" w:firstLineChars="200"/>
        <w:rPr>
          <w:rFonts w:ascii="宋体" w:hAnsi="宋体" w:cs="宋体"/>
          <w:b/>
          <w:bCs/>
          <w:snapToGrid w:val="0"/>
          <w:color w:val="auto"/>
          <w:kern w:val="0"/>
          <w:sz w:val="24"/>
          <w:highlight w:val="none"/>
        </w:rPr>
      </w:pPr>
      <w:r>
        <w:rPr>
          <w:rFonts w:hint="eastAsia" w:ascii="宋体" w:hAnsi="宋体" w:cs="宋体"/>
          <w:b/>
          <w:bCs/>
          <w:snapToGrid w:val="0"/>
          <w:color w:val="auto"/>
          <w:kern w:val="0"/>
          <w:sz w:val="24"/>
          <w:highlight w:val="none"/>
        </w:rPr>
        <w:t>二、 乙方承担的工作内容和要求</w:t>
      </w:r>
    </w:p>
    <w:p w14:paraId="42B5E01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（一）项目名称：钦州港公共水域浅点整治研究。</w:t>
      </w:r>
    </w:p>
    <w:p w14:paraId="5663A1A9">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（二）工作范围：</w:t>
      </w:r>
      <w:r>
        <w:rPr>
          <w:rFonts w:hint="eastAsia" w:ascii="宋体" w:hAnsi="宋体" w:cs="Times New Roman"/>
          <w:b w:val="0"/>
          <w:bCs w:val="0"/>
          <w:color w:val="auto"/>
          <w:sz w:val="24"/>
          <w:szCs w:val="24"/>
          <w:highlight w:val="none"/>
          <w:lang w:val="en-US" w:eastAsia="zh-CN"/>
        </w:rPr>
        <w:t>对</w:t>
      </w:r>
      <w:r>
        <w:rPr>
          <w:rFonts w:hint="eastAsia" w:ascii="宋体" w:hAnsi="宋体" w:cs="Times New Roman"/>
          <w:b w:val="0"/>
          <w:bCs w:val="0"/>
          <w:color w:val="auto"/>
          <w:sz w:val="24"/>
          <w:szCs w:val="24"/>
          <w:highlight w:val="none"/>
        </w:rPr>
        <w:t>钦州港金谷港区中石油码头与国投电厂码头之间、</w:t>
      </w:r>
      <w:r>
        <w:rPr>
          <w:rFonts w:hint="eastAsia" w:ascii="宋体" w:hAnsi="宋体" w:cs="Times New Roman"/>
          <w:b w:val="0"/>
          <w:bCs w:val="0"/>
          <w:color w:val="auto"/>
          <w:sz w:val="24"/>
          <w:szCs w:val="24"/>
          <w:highlight w:val="none"/>
          <w:lang w:eastAsia="zh-CN"/>
        </w:rPr>
        <w:t>中石化码头与天盛煤码头之间、勒沟航道、</w:t>
      </w:r>
      <w:r>
        <w:rPr>
          <w:rFonts w:hint="eastAsia" w:ascii="宋体" w:hAnsi="宋体" w:cs="Times New Roman"/>
          <w:b w:val="0"/>
          <w:bCs w:val="0"/>
          <w:color w:val="auto"/>
          <w:sz w:val="24"/>
          <w:szCs w:val="24"/>
          <w:highlight w:val="none"/>
        </w:rPr>
        <w:t>勒沟航道口门附近等存在浅点的公共水域</w:t>
      </w:r>
      <w:r>
        <w:rPr>
          <w:rFonts w:hint="eastAsia" w:ascii="宋体" w:hAnsi="宋体"/>
          <w:b w:val="0"/>
          <w:bCs w:val="0"/>
          <w:color w:val="auto"/>
          <w:sz w:val="24"/>
          <w:szCs w:val="24"/>
          <w:highlight w:val="none"/>
        </w:rPr>
        <w:t>采用多波束全覆盖扫测，确定浅点区、浅点区地质勘探、编制钦州港公共水域浅点整治实施方案。</w:t>
      </w:r>
    </w:p>
    <w:p w14:paraId="473DA42A">
      <w:pPr>
        <w:widowControl/>
        <w:spacing w:line="360" w:lineRule="auto"/>
        <w:ind w:firstLine="480" w:firstLineChars="200"/>
        <w:jc w:val="left"/>
        <w:rPr>
          <w:rFonts w:ascii="宋体" w:hAnsi="宋体" w:cs="宋体"/>
          <w:color w:val="auto"/>
          <w:sz w:val="24"/>
          <w:highlight w:val="none"/>
          <w:lang w:bidi="ar"/>
        </w:rPr>
      </w:pPr>
      <w:r>
        <w:rPr>
          <w:rFonts w:hint="eastAsia" w:ascii="宋体" w:hAnsi="宋体" w:cs="宋体"/>
          <w:color w:val="auto"/>
          <w:sz w:val="24"/>
          <w:highlight w:val="none"/>
        </w:rPr>
        <w:t>（三）工作内容：依据有关规定、规范、标准，对钦州港公共水域浅点整治研究提供勘察、</w:t>
      </w:r>
      <w:r>
        <w:rPr>
          <w:rFonts w:hint="eastAsia" w:ascii="宋体" w:hAnsi="宋体" w:cs="宋体"/>
          <w:color w:val="auto"/>
          <w:sz w:val="24"/>
          <w:highlight w:val="none"/>
          <w:lang w:val="en-US" w:eastAsia="zh-CN"/>
        </w:rPr>
        <w:t>测量、研究</w:t>
      </w:r>
      <w:r>
        <w:rPr>
          <w:rFonts w:hint="eastAsia" w:ascii="宋体" w:hAnsi="宋体" w:cs="宋体"/>
          <w:color w:val="auto"/>
          <w:sz w:val="24"/>
          <w:highlight w:val="none"/>
        </w:rPr>
        <w:t>工作。包括但不限于以下主要工作：</w:t>
      </w:r>
    </w:p>
    <w:p w14:paraId="0009D5E9">
      <w:pPr>
        <w:widowControl/>
        <w:spacing w:line="360" w:lineRule="auto"/>
        <w:ind w:firstLine="480" w:firstLineChars="200"/>
        <w:jc w:val="left"/>
        <w:rPr>
          <w:rFonts w:hint="eastAsia" w:ascii="宋体" w:hAnsi="宋体"/>
          <w:color w:val="auto"/>
          <w:sz w:val="24"/>
          <w:szCs w:val="24"/>
          <w:highlight w:val="none"/>
          <w:lang w:eastAsia="zh-CN"/>
        </w:rPr>
      </w:pPr>
      <w:r>
        <w:rPr>
          <w:rFonts w:hint="eastAsia" w:ascii="宋体" w:hAnsi="宋体" w:cs="Times New Roman"/>
          <w:color w:val="auto"/>
          <w:sz w:val="24"/>
          <w:highlight w:val="none"/>
          <w:lang w:bidi="ar"/>
        </w:rPr>
        <w:t>1.</w:t>
      </w:r>
      <w:r>
        <w:rPr>
          <w:rFonts w:hint="eastAsia" w:ascii="宋体" w:hAnsi="宋体" w:cs="Times New Roman"/>
          <w:b w:val="0"/>
          <w:color w:val="auto"/>
          <w:sz w:val="24"/>
          <w:szCs w:val="24"/>
          <w:highlight w:val="none"/>
        </w:rPr>
        <w:t>多波束</w:t>
      </w:r>
      <w:r>
        <w:rPr>
          <w:rFonts w:hint="eastAsia" w:ascii="宋体" w:hAnsi="宋体"/>
          <w:b w:val="0"/>
          <w:bCs w:val="0"/>
          <w:color w:val="auto"/>
          <w:sz w:val="24"/>
          <w:szCs w:val="24"/>
          <w:highlight w:val="none"/>
          <w:lang w:eastAsia="zh-CN"/>
        </w:rPr>
        <w:t>1:1000</w:t>
      </w:r>
      <w:r>
        <w:rPr>
          <w:rFonts w:hint="eastAsia" w:ascii="宋体" w:hAnsi="宋体" w:cs="Times New Roman"/>
          <w:b w:val="0"/>
          <w:color w:val="auto"/>
          <w:sz w:val="24"/>
          <w:szCs w:val="24"/>
          <w:highlight w:val="none"/>
        </w:rPr>
        <w:t>全覆盖扫测</w:t>
      </w:r>
      <w:r>
        <w:rPr>
          <w:rFonts w:hint="eastAsia" w:ascii="宋体" w:hAnsi="宋体" w:cs="宋体"/>
          <w:color w:val="auto"/>
          <w:sz w:val="24"/>
          <w:highlight w:val="none"/>
        </w:rPr>
        <w:t>钦州港公共水域</w:t>
      </w:r>
      <w:r>
        <w:rPr>
          <w:rFonts w:hint="eastAsia" w:ascii="宋体" w:hAnsi="宋体" w:cs="Times New Roman"/>
          <w:b w:val="0"/>
          <w:color w:val="auto"/>
          <w:sz w:val="24"/>
          <w:szCs w:val="24"/>
          <w:highlight w:val="none"/>
          <w:lang w:eastAsia="zh-CN"/>
        </w:rPr>
        <w:t>，</w:t>
      </w:r>
      <w:r>
        <w:rPr>
          <w:rFonts w:hint="eastAsia" w:ascii="宋体" w:hAnsi="宋体"/>
          <w:color w:val="auto"/>
          <w:sz w:val="24"/>
          <w:szCs w:val="24"/>
          <w:highlight w:val="none"/>
        </w:rPr>
        <w:t>面积约</w:t>
      </w:r>
      <w:r>
        <w:rPr>
          <w:rFonts w:hint="eastAsia" w:ascii="宋体" w:hAnsi="宋体"/>
          <w:color w:val="auto"/>
          <w:sz w:val="24"/>
          <w:szCs w:val="24"/>
          <w:highlight w:val="none"/>
          <w:lang w:val="en-US" w:eastAsia="zh-CN"/>
        </w:rPr>
        <w:t>3.3</w:t>
      </w:r>
      <w:r>
        <w:rPr>
          <w:rFonts w:hint="eastAsia" w:ascii="宋体" w:hAnsi="宋体"/>
          <w:color w:val="auto"/>
          <w:sz w:val="24"/>
          <w:szCs w:val="24"/>
          <w:highlight w:val="none"/>
        </w:rPr>
        <w:t>平方公里</w:t>
      </w:r>
      <w:r>
        <w:rPr>
          <w:rFonts w:hint="eastAsia" w:ascii="宋体" w:hAnsi="宋体"/>
          <w:color w:val="auto"/>
          <w:sz w:val="24"/>
          <w:szCs w:val="24"/>
          <w:highlight w:val="none"/>
          <w:lang w:eastAsia="zh-CN"/>
        </w:rPr>
        <w:t>；</w:t>
      </w:r>
    </w:p>
    <w:p w14:paraId="20A4F0C4">
      <w:pPr>
        <w:widowControl/>
        <w:spacing w:line="360" w:lineRule="auto"/>
        <w:ind w:firstLine="480" w:firstLineChars="200"/>
        <w:jc w:val="left"/>
        <w:rPr>
          <w:rFonts w:hint="eastAsia" w:ascii="宋体" w:hAnsi="宋体"/>
          <w:color w:val="auto"/>
          <w:sz w:val="24"/>
          <w:szCs w:val="24"/>
          <w:highlight w:val="none"/>
          <w:lang w:eastAsia="zh-CN"/>
        </w:rPr>
      </w:pP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地勘钻孔暂估12个（实际数量以满足设计及规范要求为准）</w:t>
      </w:r>
      <w:r>
        <w:rPr>
          <w:rFonts w:hint="eastAsia" w:ascii="宋体" w:hAnsi="宋体"/>
          <w:color w:val="auto"/>
          <w:sz w:val="24"/>
          <w:szCs w:val="24"/>
          <w:highlight w:val="none"/>
          <w:lang w:eastAsia="zh-CN"/>
        </w:rPr>
        <w:t>；</w:t>
      </w:r>
    </w:p>
    <w:p w14:paraId="52C7C779">
      <w:pPr>
        <w:widowControl/>
        <w:spacing w:line="360" w:lineRule="auto"/>
        <w:ind w:firstLine="480" w:firstLineChars="200"/>
        <w:jc w:val="left"/>
        <w:rPr>
          <w:rFonts w:hint="eastAsia" w:ascii="宋体" w:hAnsi="宋体"/>
          <w:b w:val="0"/>
          <w:bCs w:val="0"/>
          <w:color w:val="auto"/>
          <w:sz w:val="24"/>
          <w:szCs w:val="24"/>
          <w:highlight w:val="none"/>
        </w:rPr>
      </w:pPr>
      <w:r>
        <w:rPr>
          <w:rFonts w:hint="eastAsia" w:ascii="宋体" w:hAnsi="宋体"/>
          <w:color w:val="auto"/>
          <w:sz w:val="24"/>
          <w:szCs w:val="24"/>
          <w:highlight w:val="none"/>
          <w:lang w:val="en-US" w:eastAsia="zh-CN"/>
        </w:rPr>
        <w:t>3.</w:t>
      </w:r>
      <w:r>
        <w:rPr>
          <w:rFonts w:hint="eastAsia" w:ascii="宋体" w:hAnsi="宋体"/>
          <w:color w:val="auto"/>
          <w:sz w:val="24"/>
          <w:szCs w:val="24"/>
          <w:highlight w:val="none"/>
        </w:rPr>
        <w:t>编制钦州港公共水域浅点整治实施方案。</w:t>
      </w:r>
    </w:p>
    <w:p w14:paraId="166A00D8">
      <w:pPr>
        <w:spacing w:line="360" w:lineRule="auto"/>
        <w:ind w:firstLine="482" w:firstLineChars="200"/>
        <w:rPr>
          <w:rFonts w:ascii="宋体" w:hAnsi="宋体" w:cs="宋体"/>
          <w:b/>
          <w:bCs/>
          <w:snapToGrid w:val="0"/>
          <w:color w:val="auto"/>
          <w:kern w:val="0"/>
          <w:sz w:val="24"/>
          <w:highlight w:val="none"/>
        </w:rPr>
      </w:pPr>
      <w:r>
        <w:rPr>
          <w:rFonts w:hint="eastAsia" w:ascii="宋体" w:hAnsi="宋体" w:cs="宋体"/>
          <w:b/>
          <w:bCs/>
          <w:snapToGrid w:val="0"/>
          <w:color w:val="auto"/>
          <w:kern w:val="0"/>
          <w:sz w:val="24"/>
          <w:highlight w:val="none"/>
        </w:rPr>
        <w:t>三、合同履行期限</w:t>
      </w:r>
    </w:p>
    <w:p w14:paraId="7BAF0E58">
      <w:pPr>
        <w:widowControl/>
        <w:spacing w:line="360" w:lineRule="auto"/>
        <w:ind w:firstLine="482" w:firstLineChars="200"/>
        <w:jc w:val="left"/>
        <w:rPr>
          <w:rFonts w:ascii="宋体" w:hAnsi="宋体" w:cs="宋体"/>
          <w:color w:val="auto"/>
          <w:sz w:val="24"/>
          <w:highlight w:val="none"/>
        </w:rPr>
      </w:pPr>
      <w:bookmarkStart w:id="62" w:name="_Hlk150934534"/>
      <w:r>
        <w:rPr>
          <w:rFonts w:hint="eastAsia" w:ascii="宋体" w:hAnsi="宋体" w:cs="宋体"/>
          <w:b/>
          <w:bCs/>
          <w:snapToGrid w:val="0"/>
          <w:color w:val="auto"/>
          <w:kern w:val="0"/>
          <w:sz w:val="24"/>
          <w:highlight w:val="none"/>
        </w:rPr>
        <w:t>合同履行期限：</w:t>
      </w:r>
      <w:bookmarkEnd w:id="62"/>
      <w:r>
        <w:rPr>
          <w:rFonts w:hint="eastAsia" w:ascii="宋体" w:hAnsi="宋体" w:cs="宋体"/>
          <w:b/>
          <w:bCs/>
          <w:snapToGrid w:val="0"/>
          <w:color w:val="auto"/>
          <w:kern w:val="0"/>
          <w:sz w:val="24"/>
          <w:highlight w:val="none"/>
        </w:rPr>
        <w:t>合同签订后60日历天</w:t>
      </w:r>
      <w:r>
        <w:rPr>
          <w:rFonts w:hint="eastAsia" w:ascii="宋体" w:hAnsi="宋体" w:cs="宋体"/>
          <w:color w:val="auto"/>
          <w:sz w:val="24"/>
          <w:highlight w:val="none"/>
          <w:lang w:bidi="ar"/>
        </w:rPr>
        <w:t>。</w:t>
      </w:r>
    </w:p>
    <w:p w14:paraId="05C648CC">
      <w:pPr>
        <w:spacing w:line="360" w:lineRule="auto"/>
        <w:ind w:firstLine="482" w:firstLineChars="200"/>
        <w:rPr>
          <w:rFonts w:ascii="宋体" w:hAnsi="宋体" w:cs="宋体"/>
          <w:b/>
          <w:bCs/>
          <w:snapToGrid w:val="0"/>
          <w:color w:val="auto"/>
          <w:kern w:val="0"/>
          <w:sz w:val="24"/>
          <w:highlight w:val="none"/>
        </w:rPr>
      </w:pPr>
      <w:r>
        <w:rPr>
          <w:rFonts w:hint="eastAsia" w:ascii="宋体" w:hAnsi="宋体" w:cs="宋体"/>
          <w:b/>
          <w:bCs/>
          <w:snapToGrid w:val="0"/>
          <w:color w:val="auto"/>
          <w:kern w:val="0"/>
          <w:sz w:val="24"/>
          <w:highlight w:val="none"/>
        </w:rPr>
        <w:t>四、费用及其支付方式</w:t>
      </w:r>
    </w:p>
    <w:p w14:paraId="22E37348">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（一）费用总额</w:t>
      </w:r>
    </w:p>
    <w:p w14:paraId="0ACA5B57">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合同总价为人民币（大写）</w:t>
      </w:r>
      <w:r>
        <w:rPr>
          <w:rFonts w:hint="eastAsia" w:ascii="宋体" w:hAnsi="宋体" w:cs="宋体"/>
          <w:snapToGrid w:val="0"/>
          <w:color w:val="auto"/>
          <w:kern w:val="0"/>
          <w:sz w:val="24"/>
          <w:highlight w:val="none"/>
          <w:u w:val="single"/>
        </w:rPr>
        <w:t xml:space="preserve">     </w:t>
      </w:r>
      <w:r>
        <w:rPr>
          <w:rFonts w:hint="eastAsia" w:ascii="宋体" w:hAnsi="宋体" w:cs="宋体"/>
          <w:snapToGrid w:val="0"/>
          <w:color w:val="auto"/>
          <w:kern w:val="0"/>
          <w:sz w:val="24"/>
          <w:highlight w:val="none"/>
        </w:rPr>
        <w:t>元整（¥</w:t>
      </w:r>
      <w:r>
        <w:rPr>
          <w:rFonts w:hint="eastAsia" w:ascii="宋体" w:hAnsi="宋体" w:cs="宋体"/>
          <w:snapToGrid w:val="0"/>
          <w:color w:val="auto"/>
          <w:kern w:val="0"/>
          <w:sz w:val="24"/>
          <w:highlight w:val="none"/>
          <w:u w:val="single"/>
        </w:rPr>
        <w:t xml:space="preserve">   </w:t>
      </w:r>
      <w:r>
        <w:rPr>
          <w:rFonts w:hint="eastAsia" w:ascii="宋体" w:hAnsi="宋体" w:cs="宋体"/>
          <w:snapToGrid w:val="0"/>
          <w:color w:val="auto"/>
          <w:kern w:val="0"/>
          <w:sz w:val="24"/>
          <w:highlight w:val="none"/>
        </w:rPr>
        <w:t>）。本合同为固定总价合同，履行本合同服务所需的全部费用均计入合同价格中，由乙方包干使用。</w:t>
      </w:r>
    </w:p>
    <w:p w14:paraId="101EC557">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（二）支付方式</w:t>
      </w:r>
    </w:p>
    <w:p w14:paraId="07855EF2">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1.第一期支付</w:t>
      </w:r>
    </w:p>
    <w:p w14:paraId="22981034">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合同签署后，由</w:t>
      </w:r>
      <w:r>
        <w:rPr>
          <w:rFonts w:hint="eastAsia" w:ascii="宋体" w:hAnsi="宋体" w:cs="宋体"/>
          <w:snapToGrid w:val="0"/>
          <w:color w:val="auto"/>
          <w:kern w:val="0"/>
          <w:sz w:val="24"/>
          <w:highlight w:val="none"/>
        </w:rPr>
        <w:t>乙方</w:t>
      </w:r>
      <w:r>
        <w:rPr>
          <w:rFonts w:hint="eastAsia" w:ascii="宋体" w:hAnsi="宋体" w:cs="宋体"/>
          <w:color w:val="auto"/>
          <w:sz w:val="24"/>
          <w:highlight w:val="none"/>
          <w:lang w:bidi="ar"/>
        </w:rPr>
        <w:t>提交</w:t>
      </w:r>
      <w:r>
        <w:rPr>
          <w:rFonts w:hint="eastAsia" w:ascii="宋体" w:hAnsi="宋体" w:cs="宋体"/>
          <w:snapToGrid w:val="0"/>
          <w:color w:val="auto"/>
          <w:kern w:val="0"/>
          <w:sz w:val="24"/>
          <w:highlight w:val="none"/>
        </w:rPr>
        <w:t>第一期</w:t>
      </w:r>
      <w:r>
        <w:rPr>
          <w:rFonts w:hint="eastAsia" w:ascii="宋体" w:hAnsi="宋体" w:cs="宋体"/>
          <w:color w:val="auto"/>
          <w:sz w:val="24"/>
          <w:highlight w:val="none"/>
          <w:lang w:bidi="ar"/>
        </w:rPr>
        <w:t>支付申请</w:t>
      </w:r>
      <w:r>
        <w:rPr>
          <w:rFonts w:hint="eastAsia" w:ascii="宋体" w:hAnsi="宋体" w:cs="宋体"/>
          <w:color w:val="auto"/>
          <w:sz w:val="24"/>
          <w:highlight w:val="none"/>
          <w:lang w:val="en-US" w:eastAsia="zh-CN" w:bidi="ar"/>
        </w:rPr>
        <w:t>及</w:t>
      </w:r>
      <w:r>
        <w:rPr>
          <w:rFonts w:hint="eastAsia" w:ascii="宋体" w:hAnsi="宋体" w:cs="宋体"/>
          <w:color w:val="auto"/>
          <w:sz w:val="24"/>
          <w:highlight w:val="none"/>
          <w:lang w:bidi="ar"/>
        </w:rPr>
        <w:t>提供等额的增值税发票，</w:t>
      </w:r>
      <w:r>
        <w:rPr>
          <w:rFonts w:hint="eastAsia" w:ascii="宋体" w:hAnsi="宋体" w:cs="宋体"/>
          <w:snapToGrid w:val="0"/>
          <w:color w:val="auto"/>
          <w:kern w:val="0"/>
          <w:sz w:val="24"/>
          <w:highlight w:val="none"/>
        </w:rPr>
        <w:t>甲方</w:t>
      </w:r>
      <w:r>
        <w:rPr>
          <w:rFonts w:hint="eastAsia" w:ascii="宋体" w:hAnsi="宋体" w:cs="宋体"/>
          <w:color w:val="auto"/>
          <w:sz w:val="24"/>
          <w:highlight w:val="none"/>
          <w:lang w:bidi="ar"/>
        </w:rPr>
        <w:t>收到</w:t>
      </w:r>
      <w:r>
        <w:rPr>
          <w:rFonts w:hint="eastAsia" w:ascii="宋体" w:hAnsi="宋体" w:cs="宋体"/>
          <w:snapToGrid w:val="0"/>
          <w:color w:val="auto"/>
          <w:kern w:val="0"/>
          <w:sz w:val="24"/>
          <w:highlight w:val="none"/>
        </w:rPr>
        <w:t>第一期</w:t>
      </w:r>
      <w:r>
        <w:rPr>
          <w:rFonts w:hint="eastAsia" w:ascii="宋体" w:hAnsi="宋体" w:cs="宋体"/>
          <w:color w:val="auto"/>
          <w:sz w:val="24"/>
          <w:highlight w:val="none"/>
          <w:lang w:bidi="ar"/>
        </w:rPr>
        <w:t>支付申请</w:t>
      </w:r>
      <w:r>
        <w:rPr>
          <w:rFonts w:hint="eastAsia" w:ascii="宋体" w:hAnsi="宋体" w:cs="宋体"/>
          <w:color w:val="auto"/>
          <w:sz w:val="24"/>
          <w:highlight w:val="none"/>
          <w:lang w:val="en-US" w:eastAsia="zh-CN" w:bidi="ar"/>
        </w:rPr>
        <w:t>材料</w:t>
      </w:r>
      <w:r>
        <w:rPr>
          <w:rFonts w:hint="eastAsia" w:ascii="宋体" w:hAnsi="宋体" w:cs="宋体"/>
          <w:color w:val="auto"/>
          <w:sz w:val="24"/>
          <w:highlight w:val="none"/>
          <w:lang w:bidi="ar"/>
        </w:rPr>
        <w:t>后1</w:t>
      </w:r>
      <w:r>
        <w:rPr>
          <w:rFonts w:hint="eastAsia" w:ascii="宋体" w:hAnsi="宋体" w:cs="宋体"/>
          <w:color w:val="auto"/>
          <w:sz w:val="24"/>
          <w:highlight w:val="none"/>
          <w:lang w:val="en-US" w:eastAsia="zh-CN" w:bidi="ar"/>
        </w:rPr>
        <w:t>4日历天</w:t>
      </w:r>
      <w:r>
        <w:rPr>
          <w:rFonts w:hint="eastAsia" w:ascii="宋体" w:hAnsi="宋体" w:cs="宋体"/>
          <w:color w:val="auto"/>
          <w:sz w:val="24"/>
          <w:highlight w:val="none"/>
          <w:lang w:bidi="ar"/>
        </w:rPr>
        <w:t>内，向</w:t>
      </w:r>
      <w:r>
        <w:rPr>
          <w:rFonts w:hint="eastAsia" w:ascii="宋体" w:hAnsi="宋体" w:cs="宋体"/>
          <w:snapToGrid w:val="0"/>
          <w:color w:val="auto"/>
          <w:kern w:val="0"/>
          <w:sz w:val="24"/>
          <w:highlight w:val="none"/>
        </w:rPr>
        <w:t>乙方</w:t>
      </w:r>
      <w:r>
        <w:rPr>
          <w:rFonts w:hint="eastAsia" w:ascii="宋体" w:hAnsi="宋体" w:cs="宋体"/>
          <w:color w:val="auto"/>
          <w:sz w:val="24"/>
          <w:highlight w:val="none"/>
          <w:lang w:bidi="ar"/>
        </w:rPr>
        <w:t>支付合同金额的</w:t>
      </w:r>
      <w:r>
        <w:rPr>
          <w:rFonts w:hint="eastAsia" w:ascii="宋体" w:hAnsi="宋体" w:cs="宋体"/>
          <w:color w:val="auto"/>
          <w:sz w:val="24"/>
          <w:highlight w:val="none"/>
          <w:lang w:val="en-US" w:eastAsia="zh-CN" w:bidi="ar"/>
        </w:rPr>
        <w:t>3</w:t>
      </w:r>
      <w:r>
        <w:rPr>
          <w:rFonts w:hint="eastAsia" w:ascii="宋体" w:hAnsi="宋体" w:cs="宋体"/>
          <w:color w:val="auto"/>
          <w:sz w:val="24"/>
          <w:highlight w:val="none"/>
          <w:lang w:bidi="ar"/>
        </w:rPr>
        <w:t>0%。</w:t>
      </w:r>
    </w:p>
    <w:p w14:paraId="3EB26DC3">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bidi="ar"/>
        </w:rPr>
        <w:t>2.第二期支付</w:t>
      </w:r>
    </w:p>
    <w:p w14:paraId="5E29A7A2">
      <w:pPr>
        <w:spacing w:line="360" w:lineRule="auto"/>
        <w:ind w:firstLine="480" w:firstLineChars="200"/>
        <w:rPr>
          <w:rFonts w:ascii="宋体" w:hAnsi="宋体" w:cs="宋体"/>
          <w:b/>
          <w:bCs/>
          <w:snapToGrid w:val="0"/>
          <w:color w:val="auto"/>
          <w:kern w:val="0"/>
          <w:sz w:val="24"/>
          <w:highlight w:val="none"/>
        </w:rPr>
      </w:pPr>
      <w:r>
        <w:rPr>
          <w:rFonts w:hint="eastAsia" w:ascii="宋体" w:hAnsi="宋体" w:cs="宋体"/>
          <w:color w:val="auto"/>
          <w:sz w:val="24"/>
          <w:highlight w:val="none"/>
          <w:lang w:bidi="ar"/>
        </w:rPr>
        <w:t>在所有合同工作完成后，由</w:t>
      </w:r>
      <w:r>
        <w:rPr>
          <w:rFonts w:hint="eastAsia" w:ascii="宋体" w:hAnsi="宋体" w:cs="宋体"/>
          <w:color w:val="auto"/>
          <w:sz w:val="24"/>
          <w:highlight w:val="none"/>
          <w:lang w:val="en-US" w:eastAsia="zh-CN" w:bidi="ar"/>
        </w:rPr>
        <w:t>乙方</w:t>
      </w:r>
      <w:r>
        <w:rPr>
          <w:rFonts w:hint="eastAsia" w:ascii="宋体" w:hAnsi="宋体" w:cs="宋体"/>
          <w:color w:val="auto"/>
          <w:sz w:val="24"/>
          <w:highlight w:val="none"/>
          <w:lang w:bidi="ar"/>
        </w:rPr>
        <w:t>向</w:t>
      </w:r>
      <w:r>
        <w:rPr>
          <w:rFonts w:hint="eastAsia" w:ascii="宋体" w:hAnsi="宋体" w:cs="宋体"/>
          <w:color w:val="auto"/>
          <w:sz w:val="24"/>
          <w:highlight w:val="none"/>
          <w:lang w:val="en-US" w:eastAsia="zh-CN" w:bidi="ar"/>
        </w:rPr>
        <w:t>甲方</w:t>
      </w:r>
      <w:r>
        <w:rPr>
          <w:rFonts w:hint="eastAsia" w:ascii="宋体" w:hAnsi="宋体" w:cs="宋体"/>
          <w:color w:val="auto"/>
          <w:sz w:val="24"/>
          <w:highlight w:val="none"/>
          <w:lang w:bidi="ar"/>
        </w:rPr>
        <w:t>提出验收申请，</w:t>
      </w:r>
      <w:r>
        <w:rPr>
          <w:rFonts w:hint="eastAsia" w:ascii="宋体" w:hAnsi="宋体" w:cs="宋体"/>
          <w:color w:val="auto"/>
          <w:sz w:val="24"/>
          <w:highlight w:val="none"/>
          <w:lang w:val="en-US" w:eastAsia="zh-CN" w:bidi="ar"/>
        </w:rPr>
        <w:t>项目</w:t>
      </w:r>
      <w:r>
        <w:rPr>
          <w:rFonts w:hint="eastAsia" w:ascii="宋体" w:hAnsi="宋体" w:cs="宋体"/>
          <w:color w:val="auto"/>
          <w:sz w:val="24"/>
          <w:highlight w:val="none"/>
          <w:lang w:bidi="ar"/>
        </w:rPr>
        <w:t>验收合格后</w:t>
      </w:r>
      <w:r>
        <w:rPr>
          <w:rFonts w:hint="eastAsia" w:ascii="宋体" w:hAnsi="宋体" w:cs="宋体"/>
          <w:color w:val="auto"/>
          <w:sz w:val="24"/>
          <w:highlight w:val="none"/>
          <w:lang w:eastAsia="zh-CN" w:bidi="ar"/>
        </w:rPr>
        <w:t>，</w:t>
      </w:r>
      <w:r>
        <w:rPr>
          <w:rFonts w:hint="eastAsia" w:ascii="宋体" w:hAnsi="宋体" w:cs="宋体"/>
          <w:color w:val="auto"/>
          <w:sz w:val="24"/>
          <w:highlight w:val="none"/>
          <w:lang w:val="en-US" w:eastAsia="zh-CN" w:bidi="ar"/>
        </w:rPr>
        <w:t>乙方</w:t>
      </w:r>
      <w:r>
        <w:rPr>
          <w:rFonts w:hint="eastAsia" w:ascii="宋体" w:hAnsi="宋体" w:cs="宋体"/>
          <w:color w:val="auto"/>
          <w:sz w:val="24"/>
          <w:highlight w:val="none"/>
          <w:lang w:bidi="ar"/>
        </w:rPr>
        <w:t>提交</w:t>
      </w:r>
      <w:r>
        <w:rPr>
          <w:rFonts w:hint="eastAsia" w:ascii="宋体" w:hAnsi="宋体" w:cs="宋体"/>
          <w:snapToGrid w:val="0"/>
          <w:color w:val="auto"/>
          <w:kern w:val="0"/>
          <w:sz w:val="24"/>
          <w:highlight w:val="none"/>
        </w:rPr>
        <w:t>第</w:t>
      </w:r>
      <w:r>
        <w:rPr>
          <w:rFonts w:hint="eastAsia" w:ascii="宋体" w:hAnsi="宋体" w:cs="宋体"/>
          <w:snapToGrid w:val="0"/>
          <w:color w:val="auto"/>
          <w:kern w:val="0"/>
          <w:sz w:val="24"/>
          <w:highlight w:val="none"/>
          <w:lang w:val="en-US" w:eastAsia="zh-CN"/>
        </w:rPr>
        <w:t>二</w:t>
      </w:r>
      <w:r>
        <w:rPr>
          <w:rFonts w:hint="eastAsia" w:ascii="宋体" w:hAnsi="宋体" w:cs="宋体"/>
          <w:snapToGrid w:val="0"/>
          <w:color w:val="auto"/>
          <w:kern w:val="0"/>
          <w:sz w:val="24"/>
          <w:highlight w:val="none"/>
        </w:rPr>
        <w:t>期</w:t>
      </w:r>
      <w:r>
        <w:rPr>
          <w:rFonts w:hint="eastAsia" w:ascii="宋体" w:hAnsi="宋体" w:cs="宋体"/>
          <w:color w:val="auto"/>
          <w:sz w:val="24"/>
          <w:highlight w:val="none"/>
          <w:lang w:bidi="ar"/>
        </w:rPr>
        <w:t>支付申请</w:t>
      </w:r>
      <w:r>
        <w:rPr>
          <w:rFonts w:hint="eastAsia" w:ascii="宋体" w:hAnsi="宋体" w:cs="宋体"/>
          <w:color w:val="auto"/>
          <w:sz w:val="24"/>
          <w:highlight w:val="none"/>
          <w:lang w:val="en-US" w:eastAsia="zh-CN" w:bidi="ar"/>
        </w:rPr>
        <w:t>及</w:t>
      </w:r>
      <w:r>
        <w:rPr>
          <w:rFonts w:hint="eastAsia" w:ascii="宋体" w:hAnsi="宋体" w:cs="宋体"/>
          <w:color w:val="auto"/>
          <w:sz w:val="24"/>
          <w:highlight w:val="none"/>
          <w:lang w:bidi="ar"/>
        </w:rPr>
        <w:t>提供等额的增值税发票</w:t>
      </w:r>
      <w:r>
        <w:rPr>
          <w:rFonts w:hint="eastAsia" w:ascii="宋体" w:hAnsi="宋体" w:cs="宋体"/>
          <w:color w:val="auto"/>
          <w:sz w:val="24"/>
          <w:highlight w:val="none"/>
          <w:lang w:eastAsia="zh-CN" w:bidi="ar"/>
        </w:rPr>
        <w:t>，</w:t>
      </w:r>
      <w:r>
        <w:rPr>
          <w:rFonts w:hint="eastAsia" w:ascii="宋体" w:hAnsi="宋体" w:cs="宋体"/>
          <w:color w:val="auto"/>
          <w:sz w:val="24"/>
          <w:highlight w:val="none"/>
          <w:lang w:val="en-US" w:eastAsia="zh-CN" w:bidi="ar"/>
        </w:rPr>
        <w:t>甲方收到支付材料后14日历天内支付</w:t>
      </w:r>
      <w:r>
        <w:rPr>
          <w:rFonts w:hint="eastAsia" w:ascii="宋体" w:hAnsi="宋体" w:cs="宋体"/>
          <w:color w:val="auto"/>
          <w:sz w:val="24"/>
          <w:highlight w:val="none"/>
          <w:lang w:bidi="ar"/>
        </w:rPr>
        <w:t>合同剩余款项。</w:t>
      </w:r>
    </w:p>
    <w:p w14:paraId="7F10CADD">
      <w:pPr>
        <w:spacing w:line="360" w:lineRule="auto"/>
        <w:ind w:firstLine="482" w:firstLineChars="200"/>
        <w:rPr>
          <w:rFonts w:ascii="宋体" w:hAnsi="宋体" w:cs="宋体"/>
          <w:b/>
          <w:bCs/>
          <w:snapToGrid w:val="0"/>
          <w:color w:val="auto"/>
          <w:kern w:val="0"/>
          <w:sz w:val="24"/>
          <w:highlight w:val="none"/>
        </w:rPr>
      </w:pPr>
      <w:r>
        <w:rPr>
          <w:rFonts w:hint="eastAsia" w:ascii="宋体" w:hAnsi="宋体" w:cs="宋体"/>
          <w:b/>
          <w:bCs/>
          <w:snapToGrid w:val="0"/>
          <w:color w:val="auto"/>
          <w:kern w:val="0"/>
          <w:sz w:val="24"/>
          <w:highlight w:val="none"/>
        </w:rPr>
        <w:t>五、履约保证金</w:t>
      </w:r>
    </w:p>
    <w:p w14:paraId="42437865">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乙方在签订合同之前，向甲方提交金额为签约合同价的</w:t>
      </w:r>
      <w:r>
        <w:rPr>
          <w:rFonts w:hint="eastAsia" w:ascii="宋体" w:hAnsi="宋体" w:cs="宋体"/>
          <w:snapToGrid w:val="0"/>
          <w:color w:val="auto"/>
          <w:kern w:val="0"/>
          <w:sz w:val="24"/>
          <w:highlight w:val="none"/>
          <w:lang w:val="en-US" w:eastAsia="zh-CN"/>
        </w:rPr>
        <w:t>10</w:t>
      </w:r>
      <w:r>
        <w:rPr>
          <w:rFonts w:hint="eastAsia" w:ascii="宋体" w:hAnsi="宋体" w:cs="宋体"/>
          <w:snapToGrid w:val="0"/>
          <w:color w:val="auto"/>
          <w:kern w:val="0"/>
          <w:sz w:val="24"/>
          <w:highlight w:val="none"/>
        </w:rPr>
        <w:t>%的履约保证金。乙方未按约定提交履约保证金的，视为乙方放弃中标资格，甲方有权不予与其签订合同；因此给甲方造成损失的，乙方还应承担相应的赔偿责任。</w:t>
      </w:r>
    </w:p>
    <w:p w14:paraId="316E9B20">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 xml:space="preserve"> 履约保证金可采用履约银行保函或银行转账的形式。</w:t>
      </w:r>
    </w:p>
    <w:p w14:paraId="7B41EBB2">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（1）若采用银行保函形式，应由国有商业或股份制商业银行出具，并保证其有效。执行本条规定所需的费用由乙方承担。保函的正本由甲方保存。</w:t>
      </w:r>
    </w:p>
    <w:p w14:paraId="2AFBFA09">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（2）若采用银行转账形式，应当从乙方基本账户转出，且全额一次性转入甲方指定账号，并注明“</w:t>
      </w:r>
      <w:r>
        <w:rPr>
          <w:rFonts w:hint="eastAsia" w:ascii="宋体" w:hAnsi="宋体" w:cs="宋体"/>
          <w:bCs/>
          <w:color w:val="auto"/>
          <w:sz w:val="24"/>
          <w:highlight w:val="none"/>
        </w:rPr>
        <w:t>钦州港公共水域浅点整治研究</w:t>
      </w:r>
      <w:r>
        <w:rPr>
          <w:rFonts w:hint="eastAsia" w:ascii="宋体" w:hAnsi="宋体" w:cs="宋体"/>
          <w:snapToGrid w:val="0"/>
          <w:color w:val="auto"/>
          <w:kern w:val="0"/>
          <w:sz w:val="24"/>
          <w:highlight w:val="none"/>
        </w:rPr>
        <w:t>履约保证金”，并且确保在中标通知书发出之日起30日内到账，否则，其履约担保视为无效。</w:t>
      </w:r>
    </w:p>
    <w:p w14:paraId="1FB3F42D">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合同项目顺利执行完毕并验收合格后，履约保证金一次性无息退还。</w:t>
      </w:r>
    </w:p>
    <w:p w14:paraId="55AB3212">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履约保证金指定账户：</w:t>
      </w:r>
    </w:p>
    <w:p w14:paraId="23ACC092">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 xml:space="preserve">开户名称： 广西壮族自治区北部湾港港口管理局钦州分局  </w:t>
      </w:r>
    </w:p>
    <w:p w14:paraId="35646753">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开户银行： 中国银行股份有限公司钦州市钦州港支行</w:t>
      </w:r>
    </w:p>
    <w:p w14:paraId="67DC9D29">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银行账号： 618468707782</w:t>
      </w:r>
    </w:p>
    <w:p w14:paraId="15862F13">
      <w:pPr>
        <w:spacing w:line="360" w:lineRule="auto"/>
        <w:ind w:firstLine="482" w:firstLineChars="200"/>
        <w:rPr>
          <w:rFonts w:ascii="宋体" w:hAnsi="宋体" w:cs="宋体"/>
          <w:b/>
          <w:bCs/>
          <w:snapToGrid w:val="0"/>
          <w:color w:val="auto"/>
          <w:kern w:val="0"/>
          <w:sz w:val="24"/>
          <w:highlight w:val="none"/>
        </w:rPr>
      </w:pPr>
      <w:r>
        <w:rPr>
          <w:rFonts w:hint="eastAsia" w:ascii="宋体" w:hAnsi="宋体" w:cs="宋体"/>
          <w:b/>
          <w:bCs/>
          <w:snapToGrid w:val="0"/>
          <w:color w:val="auto"/>
          <w:kern w:val="0"/>
          <w:sz w:val="24"/>
          <w:highlight w:val="none"/>
        </w:rPr>
        <w:t>六、资料的归属</w:t>
      </w:r>
    </w:p>
    <w:p w14:paraId="57C8A512">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（一）所有提交给甲方的相关的资料的最后文本，包括为履行</w:t>
      </w:r>
      <w:r>
        <w:rPr>
          <w:rFonts w:hint="eastAsia" w:ascii="宋体" w:hAnsi="宋体" w:cs="宋体"/>
          <w:bCs/>
          <w:color w:val="auto"/>
          <w:sz w:val="24"/>
          <w:highlight w:val="none"/>
        </w:rPr>
        <w:t>钦州港公共水域浅点整治研究</w:t>
      </w:r>
      <w:r>
        <w:rPr>
          <w:rFonts w:hint="eastAsia" w:ascii="宋体" w:hAnsi="宋体" w:cs="宋体"/>
          <w:snapToGrid w:val="0"/>
          <w:color w:val="auto"/>
          <w:kern w:val="0"/>
          <w:sz w:val="24"/>
          <w:highlight w:val="none"/>
        </w:rPr>
        <w:t>范围所编制的文件、计划和证明资料等，都属于甲方的财产，乙方在提交给委托方之前应将上述资料进行整理归类和编制索引。</w:t>
      </w:r>
    </w:p>
    <w:p w14:paraId="47719415">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（二）乙方可保存上述资料的复印件，包括甲方提供的资料，但未经甲方的书面同意，乙方不得将上述资料用于</w:t>
      </w:r>
      <w:r>
        <w:rPr>
          <w:rFonts w:hint="eastAsia" w:ascii="宋体" w:hAnsi="宋体" w:cs="宋体"/>
          <w:snapToGrid w:val="0"/>
          <w:color w:val="auto"/>
          <w:kern w:val="0"/>
          <w:sz w:val="24"/>
          <w:highlight w:val="none"/>
          <w:lang w:val="en-US" w:eastAsia="zh-CN"/>
        </w:rPr>
        <w:t>其它</w:t>
      </w:r>
      <w:r>
        <w:rPr>
          <w:rFonts w:hint="eastAsia" w:ascii="宋体" w:hAnsi="宋体" w:cs="宋体"/>
          <w:snapToGrid w:val="0"/>
          <w:color w:val="auto"/>
          <w:kern w:val="0"/>
          <w:sz w:val="24"/>
          <w:highlight w:val="none"/>
        </w:rPr>
        <w:t>任何项目。</w:t>
      </w:r>
    </w:p>
    <w:p w14:paraId="6B4ABCB9">
      <w:pPr>
        <w:spacing w:line="360" w:lineRule="auto"/>
        <w:ind w:firstLine="482" w:firstLineChars="200"/>
        <w:rPr>
          <w:rFonts w:ascii="宋体" w:hAnsi="宋体" w:cs="宋体"/>
          <w:b/>
          <w:bCs/>
          <w:snapToGrid w:val="0"/>
          <w:color w:val="auto"/>
          <w:kern w:val="0"/>
          <w:sz w:val="24"/>
          <w:highlight w:val="none"/>
        </w:rPr>
      </w:pPr>
      <w:r>
        <w:rPr>
          <w:rFonts w:hint="eastAsia" w:ascii="宋体" w:hAnsi="宋体" w:cs="宋体"/>
          <w:b/>
          <w:bCs/>
          <w:snapToGrid w:val="0"/>
          <w:color w:val="auto"/>
          <w:kern w:val="0"/>
          <w:sz w:val="24"/>
          <w:highlight w:val="none"/>
        </w:rPr>
        <w:t>七、双方的责任和义务</w:t>
      </w:r>
    </w:p>
    <w:p w14:paraId="373577BC">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（一）甲方的责任和义务：</w:t>
      </w:r>
    </w:p>
    <w:p w14:paraId="63777475">
      <w:pPr>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lang w:val="en-US" w:eastAsia="zh-CN"/>
        </w:rPr>
        <w:t>1</w:t>
      </w:r>
      <w:r>
        <w:rPr>
          <w:rFonts w:hint="eastAsia" w:ascii="宋体" w:hAnsi="宋体" w:cs="宋体"/>
          <w:snapToGrid w:val="0"/>
          <w:color w:val="auto"/>
          <w:kern w:val="0"/>
          <w:sz w:val="24"/>
          <w:highlight w:val="none"/>
        </w:rPr>
        <w:t>.在乙方按照本合同规定履行其义务后，</w:t>
      </w:r>
      <w:r>
        <w:rPr>
          <w:rFonts w:hint="eastAsia" w:ascii="宋体" w:hAnsi="宋体" w:cs="宋体"/>
          <w:snapToGrid w:val="0"/>
          <w:color w:val="auto"/>
          <w:kern w:val="0"/>
          <w:sz w:val="24"/>
          <w:highlight w:val="none"/>
          <w:lang w:val="en-US" w:eastAsia="zh-CN"/>
        </w:rPr>
        <w:t>甲方</w:t>
      </w:r>
      <w:r>
        <w:rPr>
          <w:rFonts w:hint="eastAsia" w:ascii="宋体" w:hAnsi="宋体" w:cs="宋体"/>
          <w:snapToGrid w:val="0"/>
          <w:color w:val="auto"/>
          <w:kern w:val="0"/>
          <w:sz w:val="24"/>
          <w:highlight w:val="none"/>
        </w:rPr>
        <w:t>应根据本合同约定的金额及支付方式向乙方支付合同费用。</w:t>
      </w:r>
    </w:p>
    <w:p w14:paraId="78BB8584">
      <w:pPr>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lang w:val="en-US" w:eastAsia="zh-CN"/>
        </w:rPr>
        <w:t>2</w:t>
      </w:r>
      <w:r>
        <w:rPr>
          <w:rFonts w:hint="eastAsia" w:ascii="宋体" w:hAnsi="宋体" w:cs="宋体"/>
          <w:snapToGrid w:val="0"/>
          <w:color w:val="auto"/>
          <w:kern w:val="0"/>
          <w:sz w:val="24"/>
          <w:highlight w:val="none"/>
        </w:rPr>
        <w:t>.甲方</w:t>
      </w:r>
      <w:r>
        <w:rPr>
          <w:rFonts w:ascii="宋体" w:hAnsi="宋体" w:cs="宋体"/>
          <w:snapToGrid w:val="0"/>
          <w:color w:val="auto"/>
          <w:kern w:val="0"/>
          <w:sz w:val="24"/>
          <w:highlight w:val="none"/>
        </w:rPr>
        <w:t>不承担在</w:t>
      </w:r>
      <w:r>
        <w:rPr>
          <w:rFonts w:hint="eastAsia" w:ascii="宋体" w:hAnsi="宋体" w:cs="宋体"/>
          <w:snapToGrid w:val="0"/>
          <w:color w:val="auto"/>
          <w:kern w:val="0"/>
          <w:sz w:val="24"/>
          <w:highlight w:val="none"/>
        </w:rPr>
        <w:t>乙方开展</w:t>
      </w:r>
      <w:r>
        <w:rPr>
          <w:rFonts w:hint="eastAsia" w:ascii="宋体" w:hAnsi="宋体" w:cs="宋体"/>
          <w:color w:val="auto"/>
          <w:sz w:val="24"/>
          <w:highlight w:val="none"/>
        </w:rPr>
        <w:t>钦州港公共水域浅点整治研究</w:t>
      </w:r>
      <w:r>
        <w:rPr>
          <w:rFonts w:ascii="宋体" w:hAnsi="宋体" w:cs="宋体"/>
          <w:snapToGrid w:val="0"/>
          <w:color w:val="auto"/>
          <w:kern w:val="0"/>
          <w:sz w:val="24"/>
          <w:highlight w:val="none"/>
        </w:rPr>
        <w:t>中发生安全责任事故的责任。</w:t>
      </w:r>
    </w:p>
    <w:p w14:paraId="4CFE1110">
      <w:pPr>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（二）乙方的责任和义务</w:t>
      </w:r>
    </w:p>
    <w:p w14:paraId="49E1733F">
      <w:pPr>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1.根据甲方委托内容，</w:t>
      </w:r>
      <w:r>
        <w:rPr>
          <w:rFonts w:hint="eastAsia" w:ascii="宋体" w:hAnsi="宋体" w:cs="宋体"/>
          <w:color w:val="auto"/>
          <w:sz w:val="24"/>
          <w:highlight w:val="none"/>
          <w:lang w:bidi="ar"/>
        </w:rPr>
        <w:t>组织人员</w:t>
      </w:r>
      <w:r>
        <w:rPr>
          <w:rFonts w:hint="eastAsia" w:ascii="宋体" w:hAnsi="宋体" w:cs="宋体"/>
          <w:snapToGrid w:val="0"/>
          <w:color w:val="auto"/>
          <w:kern w:val="0"/>
          <w:sz w:val="24"/>
          <w:highlight w:val="none"/>
        </w:rPr>
        <w:t>依法开展</w:t>
      </w:r>
      <w:r>
        <w:rPr>
          <w:rFonts w:hint="eastAsia" w:ascii="宋体" w:hAnsi="宋体" w:cs="宋体"/>
          <w:color w:val="auto"/>
          <w:sz w:val="24"/>
          <w:highlight w:val="none"/>
        </w:rPr>
        <w:t>钦州港公共水域浅点整治研究</w:t>
      </w:r>
      <w:r>
        <w:rPr>
          <w:rFonts w:hint="eastAsia" w:ascii="宋体" w:hAnsi="宋体" w:cs="宋体"/>
          <w:color w:val="auto"/>
          <w:sz w:val="24"/>
          <w:highlight w:val="none"/>
          <w:lang w:val="en-US" w:eastAsia="zh-CN"/>
        </w:rPr>
        <w:t>的</w:t>
      </w:r>
      <w:r>
        <w:rPr>
          <w:rFonts w:hint="eastAsia" w:ascii="宋体" w:hAnsi="宋体" w:cs="宋体"/>
          <w:color w:val="auto"/>
          <w:sz w:val="24"/>
          <w:highlight w:val="none"/>
        </w:rPr>
        <w:t>勘察、</w:t>
      </w:r>
      <w:r>
        <w:rPr>
          <w:rFonts w:hint="eastAsia" w:ascii="宋体" w:hAnsi="宋体" w:cs="宋体"/>
          <w:color w:val="auto"/>
          <w:sz w:val="24"/>
          <w:highlight w:val="none"/>
          <w:lang w:val="en-US" w:eastAsia="zh-CN"/>
        </w:rPr>
        <w:t>测量、研究</w:t>
      </w:r>
      <w:r>
        <w:rPr>
          <w:rFonts w:hint="eastAsia" w:ascii="宋体" w:hAnsi="宋体" w:cs="宋体"/>
          <w:color w:val="auto"/>
          <w:sz w:val="24"/>
          <w:highlight w:val="none"/>
        </w:rPr>
        <w:t>工作</w:t>
      </w:r>
      <w:r>
        <w:rPr>
          <w:rFonts w:hint="eastAsia" w:ascii="宋体" w:hAnsi="宋体" w:cs="宋体"/>
          <w:snapToGrid w:val="0"/>
          <w:color w:val="auto"/>
          <w:kern w:val="0"/>
          <w:sz w:val="24"/>
          <w:highlight w:val="none"/>
        </w:rPr>
        <w:t>；在合同约定期限内，完成合同内容。</w:t>
      </w:r>
    </w:p>
    <w:p w14:paraId="690F08F5">
      <w:pPr>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2.设置</w:t>
      </w:r>
      <w:r>
        <w:rPr>
          <w:rFonts w:hint="eastAsia" w:ascii="宋体" w:hAnsi="宋体" w:cs="宋体"/>
          <w:bCs/>
          <w:color w:val="auto"/>
          <w:sz w:val="24"/>
          <w:highlight w:val="none"/>
        </w:rPr>
        <w:t>钦州港公共水域浅点整治研究</w:t>
      </w:r>
      <w:r>
        <w:rPr>
          <w:rFonts w:hint="eastAsia" w:ascii="宋体" w:hAnsi="宋体" w:cs="宋体"/>
          <w:snapToGrid w:val="0"/>
          <w:color w:val="auto"/>
          <w:kern w:val="0"/>
          <w:sz w:val="24"/>
          <w:highlight w:val="none"/>
        </w:rPr>
        <w:t>管理机构，配备、配足满足要求的管理人员，制定与</w:t>
      </w:r>
      <w:r>
        <w:rPr>
          <w:rFonts w:hint="eastAsia" w:ascii="宋体" w:hAnsi="宋体" w:cs="宋体"/>
          <w:bCs/>
          <w:color w:val="auto"/>
          <w:sz w:val="24"/>
          <w:highlight w:val="none"/>
        </w:rPr>
        <w:t>钦州港公共水域浅点整治研究</w:t>
      </w:r>
      <w:r>
        <w:rPr>
          <w:rFonts w:hint="eastAsia" w:ascii="宋体" w:hAnsi="宋体" w:cs="宋体"/>
          <w:snapToGrid w:val="0"/>
          <w:color w:val="auto"/>
          <w:kern w:val="0"/>
          <w:sz w:val="24"/>
          <w:highlight w:val="none"/>
        </w:rPr>
        <w:t>项目相关的各项管理制度，保证项目质量、安全、进度、成本、环境保护等</w:t>
      </w:r>
      <w:r>
        <w:rPr>
          <w:rFonts w:hint="eastAsia" w:ascii="宋体" w:hAnsi="宋体" w:cs="宋体"/>
          <w:snapToGrid w:val="0"/>
          <w:color w:val="auto"/>
          <w:kern w:val="0"/>
          <w:sz w:val="24"/>
          <w:highlight w:val="none"/>
          <w:lang w:val="en-US" w:eastAsia="zh-CN"/>
        </w:rPr>
        <w:t>工作</w:t>
      </w:r>
      <w:r>
        <w:rPr>
          <w:rFonts w:hint="eastAsia" w:ascii="宋体" w:hAnsi="宋体" w:cs="宋体"/>
          <w:snapToGrid w:val="0"/>
          <w:color w:val="auto"/>
          <w:kern w:val="0"/>
          <w:sz w:val="24"/>
          <w:highlight w:val="none"/>
        </w:rPr>
        <w:t>在可控范围，按要求完成合同任务。</w:t>
      </w:r>
    </w:p>
    <w:p w14:paraId="5BA407CD">
      <w:pPr>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3.负责</w:t>
      </w:r>
      <w:r>
        <w:rPr>
          <w:rFonts w:hint="eastAsia" w:ascii="宋体" w:hAnsi="宋体" w:cs="宋体"/>
          <w:bCs/>
          <w:color w:val="auto"/>
          <w:sz w:val="24"/>
          <w:highlight w:val="none"/>
        </w:rPr>
        <w:t>钦州港公共水域浅点整治研究勘察</w:t>
      </w:r>
      <w:r>
        <w:rPr>
          <w:rFonts w:hint="eastAsia" w:ascii="宋体" w:hAnsi="宋体" w:cs="宋体"/>
          <w:snapToGrid w:val="0"/>
          <w:color w:val="auto"/>
          <w:kern w:val="0"/>
          <w:sz w:val="24"/>
          <w:highlight w:val="none"/>
        </w:rPr>
        <w:t>工作现场管理。</w:t>
      </w:r>
    </w:p>
    <w:p w14:paraId="3ECC337E">
      <w:pPr>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4.不得擅自调整</w:t>
      </w:r>
      <w:r>
        <w:rPr>
          <w:rFonts w:hint="eastAsia" w:ascii="宋体" w:hAnsi="宋体" w:cs="宋体"/>
          <w:bCs/>
          <w:color w:val="auto"/>
          <w:sz w:val="24"/>
          <w:highlight w:val="none"/>
        </w:rPr>
        <w:t>钦州港公共水域浅点整治研究采购</w:t>
      </w:r>
      <w:r>
        <w:rPr>
          <w:rFonts w:hint="eastAsia" w:ascii="宋体" w:hAnsi="宋体" w:cs="宋体"/>
          <w:snapToGrid w:val="0"/>
          <w:color w:val="auto"/>
          <w:kern w:val="0"/>
          <w:sz w:val="24"/>
          <w:highlight w:val="none"/>
        </w:rPr>
        <w:t>内容、规模、标准，严格执行确定的合同费用。</w:t>
      </w:r>
    </w:p>
    <w:p w14:paraId="3AE03174">
      <w:pPr>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5.依法依规开展勘察测量有关工作，确保不发生安全责任事故。</w:t>
      </w:r>
    </w:p>
    <w:p w14:paraId="45D61053">
      <w:pPr>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6.未经甲方同意，乙方不得将本合同中的任何权利、义务转让给第三方。</w:t>
      </w:r>
    </w:p>
    <w:p w14:paraId="03DED108">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val="en-US" w:eastAsia="zh-CN" w:bidi="ar"/>
        </w:rPr>
        <w:t>7</w:t>
      </w:r>
      <w:r>
        <w:rPr>
          <w:rFonts w:hint="eastAsia" w:ascii="宋体" w:hAnsi="宋体" w:cs="宋体"/>
          <w:color w:val="auto"/>
          <w:sz w:val="24"/>
          <w:highlight w:val="none"/>
          <w:lang w:bidi="ar"/>
        </w:rPr>
        <w:t>.</w:t>
      </w:r>
      <w:r>
        <w:rPr>
          <w:rFonts w:hint="eastAsia" w:ascii="宋体" w:hAnsi="宋体" w:cs="宋体"/>
          <w:color w:val="auto"/>
          <w:sz w:val="24"/>
          <w:highlight w:val="none"/>
          <w:lang w:val="en-US" w:eastAsia="zh-CN" w:bidi="ar"/>
        </w:rPr>
        <w:t>乙方</w:t>
      </w:r>
      <w:r>
        <w:rPr>
          <w:rFonts w:hint="eastAsia" w:ascii="宋体" w:hAnsi="宋体" w:cs="宋体"/>
          <w:color w:val="auto"/>
          <w:sz w:val="24"/>
          <w:highlight w:val="none"/>
          <w:lang w:bidi="ar"/>
        </w:rPr>
        <w:t>应根据有关法律法规和国家现行有关技术标准、规范和规程要求，以及主管部门要求，完成合同工作。</w:t>
      </w:r>
    </w:p>
    <w:p w14:paraId="1863053E">
      <w:pPr>
        <w:widowControl/>
        <w:spacing w:line="360" w:lineRule="auto"/>
        <w:ind w:firstLine="480" w:firstLineChars="200"/>
        <w:rPr>
          <w:rFonts w:ascii="宋体" w:hAnsi="宋体" w:cs="宋体"/>
          <w:color w:val="auto"/>
          <w:sz w:val="24"/>
          <w:highlight w:val="none"/>
          <w:lang w:bidi="ar"/>
        </w:rPr>
      </w:pPr>
      <w:r>
        <w:rPr>
          <w:rFonts w:hint="eastAsia" w:ascii="宋体" w:hAnsi="宋体" w:cs="宋体"/>
          <w:color w:val="auto"/>
          <w:sz w:val="24"/>
          <w:highlight w:val="none"/>
          <w:lang w:val="en-US" w:eastAsia="zh-CN" w:bidi="ar"/>
        </w:rPr>
        <w:t>8</w:t>
      </w:r>
      <w:r>
        <w:rPr>
          <w:rFonts w:hint="eastAsia" w:ascii="宋体" w:hAnsi="宋体" w:cs="宋体"/>
          <w:color w:val="auto"/>
          <w:sz w:val="24"/>
          <w:highlight w:val="none"/>
          <w:lang w:bidi="ar"/>
        </w:rPr>
        <w:t>.</w:t>
      </w:r>
      <w:r>
        <w:rPr>
          <w:rFonts w:hint="eastAsia" w:ascii="宋体" w:hAnsi="宋体" w:cs="宋体"/>
          <w:color w:val="auto"/>
          <w:sz w:val="24"/>
          <w:highlight w:val="none"/>
          <w:lang w:val="en-US" w:eastAsia="zh-CN" w:bidi="ar"/>
        </w:rPr>
        <w:t>乙方</w:t>
      </w:r>
      <w:r>
        <w:rPr>
          <w:rFonts w:hint="eastAsia" w:ascii="宋体" w:hAnsi="宋体" w:cs="宋体"/>
          <w:color w:val="auto"/>
          <w:sz w:val="24"/>
          <w:highlight w:val="none"/>
          <w:lang w:bidi="ar"/>
        </w:rPr>
        <w:t>承担本项目必要的基础数据资料收集，完成整个项目的服务工作，并保证资料数据准确，满足服务要求。</w:t>
      </w:r>
    </w:p>
    <w:p w14:paraId="62BB2E6F">
      <w:pPr>
        <w:widowControl/>
        <w:spacing w:line="360" w:lineRule="auto"/>
        <w:ind w:firstLine="482" w:firstLineChars="200"/>
        <w:jc w:val="left"/>
        <w:rPr>
          <w:rFonts w:ascii="宋体" w:hAnsi="宋体" w:cs="宋体"/>
          <w:b/>
          <w:bCs/>
          <w:snapToGrid w:val="0"/>
          <w:color w:val="auto"/>
          <w:kern w:val="0"/>
          <w:sz w:val="24"/>
          <w:highlight w:val="none"/>
        </w:rPr>
      </w:pPr>
      <w:r>
        <w:rPr>
          <w:rFonts w:hint="eastAsia" w:ascii="宋体" w:hAnsi="宋体" w:cs="宋体"/>
          <w:b/>
          <w:bCs/>
          <w:snapToGrid w:val="0"/>
          <w:color w:val="auto"/>
          <w:kern w:val="0"/>
          <w:sz w:val="24"/>
          <w:highlight w:val="none"/>
        </w:rPr>
        <w:t>八、服务质量</w:t>
      </w:r>
    </w:p>
    <w:p w14:paraId="41F13A8E">
      <w:pPr>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质量标准：按国家有关法律法规和行业规定，符合合格标准，并通过验收。</w:t>
      </w:r>
    </w:p>
    <w:p w14:paraId="2C62459B">
      <w:pPr>
        <w:widowControl/>
        <w:spacing w:line="360" w:lineRule="auto"/>
        <w:ind w:firstLine="482" w:firstLineChars="200"/>
        <w:jc w:val="left"/>
        <w:rPr>
          <w:rFonts w:ascii="宋体" w:hAnsi="宋体" w:cs="宋体"/>
          <w:b/>
          <w:bCs/>
          <w:snapToGrid w:val="0"/>
          <w:color w:val="auto"/>
          <w:kern w:val="0"/>
          <w:sz w:val="24"/>
          <w:highlight w:val="none"/>
        </w:rPr>
      </w:pPr>
      <w:r>
        <w:rPr>
          <w:rFonts w:hint="eastAsia" w:ascii="宋体" w:hAnsi="宋体" w:cs="宋体"/>
          <w:b/>
          <w:bCs/>
          <w:snapToGrid w:val="0"/>
          <w:color w:val="auto"/>
          <w:kern w:val="0"/>
          <w:sz w:val="24"/>
          <w:highlight w:val="none"/>
        </w:rPr>
        <w:t>九、违约责任</w:t>
      </w:r>
    </w:p>
    <w:p w14:paraId="51151D21">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如双方违反本合同约定，违约方应当按照《中华人民共和国民法典》有关条款的规定承担违约责任。</w:t>
      </w:r>
    </w:p>
    <w:p w14:paraId="320B6251">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（一）违反本合同第八条约定，乙方无正当理由未按约定期限组织完成的，每逾期一天，按合同金额的万分之三从应付合同款中扣除违约金。</w:t>
      </w:r>
    </w:p>
    <w:p w14:paraId="79C78368">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（二）甲方未在规定时间内付款且经乙方催促仍不支付的，从乙方催促之日起每逾期一天，按合同金额的万分之三向乙方偿付违约金。</w:t>
      </w:r>
    </w:p>
    <w:p w14:paraId="76091FA5">
      <w:pPr>
        <w:widowControl/>
        <w:spacing w:line="360" w:lineRule="auto"/>
        <w:ind w:firstLine="482" w:firstLineChars="200"/>
        <w:rPr>
          <w:rFonts w:ascii="宋体" w:hAnsi="宋体" w:cs="宋体"/>
          <w:b/>
          <w:bCs/>
          <w:snapToGrid w:val="0"/>
          <w:color w:val="auto"/>
          <w:kern w:val="0"/>
          <w:sz w:val="24"/>
          <w:highlight w:val="none"/>
        </w:rPr>
      </w:pPr>
      <w:r>
        <w:rPr>
          <w:rFonts w:hint="eastAsia" w:ascii="宋体" w:hAnsi="宋体" w:cs="宋体"/>
          <w:b/>
          <w:bCs/>
          <w:snapToGrid w:val="0"/>
          <w:color w:val="auto"/>
          <w:kern w:val="0"/>
          <w:sz w:val="24"/>
          <w:highlight w:val="none"/>
        </w:rPr>
        <w:t>十、争议的解决方法</w:t>
      </w:r>
    </w:p>
    <w:p w14:paraId="570FE850">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在履行本合同的过程中发生争议，双方应友好协商解决。双方当事人和解或调解不成，依法向甲方所在地人民法院提起诉讼解决。</w:t>
      </w:r>
    </w:p>
    <w:p w14:paraId="18502A25">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由于不可抗力造成本合同不能履行时，受不可抗力影响的一方应当立即将有关情况通知另一方，因不可抗力造成的任何损失，均由受损失方自行承担。</w:t>
      </w:r>
    </w:p>
    <w:p w14:paraId="566D8231">
      <w:pPr>
        <w:widowControl/>
        <w:spacing w:line="360" w:lineRule="auto"/>
        <w:ind w:firstLine="482" w:firstLineChars="200"/>
        <w:jc w:val="left"/>
        <w:rPr>
          <w:rFonts w:ascii="宋体" w:hAnsi="宋体" w:cs="宋体"/>
          <w:b/>
          <w:bCs/>
          <w:snapToGrid w:val="0"/>
          <w:color w:val="auto"/>
          <w:kern w:val="0"/>
          <w:sz w:val="24"/>
          <w:highlight w:val="none"/>
        </w:rPr>
      </w:pPr>
      <w:r>
        <w:rPr>
          <w:rFonts w:hint="eastAsia" w:ascii="宋体" w:hAnsi="宋体" w:cs="宋体"/>
          <w:b/>
          <w:bCs/>
          <w:snapToGrid w:val="0"/>
          <w:color w:val="auto"/>
          <w:kern w:val="0"/>
          <w:sz w:val="24"/>
          <w:highlight w:val="none"/>
        </w:rPr>
        <w:t>十一、其他</w:t>
      </w:r>
    </w:p>
    <w:p w14:paraId="422866D8">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（一）本合同一式陆份，甲方执伍份，乙方执壹份，具有同等法律效力。</w:t>
      </w:r>
    </w:p>
    <w:p w14:paraId="22FE4C87">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（二）本合同由甲方法定代表人（或授权甲方）、乙方法定代表人（或授权甲方）签署并加盖合同专用章或单位公章后生效。</w:t>
      </w:r>
    </w:p>
    <w:p w14:paraId="10CAABA4">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（三）本合同未尽事宜由双方协商解决（或双方另行签订补充书面协议，补充协议是合同的组成部分）。</w:t>
      </w:r>
    </w:p>
    <w:p w14:paraId="4A2768D3">
      <w:pPr>
        <w:widowControl/>
        <w:spacing w:line="360" w:lineRule="auto"/>
        <w:ind w:firstLine="480" w:firstLineChars="200"/>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（四）甲乙双方中的任何一方如更改其名称、开户银行、银行账号时均应及时书面通知对方。甲乙双方的联系方式、开户信息确认如下：</w:t>
      </w:r>
    </w:p>
    <w:p w14:paraId="5E52B827">
      <w:pPr>
        <w:widowControl/>
        <w:spacing w:line="360" w:lineRule="auto"/>
        <w:ind w:firstLine="480" w:firstLineChars="200"/>
        <w:rPr>
          <w:rFonts w:hint="eastAsia" w:ascii="宋体" w:hAnsi="宋体" w:cs="宋体"/>
          <w:snapToGrid w:val="0"/>
          <w:color w:val="auto"/>
          <w:kern w:val="0"/>
          <w:sz w:val="24"/>
          <w:highlight w:val="none"/>
        </w:rPr>
      </w:pPr>
    </w:p>
    <w:p w14:paraId="53163555">
      <w:pPr>
        <w:widowControl/>
        <w:spacing w:line="360" w:lineRule="auto"/>
        <w:ind w:firstLine="480" w:firstLineChars="200"/>
        <w:rPr>
          <w:rFonts w:hint="eastAsia" w:ascii="宋体" w:hAnsi="宋体" w:cs="宋体"/>
          <w:snapToGrid w:val="0"/>
          <w:color w:val="auto"/>
          <w:kern w:val="0"/>
          <w:sz w:val="24"/>
          <w:highlight w:val="none"/>
        </w:rPr>
      </w:pPr>
    </w:p>
    <w:p w14:paraId="64ED53F9">
      <w:pPr>
        <w:widowControl/>
        <w:spacing w:line="440" w:lineRule="atLeast"/>
        <w:ind w:firstLine="480" w:firstLineChars="200"/>
        <w:jc w:val="left"/>
        <w:rPr>
          <w:rFonts w:ascii="宋体" w:hAnsi="宋体" w:cs="宋体"/>
          <w:color w:val="auto"/>
          <w:sz w:val="24"/>
          <w:highlight w:val="none"/>
        </w:rPr>
      </w:pPr>
    </w:p>
    <w:tbl>
      <w:tblPr>
        <w:tblStyle w:val="25"/>
        <w:tblW w:w="9606" w:type="dxa"/>
        <w:tblInd w:w="-10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5"/>
        <w:gridCol w:w="2327"/>
        <w:gridCol w:w="1784"/>
        <w:gridCol w:w="729"/>
        <w:gridCol w:w="164"/>
        <w:gridCol w:w="1408"/>
        <w:gridCol w:w="2519"/>
      </w:tblGrid>
      <w:tr w14:paraId="2449FC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10" w:hRule="exact"/>
        </w:trPr>
        <w:tc>
          <w:tcPr>
            <w:tcW w:w="675" w:type="dxa"/>
            <w:vMerge w:val="restart"/>
            <w:tcBorders>
              <w:top w:val="single" w:color="auto" w:sz="12" w:space="0"/>
            </w:tcBorders>
            <w:vAlign w:val="center"/>
          </w:tcPr>
          <w:p w14:paraId="7FBB51D1">
            <w:pPr>
              <w:jc w:val="center"/>
              <w:rPr>
                <w:rFonts w:ascii="宋体" w:hAnsi="宋体" w:cs="宋体"/>
                <w:color w:val="auto"/>
                <w:sz w:val="24"/>
                <w:highlight w:val="none"/>
              </w:rPr>
            </w:pPr>
            <w:r>
              <w:rPr>
                <w:rFonts w:hint="eastAsia" w:ascii="宋体" w:hAnsi="宋体" w:cs="宋体"/>
                <w:color w:val="auto"/>
                <w:sz w:val="24"/>
                <w:highlight w:val="none"/>
              </w:rPr>
              <w:t>甲方</w:t>
            </w:r>
          </w:p>
        </w:tc>
        <w:tc>
          <w:tcPr>
            <w:tcW w:w="2327" w:type="dxa"/>
            <w:tcBorders>
              <w:top w:val="single" w:color="auto" w:sz="12" w:space="0"/>
            </w:tcBorders>
            <w:vAlign w:val="center"/>
          </w:tcPr>
          <w:p w14:paraId="503EC160">
            <w:pPr>
              <w:jc w:val="center"/>
              <w:rPr>
                <w:rFonts w:ascii="宋体" w:hAnsi="宋体" w:cs="宋体"/>
                <w:color w:val="auto"/>
                <w:sz w:val="24"/>
                <w:highlight w:val="none"/>
              </w:rPr>
            </w:pPr>
            <w:r>
              <w:rPr>
                <w:rFonts w:hint="eastAsia" w:ascii="宋体" w:hAnsi="宋体" w:cs="宋体"/>
                <w:color w:val="auto"/>
                <w:sz w:val="24"/>
                <w:highlight w:val="none"/>
              </w:rPr>
              <w:t>名称</w:t>
            </w:r>
          </w:p>
        </w:tc>
        <w:tc>
          <w:tcPr>
            <w:tcW w:w="4085" w:type="dxa"/>
            <w:gridSpan w:val="4"/>
            <w:tcBorders>
              <w:top w:val="single" w:color="auto" w:sz="12" w:space="0"/>
            </w:tcBorders>
            <w:vAlign w:val="center"/>
          </w:tcPr>
          <w:p w14:paraId="128D62DC">
            <w:pPr>
              <w:jc w:val="center"/>
              <w:rPr>
                <w:rFonts w:ascii="宋体" w:hAnsi="宋体" w:cs="宋体"/>
                <w:color w:val="auto"/>
                <w:sz w:val="24"/>
                <w:highlight w:val="none"/>
              </w:rPr>
            </w:pPr>
            <w:r>
              <w:rPr>
                <w:rFonts w:hint="eastAsia" w:ascii="宋体" w:hAnsi="宋体" w:cs="宋体"/>
                <w:color w:val="auto"/>
                <w:sz w:val="24"/>
                <w:highlight w:val="none"/>
              </w:rPr>
              <w:t>广西壮族自治区北部湾港港口管理局</w:t>
            </w:r>
          </w:p>
          <w:p w14:paraId="55164360">
            <w:pPr>
              <w:jc w:val="center"/>
              <w:rPr>
                <w:rFonts w:ascii="宋体" w:hAnsi="宋体" w:cs="宋体"/>
                <w:color w:val="auto"/>
                <w:sz w:val="24"/>
                <w:highlight w:val="none"/>
              </w:rPr>
            </w:pPr>
            <w:r>
              <w:rPr>
                <w:rFonts w:hint="eastAsia" w:ascii="宋体" w:hAnsi="宋体" w:cs="宋体"/>
                <w:color w:val="auto"/>
                <w:sz w:val="24"/>
                <w:highlight w:val="none"/>
              </w:rPr>
              <w:t>钦州分局</w:t>
            </w:r>
          </w:p>
        </w:tc>
        <w:tc>
          <w:tcPr>
            <w:tcW w:w="2519" w:type="dxa"/>
            <w:vMerge w:val="restart"/>
            <w:tcBorders>
              <w:top w:val="single" w:color="auto" w:sz="12" w:space="0"/>
            </w:tcBorders>
            <w:vAlign w:val="center"/>
          </w:tcPr>
          <w:p w14:paraId="52238F38">
            <w:pPr>
              <w:spacing w:line="360" w:lineRule="auto"/>
              <w:rPr>
                <w:rFonts w:ascii="宋体" w:hAnsi="宋体" w:cs="宋体"/>
                <w:color w:val="auto"/>
                <w:sz w:val="24"/>
                <w:highlight w:val="none"/>
              </w:rPr>
            </w:pPr>
            <w:r>
              <w:rPr>
                <w:rFonts w:hint="eastAsia" w:ascii="宋体" w:hAnsi="宋体" w:cs="宋体"/>
                <w:color w:val="auto"/>
                <w:sz w:val="24"/>
                <w:highlight w:val="none"/>
              </w:rPr>
              <w:t>单位公章</w:t>
            </w:r>
          </w:p>
          <w:p w14:paraId="393A2CEA">
            <w:pPr>
              <w:rPr>
                <w:rFonts w:ascii="宋体" w:hAnsi="宋体" w:cs="宋体"/>
                <w:color w:val="auto"/>
                <w:sz w:val="24"/>
                <w:highlight w:val="none"/>
              </w:rPr>
            </w:pPr>
          </w:p>
          <w:p w14:paraId="07D9D11F">
            <w:pPr>
              <w:rPr>
                <w:rFonts w:ascii="宋体" w:hAnsi="宋体" w:cs="宋体"/>
                <w:color w:val="auto"/>
                <w:sz w:val="24"/>
                <w:highlight w:val="none"/>
              </w:rPr>
            </w:pPr>
          </w:p>
          <w:p w14:paraId="4A384A02">
            <w:pPr>
              <w:rPr>
                <w:rFonts w:ascii="宋体" w:hAnsi="宋体" w:cs="宋体"/>
                <w:color w:val="auto"/>
                <w:sz w:val="24"/>
                <w:highlight w:val="none"/>
              </w:rPr>
            </w:pPr>
          </w:p>
          <w:p w14:paraId="6C7C0DF5">
            <w:pPr>
              <w:rPr>
                <w:rFonts w:ascii="宋体" w:hAnsi="宋体" w:cs="宋体"/>
                <w:color w:val="auto"/>
                <w:sz w:val="24"/>
                <w:highlight w:val="none"/>
              </w:rPr>
            </w:pPr>
          </w:p>
          <w:p w14:paraId="6E306B09">
            <w:pPr>
              <w:ind w:firstLine="720" w:firstLineChars="300"/>
              <w:rPr>
                <w:rFonts w:ascii="宋体" w:hAnsi="宋体" w:cs="宋体"/>
                <w:color w:val="auto"/>
                <w:sz w:val="24"/>
                <w:highlight w:val="none"/>
              </w:rPr>
            </w:pPr>
            <w:r>
              <w:rPr>
                <w:rFonts w:hint="eastAsia" w:ascii="宋体" w:hAnsi="宋体" w:cs="宋体"/>
                <w:color w:val="auto"/>
                <w:sz w:val="24"/>
                <w:highlight w:val="none"/>
              </w:rPr>
              <w:t>年  月  日</w:t>
            </w:r>
          </w:p>
          <w:p w14:paraId="52871C00">
            <w:pPr>
              <w:rPr>
                <w:rFonts w:ascii="宋体" w:hAnsi="宋体" w:cs="宋体"/>
                <w:color w:val="auto"/>
                <w:sz w:val="24"/>
                <w:highlight w:val="none"/>
              </w:rPr>
            </w:pPr>
          </w:p>
        </w:tc>
      </w:tr>
      <w:tr w14:paraId="715FE4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7" w:hRule="atLeast"/>
        </w:trPr>
        <w:tc>
          <w:tcPr>
            <w:tcW w:w="675" w:type="dxa"/>
            <w:vMerge w:val="continue"/>
            <w:vAlign w:val="center"/>
          </w:tcPr>
          <w:p w14:paraId="4575EA4C">
            <w:pPr>
              <w:jc w:val="center"/>
              <w:rPr>
                <w:rFonts w:ascii="宋体" w:hAnsi="宋体" w:cs="宋体"/>
                <w:color w:val="auto"/>
                <w:sz w:val="24"/>
                <w:highlight w:val="none"/>
              </w:rPr>
            </w:pPr>
          </w:p>
        </w:tc>
        <w:tc>
          <w:tcPr>
            <w:tcW w:w="2327" w:type="dxa"/>
            <w:vAlign w:val="center"/>
          </w:tcPr>
          <w:p w14:paraId="57AA3ACD">
            <w:pPr>
              <w:jc w:val="center"/>
              <w:rPr>
                <w:rFonts w:ascii="宋体" w:hAnsi="宋体" w:cs="宋体"/>
                <w:color w:val="auto"/>
                <w:sz w:val="24"/>
                <w:highlight w:val="none"/>
              </w:rPr>
            </w:pPr>
            <w:r>
              <w:rPr>
                <w:rFonts w:hint="eastAsia" w:ascii="宋体" w:hAnsi="宋体" w:cs="宋体"/>
                <w:color w:val="auto"/>
                <w:sz w:val="24"/>
                <w:highlight w:val="none"/>
              </w:rPr>
              <w:t>法定代表人或授权甲方签字或盖章</w:t>
            </w:r>
          </w:p>
        </w:tc>
        <w:tc>
          <w:tcPr>
            <w:tcW w:w="4085" w:type="dxa"/>
            <w:gridSpan w:val="4"/>
            <w:vAlign w:val="center"/>
          </w:tcPr>
          <w:p w14:paraId="389EB878">
            <w:pPr>
              <w:jc w:val="center"/>
              <w:rPr>
                <w:rFonts w:ascii="宋体" w:hAnsi="宋体" w:cs="宋体"/>
                <w:color w:val="auto"/>
                <w:sz w:val="24"/>
                <w:highlight w:val="none"/>
              </w:rPr>
            </w:pPr>
          </w:p>
        </w:tc>
        <w:tc>
          <w:tcPr>
            <w:tcW w:w="2519" w:type="dxa"/>
            <w:vMerge w:val="continue"/>
            <w:vAlign w:val="center"/>
          </w:tcPr>
          <w:p w14:paraId="3C179FF2">
            <w:pPr>
              <w:rPr>
                <w:rFonts w:ascii="宋体" w:hAnsi="宋体" w:cs="宋体"/>
                <w:color w:val="auto"/>
                <w:sz w:val="24"/>
                <w:highlight w:val="none"/>
              </w:rPr>
            </w:pPr>
          </w:p>
        </w:tc>
      </w:tr>
      <w:tr w14:paraId="4E6D5C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675" w:type="dxa"/>
            <w:vMerge w:val="continue"/>
            <w:vAlign w:val="center"/>
          </w:tcPr>
          <w:p w14:paraId="06C537B6">
            <w:pPr>
              <w:jc w:val="center"/>
              <w:rPr>
                <w:rFonts w:ascii="宋体" w:hAnsi="宋体" w:cs="宋体"/>
                <w:color w:val="auto"/>
                <w:sz w:val="24"/>
                <w:highlight w:val="none"/>
              </w:rPr>
            </w:pPr>
          </w:p>
        </w:tc>
        <w:tc>
          <w:tcPr>
            <w:tcW w:w="2327" w:type="dxa"/>
            <w:vAlign w:val="center"/>
          </w:tcPr>
          <w:p w14:paraId="56F6F258">
            <w:pPr>
              <w:jc w:val="center"/>
              <w:rPr>
                <w:rFonts w:ascii="宋体" w:hAnsi="宋体" w:cs="宋体"/>
                <w:color w:val="auto"/>
                <w:sz w:val="24"/>
                <w:highlight w:val="none"/>
              </w:rPr>
            </w:pPr>
            <w:r>
              <w:rPr>
                <w:rFonts w:hint="eastAsia" w:ascii="宋体" w:hAnsi="宋体" w:cs="宋体"/>
                <w:color w:val="auto"/>
                <w:sz w:val="24"/>
                <w:highlight w:val="none"/>
              </w:rPr>
              <w:t>联系（经办）人</w:t>
            </w:r>
          </w:p>
        </w:tc>
        <w:tc>
          <w:tcPr>
            <w:tcW w:w="4085" w:type="dxa"/>
            <w:gridSpan w:val="4"/>
            <w:vAlign w:val="center"/>
          </w:tcPr>
          <w:p w14:paraId="5ABC00C5">
            <w:pPr>
              <w:jc w:val="center"/>
              <w:rPr>
                <w:rFonts w:ascii="宋体" w:hAnsi="宋体" w:cs="宋体"/>
                <w:color w:val="auto"/>
                <w:sz w:val="24"/>
                <w:highlight w:val="none"/>
              </w:rPr>
            </w:pPr>
          </w:p>
        </w:tc>
        <w:tc>
          <w:tcPr>
            <w:tcW w:w="2519" w:type="dxa"/>
            <w:vMerge w:val="continue"/>
            <w:vAlign w:val="center"/>
          </w:tcPr>
          <w:p w14:paraId="7976677F">
            <w:pPr>
              <w:rPr>
                <w:rFonts w:ascii="宋体" w:hAnsi="宋体" w:cs="宋体"/>
                <w:color w:val="auto"/>
                <w:sz w:val="24"/>
                <w:highlight w:val="none"/>
              </w:rPr>
            </w:pPr>
          </w:p>
        </w:tc>
      </w:tr>
      <w:tr w14:paraId="6F8092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9" w:hRule="exact"/>
        </w:trPr>
        <w:tc>
          <w:tcPr>
            <w:tcW w:w="675" w:type="dxa"/>
            <w:vMerge w:val="continue"/>
            <w:vAlign w:val="center"/>
          </w:tcPr>
          <w:p w14:paraId="5481E9DF">
            <w:pPr>
              <w:jc w:val="center"/>
              <w:rPr>
                <w:rFonts w:ascii="宋体" w:hAnsi="宋体" w:cs="宋体"/>
                <w:color w:val="auto"/>
                <w:sz w:val="24"/>
                <w:highlight w:val="none"/>
              </w:rPr>
            </w:pPr>
          </w:p>
        </w:tc>
        <w:tc>
          <w:tcPr>
            <w:tcW w:w="2327" w:type="dxa"/>
            <w:vAlign w:val="center"/>
          </w:tcPr>
          <w:p w14:paraId="16F5EE46">
            <w:pPr>
              <w:adjustRightInd w:val="0"/>
              <w:snapToGrid w:val="0"/>
              <w:jc w:val="center"/>
              <w:rPr>
                <w:rFonts w:ascii="宋体" w:hAnsi="宋体" w:cs="宋体"/>
                <w:color w:val="auto"/>
                <w:sz w:val="24"/>
                <w:highlight w:val="none"/>
              </w:rPr>
            </w:pPr>
            <w:r>
              <w:rPr>
                <w:rFonts w:hint="eastAsia" w:ascii="宋体" w:hAnsi="宋体" w:cs="宋体"/>
                <w:color w:val="auto"/>
                <w:sz w:val="24"/>
                <w:highlight w:val="none"/>
              </w:rPr>
              <w:t>住  所</w:t>
            </w:r>
          </w:p>
          <w:p w14:paraId="73C2BA3C">
            <w:pPr>
              <w:jc w:val="center"/>
              <w:rPr>
                <w:rFonts w:ascii="宋体" w:hAnsi="宋体" w:cs="宋体"/>
                <w:color w:val="auto"/>
                <w:sz w:val="24"/>
                <w:highlight w:val="none"/>
              </w:rPr>
            </w:pPr>
            <w:r>
              <w:rPr>
                <w:rFonts w:hint="eastAsia" w:ascii="宋体" w:hAnsi="宋体" w:cs="宋体"/>
                <w:color w:val="auto"/>
                <w:sz w:val="24"/>
                <w:highlight w:val="none"/>
              </w:rPr>
              <w:t>（通讯地址）</w:t>
            </w:r>
          </w:p>
        </w:tc>
        <w:tc>
          <w:tcPr>
            <w:tcW w:w="4085" w:type="dxa"/>
            <w:gridSpan w:val="4"/>
            <w:vAlign w:val="center"/>
          </w:tcPr>
          <w:p w14:paraId="106F8297">
            <w:pPr>
              <w:snapToGrid w:val="0"/>
              <w:jc w:val="center"/>
              <w:rPr>
                <w:rFonts w:ascii="宋体" w:hAnsi="宋体" w:cs="宋体"/>
                <w:color w:val="auto"/>
                <w:sz w:val="24"/>
                <w:highlight w:val="none"/>
              </w:rPr>
            </w:pPr>
          </w:p>
        </w:tc>
        <w:tc>
          <w:tcPr>
            <w:tcW w:w="2519" w:type="dxa"/>
            <w:vMerge w:val="continue"/>
            <w:vAlign w:val="center"/>
          </w:tcPr>
          <w:p w14:paraId="20F198D3">
            <w:pPr>
              <w:rPr>
                <w:rFonts w:ascii="宋体" w:hAnsi="宋体" w:cs="宋体"/>
                <w:color w:val="auto"/>
                <w:sz w:val="24"/>
                <w:highlight w:val="none"/>
              </w:rPr>
            </w:pPr>
          </w:p>
        </w:tc>
      </w:tr>
      <w:tr w14:paraId="1242DE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67" w:hRule="exact"/>
        </w:trPr>
        <w:tc>
          <w:tcPr>
            <w:tcW w:w="675" w:type="dxa"/>
            <w:vMerge w:val="continue"/>
            <w:vAlign w:val="center"/>
          </w:tcPr>
          <w:p w14:paraId="327EF74E">
            <w:pPr>
              <w:jc w:val="center"/>
              <w:rPr>
                <w:rFonts w:ascii="宋体" w:hAnsi="宋体" w:cs="宋体"/>
                <w:color w:val="auto"/>
                <w:sz w:val="24"/>
                <w:highlight w:val="none"/>
              </w:rPr>
            </w:pPr>
          </w:p>
        </w:tc>
        <w:tc>
          <w:tcPr>
            <w:tcW w:w="2327" w:type="dxa"/>
            <w:vAlign w:val="center"/>
          </w:tcPr>
          <w:p w14:paraId="4BE247B9">
            <w:pPr>
              <w:adjustRightInd w:val="0"/>
              <w:snapToGrid w:val="0"/>
              <w:jc w:val="center"/>
              <w:rPr>
                <w:rFonts w:ascii="宋体" w:hAnsi="宋体" w:cs="宋体"/>
                <w:color w:val="auto"/>
                <w:sz w:val="24"/>
                <w:highlight w:val="none"/>
              </w:rPr>
            </w:pPr>
            <w:r>
              <w:rPr>
                <w:rFonts w:hint="eastAsia" w:ascii="宋体" w:hAnsi="宋体" w:cs="宋体"/>
                <w:color w:val="auto"/>
                <w:sz w:val="24"/>
                <w:highlight w:val="none"/>
              </w:rPr>
              <w:t>电  话</w:t>
            </w:r>
          </w:p>
        </w:tc>
        <w:tc>
          <w:tcPr>
            <w:tcW w:w="1784" w:type="dxa"/>
            <w:vAlign w:val="center"/>
          </w:tcPr>
          <w:p w14:paraId="42E65C9F">
            <w:pPr>
              <w:adjustRightInd w:val="0"/>
              <w:snapToGrid w:val="0"/>
              <w:jc w:val="left"/>
              <w:rPr>
                <w:rFonts w:ascii="宋体" w:hAnsi="宋体" w:cs="宋体"/>
                <w:color w:val="auto"/>
                <w:sz w:val="24"/>
                <w:highlight w:val="none"/>
              </w:rPr>
            </w:pPr>
          </w:p>
        </w:tc>
        <w:tc>
          <w:tcPr>
            <w:tcW w:w="729" w:type="dxa"/>
            <w:vAlign w:val="center"/>
          </w:tcPr>
          <w:p w14:paraId="1A7C267E">
            <w:pPr>
              <w:adjustRightInd w:val="0"/>
              <w:snapToGrid w:val="0"/>
              <w:jc w:val="center"/>
              <w:rPr>
                <w:rFonts w:ascii="宋体" w:hAnsi="宋体" w:cs="宋体"/>
                <w:color w:val="auto"/>
                <w:sz w:val="24"/>
                <w:highlight w:val="none"/>
              </w:rPr>
            </w:pPr>
            <w:r>
              <w:rPr>
                <w:rFonts w:hint="eastAsia" w:ascii="宋体" w:hAnsi="宋体" w:cs="宋体"/>
                <w:color w:val="auto"/>
                <w:sz w:val="24"/>
                <w:highlight w:val="none"/>
              </w:rPr>
              <w:t>邮政</w:t>
            </w:r>
          </w:p>
          <w:p w14:paraId="27DD6460">
            <w:pPr>
              <w:adjustRightInd w:val="0"/>
              <w:snapToGrid w:val="0"/>
              <w:jc w:val="center"/>
              <w:rPr>
                <w:rFonts w:ascii="宋体" w:hAnsi="宋体" w:cs="宋体"/>
                <w:color w:val="auto"/>
                <w:sz w:val="24"/>
                <w:highlight w:val="none"/>
              </w:rPr>
            </w:pPr>
            <w:r>
              <w:rPr>
                <w:rFonts w:hint="eastAsia" w:ascii="宋体" w:hAnsi="宋体" w:cs="宋体"/>
                <w:color w:val="auto"/>
                <w:sz w:val="24"/>
                <w:highlight w:val="none"/>
              </w:rPr>
              <w:t>编码</w:t>
            </w:r>
          </w:p>
        </w:tc>
        <w:tc>
          <w:tcPr>
            <w:tcW w:w="1572" w:type="dxa"/>
            <w:gridSpan w:val="2"/>
            <w:vAlign w:val="center"/>
          </w:tcPr>
          <w:p w14:paraId="73607DFB">
            <w:pPr>
              <w:jc w:val="center"/>
              <w:rPr>
                <w:rFonts w:ascii="宋体" w:hAnsi="宋体" w:cs="宋体"/>
                <w:color w:val="auto"/>
                <w:sz w:val="24"/>
                <w:highlight w:val="none"/>
              </w:rPr>
            </w:pPr>
          </w:p>
        </w:tc>
        <w:tc>
          <w:tcPr>
            <w:tcW w:w="2519" w:type="dxa"/>
            <w:vMerge w:val="continue"/>
            <w:vAlign w:val="center"/>
          </w:tcPr>
          <w:p w14:paraId="57CDEE7C">
            <w:pPr>
              <w:rPr>
                <w:rFonts w:ascii="宋体" w:hAnsi="宋体" w:cs="宋体"/>
                <w:color w:val="auto"/>
                <w:sz w:val="24"/>
                <w:highlight w:val="none"/>
              </w:rPr>
            </w:pPr>
          </w:p>
        </w:tc>
      </w:tr>
      <w:tr w14:paraId="7AB5A6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675" w:type="dxa"/>
            <w:vMerge w:val="continue"/>
            <w:vAlign w:val="center"/>
          </w:tcPr>
          <w:p w14:paraId="2A6DB47C">
            <w:pPr>
              <w:jc w:val="center"/>
              <w:rPr>
                <w:rFonts w:ascii="宋体" w:hAnsi="宋体" w:cs="宋体"/>
                <w:color w:val="auto"/>
                <w:sz w:val="24"/>
                <w:highlight w:val="none"/>
              </w:rPr>
            </w:pPr>
          </w:p>
        </w:tc>
        <w:tc>
          <w:tcPr>
            <w:tcW w:w="4840" w:type="dxa"/>
            <w:gridSpan w:val="3"/>
            <w:vAlign w:val="center"/>
          </w:tcPr>
          <w:p w14:paraId="4DB1C2DA">
            <w:pPr>
              <w:jc w:val="center"/>
              <w:rPr>
                <w:rFonts w:ascii="宋体" w:hAnsi="宋体" w:cs="宋体"/>
                <w:color w:val="auto"/>
                <w:sz w:val="24"/>
                <w:highlight w:val="none"/>
              </w:rPr>
            </w:pPr>
            <w:r>
              <w:rPr>
                <w:rFonts w:hint="eastAsia" w:ascii="宋体" w:hAnsi="宋体" w:cs="宋体"/>
                <w:color w:val="auto"/>
                <w:sz w:val="24"/>
                <w:highlight w:val="none"/>
              </w:rPr>
              <w:t>传真</w:t>
            </w:r>
          </w:p>
        </w:tc>
        <w:tc>
          <w:tcPr>
            <w:tcW w:w="1572" w:type="dxa"/>
            <w:gridSpan w:val="2"/>
            <w:vAlign w:val="center"/>
          </w:tcPr>
          <w:p w14:paraId="378CFBD0">
            <w:pPr>
              <w:jc w:val="center"/>
              <w:rPr>
                <w:rFonts w:ascii="宋体" w:hAnsi="宋体" w:cs="宋体"/>
                <w:color w:val="auto"/>
                <w:sz w:val="24"/>
                <w:highlight w:val="none"/>
              </w:rPr>
            </w:pPr>
          </w:p>
        </w:tc>
        <w:tc>
          <w:tcPr>
            <w:tcW w:w="2519" w:type="dxa"/>
            <w:vMerge w:val="continue"/>
            <w:vAlign w:val="center"/>
          </w:tcPr>
          <w:p w14:paraId="36A53381">
            <w:pPr>
              <w:rPr>
                <w:rFonts w:ascii="宋体" w:hAnsi="宋体" w:cs="宋体"/>
                <w:color w:val="auto"/>
                <w:sz w:val="24"/>
                <w:highlight w:val="none"/>
              </w:rPr>
            </w:pPr>
          </w:p>
        </w:tc>
      </w:tr>
      <w:tr w14:paraId="65E61E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675" w:type="dxa"/>
            <w:vMerge w:val="restart"/>
            <w:vAlign w:val="center"/>
          </w:tcPr>
          <w:p w14:paraId="25C6C60F">
            <w:pPr>
              <w:jc w:val="center"/>
              <w:rPr>
                <w:rFonts w:ascii="宋体" w:hAnsi="宋体" w:cs="宋体"/>
                <w:color w:val="auto"/>
                <w:sz w:val="24"/>
                <w:highlight w:val="none"/>
              </w:rPr>
            </w:pPr>
            <w:r>
              <w:rPr>
                <w:rFonts w:hint="eastAsia" w:ascii="宋体" w:hAnsi="宋体" w:cs="宋体"/>
                <w:color w:val="auto"/>
                <w:sz w:val="24"/>
                <w:highlight w:val="none"/>
              </w:rPr>
              <w:t>乙方</w:t>
            </w:r>
          </w:p>
        </w:tc>
        <w:tc>
          <w:tcPr>
            <w:tcW w:w="2327" w:type="dxa"/>
            <w:vAlign w:val="center"/>
          </w:tcPr>
          <w:p w14:paraId="55A8F741">
            <w:pPr>
              <w:jc w:val="center"/>
              <w:rPr>
                <w:rFonts w:ascii="宋体" w:hAnsi="宋体" w:cs="宋体"/>
                <w:color w:val="auto"/>
                <w:sz w:val="24"/>
                <w:highlight w:val="none"/>
              </w:rPr>
            </w:pPr>
            <w:r>
              <w:rPr>
                <w:rFonts w:hint="eastAsia" w:ascii="宋体" w:hAnsi="宋体" w:cs="宋体"/>
                <w:color w:val="auto"/>
                <w:sz w:val="24"/>
                <w:highlight w:val="none"/>
              </w:rPr>
              <w:t>名称（或姓名）</w:t>
            </w:r>
          </w:p>
        </w:tc>
        <w:tc>
          <w:tcPr>
            <w:tcW w:w="4085" w:type="dxa"/>
            <w:gridSpan w:val="4"/>
            <w:vAlign w:val="center"/>
          </w:tcPr>
          <w:p w14:paraId="4E224F3B">
            <w:pPr>
              <w:snapToGrid w:val="0"/>
              <w:jc w:val="center"/>
              <w:rPr>
                <w:rFonts w:ascii="宋体" w:hAnsi="宋体" w:cs="宋体"/>
                <w:color w:val="auto"/>
                <w:sz w:val="24"/>
                <w:highlight w:val="none"/>
              </w:rPr>
            </w:pPr>
          </w:p>
        </w:tc>
        <w:tc>
          <w:tcPr>
            <w:tcW w:w="2519" w:type="dxa"/>
            <w:vMerge w:val="restart"/>
            <w:vAlign w:val="center"/>
          </w:tcPr>
          <w:p w14:paraId="15466360">
            <w:pPr>
              <w:spacing w:line="360" w:lineRule="auto"/>
              <w:rPr>
                <w:rFonts w:ascii="宋体" w:hAnsi="宋体" w:cs="宋体"/>
                <w:color w:val="auto"/>
                <w:sz w:val="24"/>
                <w:highlight w:val="none"/>
              </w:rPr>
            </w:pPr>
            <w:r>
              <w:rPr>
                <w:rFonts w:hint="eastAsia" w:ascii="宋体" w:hAnsi="宋体" w:cs="宋体"/>
                <w:color w:val="auto"/>
                <w:sz w:val="24"/>
                <w:highlight w:val="none"/>
              </w:rPr>
              <w:t>单位公章</w:t>
            </w:r>
          </w:p>
          <w:p w14:paraId="485F24A7">
            <w:pPr>
              <w:rPr>
                <w:rFonts w:ascii="宋体" w:hAnsi="宋体" w:cs="宋体"/>
                <w:color w:val="auto"/>
                <w:sz w:val="24"/>
                <w:highlight w:val="none"/>
              </w:rPr>
            </w:pPr>
          </w:p>
          <w:p w14:paraId="050DFF27">
            <w:pPr>
              <w:rPr>
                <w:rFonts w:ascii="宋体" w:hAnsi="宋体" w:cs="宋体"/>
                <w:color w:val="auto"/>
                <w:sz w:val="24"/>
                <w:highlight w:val="none"/>
              </w:rPr>
            </w:pPr>
          </w:p>
          <w:p w14:paraId="05021E8A">
            <w:pPr>
              <w:rPr>
                <w:rFonts w:ascii="宋体" w:hAnsi="宋体" w:cs="宋体"/>
                <w:color w:val="auto"/>
                <w:sz w:val="24"/>
                <w:highlight w:val="none"/>
              </w:rPr>
            </w:pPr>
          </w:p>
          <w:p w14:paraId="3D5A3D6B">
            <w:pPr>
              <w:rPr>
                <w:rFonts w:ascii="宋体" w:hAnsi="宋体" w:cs="宋体"/>
                <w:color w:val="auto"/>
                <w:sz w:val="24"/>
                <w:highlight w:val="none"/>
              </w:rPr>
            </w:pPr>
          </w:p>
          <w:p w14:paraId="49F30EEF">
            <w:pPr>
              <w:ind w:firstLine="720" w:firstLineChars="300"/>
              <w:rPr>
                <w:rFonts w:ascii="宋体" w:hAnsi="宋体" w:cs="宋体"/>
                <w:color w:val="auto"/>
                <w:sz w:val="24"/>
                <w:highlight w:val="none"/>
              </w:rPr>
            </w:pPr>
            <w:r>
              <w:rPr>
                <w:rFonts w:hint="eastAsia" w:ascii="宋体" w:hAnsi="宋体" w:cs="宋体"/>
                <w:color w:val="auto"/>
                <w:sz w:val="24"/>
                <w:highlight w:val="none"/>
              </w:rPr>
              <w:t>年  月  日</w:t>
            </w:r>
          </w:p>
          <w:p w14:paraId="0C90B13B">
            <w:pPr>
              <w:rPr>
                <w:rFonts w:ascii="宋体" w:hAnsi="宋体" w:cs="宋体"/>
                <w:color w:val="auto"/>
                <w:sz w:val="24"/>
                <w:highlight w:val="none"/>
              </w:rPr>
            </w:pPr>
          </w:p>
          <w:p w14:paraId="25EBE613">
            <w:pPr>
              <w:rPr>
                <w:rFonts w:ascii="宋体" w:hAnsi="宋体" w:cs="宋体"/>
                <w:color w:val="auto"/>
                <w:sz w:val="24"/>
                <w:highlight w:val="none"/>
              </w:rPr>
            </w:pPr>
          </w:p>
        </w:tc>
      </w:tr>
      <w:tr w14:paraId="35A74B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675" w:type="dxa"/>
            <w:vMerge w:val="continue"/>
            <w:vAlign w:val="center"/>
          </w:tcPr>
          <w:p w14:paraId="483B4527">
            <w:pPr>
              <w:jc w:val="center"/>
              <w:rPr>
                <w:rFonts w:ascii="宋体" w:hAnsi="宋体" w:cs="宋体"/>
                <w:color w:val="auto"/>
                <w:sz w:val="24"/>
                <w:highlight w:val="none"/>
              </w:rPr>
            </w:pPr>
          </w:p>
        </w:tc>
        <w:tc>
          <w:tcPr>
            <w:tcW w:w="2327" w:type="dxa"/>
            <w:vAlign w:val="center"/>
          </w:tcPr>
          <w:p w14:paraId="24D8B17A">
            <w:pPr>
              <w:jc w:val="center"/>
              <w:rPr>
                <w:rFonts w:ascii="宋体" w:hAnsi="宋体" w:cs="宋体"/>
                <w:color w:val="auto"/>
                <w:sz w:val="24"/>
                <w:highlight w:val="none"/>
              </w:rPr>
            </w:pPr>
            <w:r>
              <w:rPr>
                <w:rFonts w:hint="eastAsia" w:ascii="宋体" w:hAnsi="宋体" w:cs="宋体"/>
                <w:color w:val="auto"/>
                <w:sz w:val="24"/>
                <w:highlight w:val="none"/>
              </w:rPr>
              <w:t>法定代表人或授权甲方签字或盖章</w:t>
            </w:r>
          </w:p>
        </w:tc>
        <w:tc>
          <w:tcPr>
            <w:tcW w:w="4085" w:type="dxa"/>
            <w:gridSpan w:val="4"/>
            <w:vAlign w:val="center"/>
          </w:tcPr>
          <w:p w14:paraId="281D53AA">
            <w:pPr>
              <w:jc w:val="center"/>
              <w:rPr>
                <w:rFonts w:ascii="宋体" w:hAnsi="宋体" w:cs="宋体"/>
                <w:color w:val="auto"/>
                <w:sz w:val="24"/>
                <w:highlight w:val="none"/>
              </w:rPr>
            </w:pPr>
          </w:p>
        </w:tc>
        <w:tc>
          <w:tcPr>
            <w:tcW w:w="2519" w:type="dxa"/>
            <w:vMerge w:val="continue"/>
            <w:vAlign w:val="center"/>
          </w:tcPr>
          <w:p w14:paraId="081F5908">
            <w:pPr>
              <w:rPr>
                <w:rFonts w:ascii="宋体" w:hAnsi="宋体" w:cs="宋体"/>
                <w:color w:val="auto"/>
                <w:sz w:val="24"/>
                <w:highlight w:val="none"/>
              </w:rPr>
            </w:pPr>
          </w:p>
        </w:tc>
      </w:tr>
      <w:tr w14:paraId="43AF0B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675" w:type="dxa"/>
            <w:vMerge w:val="continue"/>
            <w:vAlign w:val="center"/>
          </w:tcPr>
          <w:p w14:paraId="6DFC74FC">
            <w:pPr>
              <w:jc w:val="center"/>
              <w:rPr>
                <w:rFonts w:ascii="宋体" w:hAnsi="宋体" w:cs="宋体"/>
                <w:color w:val="auto"/>
                <w:sz w:val="24"/>
                <w:highlight w:val="none"/>
              </w:rPr>
            </w:pPr>
          </w:p>
        </w:tc>
        <w:tc>
          <w:tcPr>
            <w:tcW w:w="2327" w:type="dxa"/>
            <w:vAlign w:val="center"/>
          </w:tcPr>
          <w:p w14:paraId="0920CDC1">
            <w:pPr>
              <w:jc w:val="center"/>
              <w:rPr>
                <w:rFonts w:ascii="宋体" w:hAnsi="宋体" w:cs="宋体"/>
                <w:color w:val="auto"/>
                <w:sz w:val="24"/>
                <w:highlight w:val="none"/>
              </w:rPr>
            </w:pPr>
            <w:r>
              <w:rPr>
                <w:rFonts w:hint="eastAsia" w:ascii="宋体" w:hAnsi="宋体" w:cs="宋体"/>
                <w:color w:val="auto"/>
                <w:sz w:val="24"/>
                <w:highlight w:val="none"/>
              </w:rPr>
              <w:t>联系（经办）人</w:t>
            </w:r>
          </w:p>
        </w:tc>
        <w:tc>
          <w:tcPr>
            <w:tcW w:w="4085" w:type="dxa"/>
            <w:gridSpan w:val="4"/>
            <w:vAlign w:val="center"/>
          </w:tcPr>
          <w:p w14:paraId="4A820F4C">
            <w:pPr>
              <w:jc w:val="center"/>
              <w:rPr>
                <w:rFonts w:ascii="宋体" w:hAnsi="宋体" w:cs="宋体"/>
                <w:color w:val="auto"/>
                <w:sz w:val="24"/>
                <w:highlight w:val="none"/>
              </w:rPr>
            </w:pPr>
          </w:p>
        </w:tc>
        <w:tc>
          <w:tcPr>
            <w:tcW w:w="2519" w:type="dxa"/>
            <w:vMerge w:val="continue"/>
            <w:vAlign w:val="center"/>
          </w:tcPr>
          <w:p w14:paraId="7A91BA8F">
            <w:pPr>
              <w:jc w:val="center"/>
              <w:rPr>
                <w:rFonts w:ascii="宋体" w:hAnsi="宋体" w:cs="宋体"/>
                <w:color w:val="auto"/>
                <w:sz w:val="24"/>
                <w:highlight w:val="none"/>
              </w:rPr>
            </w:pPr>
          </w:p>
        </w:tc>
      </w:tr>
      <w:tr w14:paraId="5F8197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21" w:hRule="exact"/>
        </w:trPr>
        <w:tc>
          <w:tcPr>
            <w:tcW w:w="675" w:type="dxa"/>
            <w:vMerge w:val="continue"/>
            <w:vAlign w:val="center"/>
          </w:tcPr>
          <w:p w14:paraId="2D6BD57C">
            <w:pPr>
              <w:jc w:val="center"/>
              <w:rPr>
                <w:rFonts w:ascii="宋体" w:hAnsi="宋体" w:cs="宋体"/>
                <w:color w:val="auto"/>
                <w:sz w:val="24"/>
                <w:highlight w:val="none"/>
              </w:rPr>
            </w:pPr>
          </w:p>
        </w:tc>
        <w:tc>
          <w:tcPr>
            <w:tcW w:w="2327" w:type="dxa"/>
            <w:vAlign w:val="center"/>
          </w:tcPr>
          <w:p w14:paraId="1CE9B118">
            <w:pPr>
              <w:adjustRightInd w:val="0"/>
              <w:snapToGrid w:val="0"/>
              <w:jc w:val="center"/>
              <w:rPr>
                <w:rFonts w:ascii="宋体" w:hAnsi="宋体" w:cs="宋体"/>
                <w:color w:val="auto"/>
                <w:sz w:val="24"/>
                <w:highlight w:val="none"/>
              </w:rPr>
            </w:pPr>
            <w:r>
              <w:rPr>
                <w:rFonts w:hint="eastAsia" w:ascii="宋体" w:hAnsi="宋体" w:cs="宋体"/>
                <w:color w:val="auto"/>
                <w:sz w:val="24"/>
                <w:highlight w:val="none"/>
              </w:rPr>
              <w:t>住  所</w:t>
            </w:r>
          </w:p>
          <w:p w14:paraId="4C3B9E4A">
            <w:pPr>
              <w:jc w:val="center"/>
              <w:rPr>
                <w:rFonts w:ascii="宋体" w:hAnsi="宋体" w:cs="宋体"/>
                <w:color w:val="auto"/>
                <w:sz w:val="24"/>
                <w:highlight w:val="none"/>
              </w:rPr>
            </w:pPr>
            <w:r>
              <w:rPr>
                <w:rFonts w:hint="eastAsia" w:ascii="宋体" w:hAnsi="宋体" w:cs="宋体"/>
                <w:color w:val="auto"/>
                <w:sz w:val="24"/>
                <w:highlight w:val="none"/>
              </w:rPr>
              <w:t>（通讯地址）</w:t>
            </w:r>
          </w:p>
        </w:tc>
        <w:tc>
          <w:tcPr>
            <w:tcW w:w="4085" w:type="dxa"/>
            <w:gridSpan w:val="4"/>
            <w:vAlign w:val="center"/>
          </w:tcPr>
          <w:p w14:paraId="26345C0B">
            <w:pPr>
              <w:snapToGrid w:val="0"/>
              <w:jc w:val="center"/>
              <w:rPr>
                <w:rFonts w:ascii="宋体" w:hAnsi="宋体" w:cs="宋体"/>
                <w:color w:val="auto"/>
                <w:sz w:val="24"/>
                <w:highlight w:val="none"/>
              </w:rPr>
            </w:pPr>
          </w:p>
        </w:tc>
        <w:tc>
          <w:tcPr>
            <w:tcW w:w="2519" w:type="dxa"/>
            <w:vMerge w:val="continue"/>
            <w:vAlign w:val="center"/>
          </w:tcPr>
          <w:p w14:paraId="41BBDFB2">
            <w:pPr>
              <w:jc w:val="center"/>
              <w:rPr>
                <w:rFonts w:ascii="宋体" w:hAnsi="宋体" w:cs="宋体"/>
                <w:color w:val="auto"/>
                <w:sz w:val="24"/>
                <w:highlight w:val="none"/>
              </w:rPr>
            </w:pPr>
          </w:p>
        </w:tc>
      </w:tr>
      <w:tr w14:paraId="50D33A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85" w:hRule="exact"/>
        </w:trPr>
        <w:tc>
          <w:tcPr>
            <w:tcW w:w="675" w:type="dxa"/>
            <w:vMerge w:val="continue"/>
            <w:vAlign w:val="center"/>
          </w:tcPr>
          <w:p w14:paraId="0998B39D">
            <w:pPr>
              <w:jc w:val="center"/>
              <w:rPr>
                <w:rFonts w:ascii="宋体" w:hAnsi="宋体" w:cs="宋体"/>
                <w:color w:val="auto"/>
                <w:sz w:val="24"/>
                <w:highlight w:val="none"/>
              </w:rPr>
            </w:pPr>
          </w:p>
        </w:tc>
        <w:tc>
          <w:tcPr>
            <w:tcW w:w="2327" w:type="dxa"/>
            <w:vAlign w:val="center"/>
          </w:tcPr>
          <w:p w14:paraId="422F45EF">
            <w:pPr>
              <w:adjustRightInd w:val="0"/>
              <w:snapToGrid w:val="0"/>
              <w:jc w:val="center"/>
              <w:rPr>
                <w:rFonts w:ascii="宋体" w:hAnsi="宋体" w:cs="宋体"/>
                <w:color w:val="auto"/>
                <w:sz w:val="24"/>
                <w:highlight w:val="none"/>
              </w:rPr>
            </w:pPr>
            <w:r>
              <w:rPr>
                <w:rFonts w:hint="eastAsia" w:ascii="宋体" w:hAnsi="宋体" w:cs="宋体"/>
                <w:color w:val="auto"/>
                <w:sz w:val="24"/>
                <w:highlight w:val="none"/>
              </w:rPr>
              <w:t>电  话</w:t>
            </w:r>
          </w:p>
        </w:tc>
        <w:tc>
          <w:tcPr>
            <w:tcW w:w="1784" w:type="dxa"/>
            <w:vAlign w:val="center"/>
          </w:tcPr>
          <w:p w14:paraId="2A9AA8A2">
            <w:pPr>
              <w:adjustRightInd w:val="0"/>
              <w:snapToGrid w:val="0"/>
              <w:jc w:val="left"/>
              <w:rPr>
                <w:rFonts w:ascii="宋体" w:hAnsi="宋体" w:cs="宋体"/>
                <w:color w:val="auto"/>
                <w:sz w:val="24"/>
                <w:highlight w:val="none"/>
              </w:rPr>
            </w:pPr>
          </w:p>
        </w:tc>
        <w:tc>
          <w:tcPr>
            <w:tcW w:w="893" w:type="dxa"/>
            <w:gridSpan w:val="2"/>
            <w:vAlign w:val="center"/>
          </w:tcPr>
          <w:p w14:paraId="0A441B48">
            <w:pPr>
              <w:adjustRightInd w:val="0"/>
              <w:snapToGrid w:val="0"/>
              <w:jc w:val="center"/>
              <w:rPr>
                <w:rFonts w:ascii="宋体" w:hAnsi="宋体" w:cs="宋体"/>
                <w:color w:val="auto"/>
                <w:sz w:val="24"/>
                <w:highlight w:val="none"/>
              </w:rPr>
            </w:pPr>
            <w:r>
              <w:rPr>
                <w:rFonts w:hint="eastAsia" w:ascii="宋体" w:hAnsi="宋体" w:cs="宋体"/>
                <w:color w:val="auto"/>
                <w:sz w:val="24"/>
                <w:highlight w:val="none"/>
              </w:rPr>
              <w:t>邮政编码</w:t>
            </w:r>
          </w:p>
        </w:tc>
        <w:tc>
          <w:tcPr>
            <w:tcW w:w="1408" w:type="dxa"/>
            <w:vAlign w:val="center"/>
          </w:tcPr>
          <w:p w14:paraId="71D7571F">
            <w:pPr>
              <w:jc w:val="center"/>
              <w:rPr>
                <w:rFonts w:ascii="宋体" w:hAnsi="宋体" w:cs="宋体"/>
                <w:color w:val="auto"/>
                <w:sz w:val="24"/>
                <w:highlight w:val="none"/>
              </w:rPr>
            </w:pPr>
          </w:p>
        </w:tc>
        <w:tc>
          <w:tcPr>
            <w:tcW w:w="2519" w:type="dxa"/>
            <w:vMerge w:val="continue"/>
            <w:vAlign w:val="center"/>
          </w:tcPr>
          <w:p w14:paraId="6D36226A">
            <w:pPr>
              <w:jc w:val="center"/>
              <w:rPr>
                <w:rFonts w:ascii="宋体" w:hAnsi="宋体" w:cs="宋体"/>
                <w:color w:val="auto"/>
                <w:sz w:val="24"/>
                <w:highlight w:val="none"/>
              </w:rPr>
            </w:pPr>
          </w:p>
        </w:tc>
      </w:tr>
      <w:tr w14:paraId="1D9CEA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3" w:hRule="exact"/>
        </w:trPr>
        <w:tc>
          <w:tcPr>
            <w:tcW w:w="675" w:type="dxa"/>
            <w:vMerge w:val="continue"/>
            <w:vAlign w:val="center"/>
          </w:tcPr>
          <w:p w14:paraId="5287E6F8">
            <w:pPr>
              <w:jc w:val="center"/>
              <w:rPr>
                <w:rFonts w:ascii="宋体" w:hAnsi="宋体" w:cs="宋体"/>
                <w:color w:val="auto"/>
                <w:sz w:val="24"/>
                <w:highlight w:val="none"/>
              </w:rPr>
            </w:pPr>
          </w:p>
        </w:tc>
        <w:tc>
          <w:tcPr>
            <w:tcW w:w="2327" w:type="dxa"/>
            <w:vAlign w:val="center"/>
          </w:tcPr>
          <w:p w14:paraId="42B48844">
            <w:pPr>
              <w:jc w:val="center"/>
              <w:rPr>
                <w:rFonts w:ascii="宋体" w:hAnsi="宋体" w:cs="宋体"/>
                <w:color w:val="auto"/>
                <w:sz w:val="24"/>
                <w:highlight w:val="none"/>
              </w:rPr>
            </w:pPr>
            <w:r>
              <w:rPr>
                <w:rFonts w:hint="eastAsia" w:ascii="宋体" w:hAnsi="宋体" w:cs="宋体"/>
                <w:color w:val="auto"/>
                <w:sz w:val="24"/>
                <w:highlight w:val="none"/>
              </w:rPr>
              <w:t>开户银行</w:t>
            </w:r>
          </w:p>
        </w:tc>
        <w:tc>
          <w:tcPr>
            <w:tcW w:w="1784" w:type="dxa"/>
            <w:vAlign w:val="center"/>
          </w:tcPr>
          <w:p w14:paraId="22DC802E">
            <w:pPr>
              <w:jc w:val="center"/>
              <w:rPr>
                <w:rFonts w:ascii="宋体" w:hAnsi="宋体" w:cs="宋体"/>
                <w:color w:val="auto"/>
                <w:sz w:val="24"/>
                <w:highlight w:val="none"/>
              </w:rPr>
            </w:pPr>
          </w:p>
        </w:tc>
        <w:tc>
          <w:tcPr>
            <w:tcW w:w="893" w:type="dxa"/>
            <w:gridSpan w:val="2"/>
            <w:vAlign w:val="center"/>
          </w:tcPr>
          <w:p w14:paraId="002E38A3">
            <w:pPr>
              <w:jc w:val="center"/>
              <w:rPr>
                <w:rFonts w:ascii="宋体" w:hAnsi="宋体" w:cs="宋体"/>
                <w:color w:val="auto"/>
                <w:sz w:val="24"/>
                <w:highlight w:val="none"/>
              </w:rPr>
            </w:pPr>
            <w:r>
              <w:rPr>
                <w:rFonts w:hint="eastAsia" w:ascii="宋体" w:hAnsi="宋体" w:cs="宋体"/>
                <w:color w:val="auto"/>
                <w:sz w:val="24"/>
                <w:highlight w:val="none"/>
              </w:rPr>
              <w:t>传真</w:t>
            </w:r>
          </w:p>
        </w:tc>
        <w:tc>
          <w:tcPr>
            <w:tcW w:w="1408" w:type="dxa"/>
            <w:vAlign w:val="center"/>
          </w:tcPr>
          <w:p w14:paraId="083F631D">
            <w:pPr>
              <w:snapToGrid w:val="0"/>
              <w:jc w:val="center"/>
              <w:rPr>
                <w:rFonts w:ascii="宋体" w:hAnsi="宋体" w:cs="宋体"/>
                <w:color w:val="auto"/>
                <w:sz w:val="24"/>
                <w:highlight w:val="none"/>
              </w:rPr>
            </w:pPr>
          </w:p>
        </w:tc>
        <w:tc>
          <w:tcPr>
            <w:tcW w:w="2519" w:type="dxa"/>
            <w:vMerge w:val="continue"/>
            <w:vAlign w:val="center"/>
          </w:tcPr>
          <w:p w14:paraId="02CA1539">
            <w:pPr>
              <w:snapToGrid w:val="0"/>
              <w:jc w:val="center"/>
              <w:rPr>
                <w:rFonts w:ascii="宋体" w:hAnsi="宋体" w:cs="宋体"/>
                <w:color w:val="auto"/>
                <w:sz w:val="24"/>
                <w:highlight w:val="none"/>
              </w:rPr>
            </w:pPr>
          </w:p>
        </w:tc>
      </w:tr>
      <w:tr w14:paraId="45D447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675" w:type="dxa"/>
            <w:vMerge w:val="continue"/>
            <w:vAlign w:val="center"/>
          </w:tcPr>
          <w:p w14:paraId="27E52FDA">
            <w:pPr>
              <w:jc w:val="center"/>
              <w:rPr>
                <w:rFonts w:ascii="宋体" w:hAnsi="宋体" w:cs="宋体"/>
                <w:color w:val="auto"/>
                <w:sz w:val="24"/>
                <w:highlight w:val="none"/>
              </w:rPr>
            </w:pPr>
          </w:p>
        </w:tc>
        <w:tc>
          <w:tcPr>
            <w:tcW w:w="2327" w:type="dxa"/>
            <w:vAlign w:val="center"/>
          </w:tcPr>
          <w:p w14:paraId="1E6978B7">
            <w:pPr>
              <w:jc w:val="center"/>
              <w:rPr>
                <w:rFonts w:ascii="宋体" w:hAnsi="宋体" w:cs="宋体"/>
                <w:color w:val="auto"/>
                <w:sz w:val="24"/>
                <w:highlight w:val="none"/>
              </w:rPr>
            </w:pPr>
            <w:r>
              <w:rPr>
                <w:rFonts w:hint="eastAsia" w:ascii="宋体" w:hAnsi="宋体" w:cs="宋体"/>
                <w:color w:val="auto"/>
                <w:sz w:val="24"/>
                <w:highlight w:val="none"/>
              </w:rPr>
              <w:t>账  号</w:t>
            </w:r>
          </w:p>
        </w:tc>
        <w:tc>
          <w:tcPr>
            <w:tcW w:w="4085" w:type="dxa"/>
            <w:gridSpan w:val="4"/>
            <w:vAlign w:val="center"/>
          </w:tcPr>
          <w:p w14:paraId="4F48D900">
            <w:pPr>
              <w:jc w:val="center"/>
              <w:rPr>
                <w:rFonts w:ascii="宋体" w:hAnsi="宋体" w:cs="宋体"/>
                <w:color w:val="auto"/>
                <w:sz w:val="24"/>
                <w:highlight w:val="none"/>
              </w:rPr>
            </w:pPr>
          </w:p>
        </w:tc>
        <w:tc>
          <w:tcPr>
            <w:tcW w:w="2519" w:type="dxa"/>
            <w:vMerge w:val="continue"/>
            <w:vAlign w:val="center"/>
          </w:tcPr>
          <w:p w14:paraId="38B9AAA5">
            <w:pPr>
              <w:jc w:val="center"/>
              <w:rPr>
                <w:rFonts w:ascii="宋体" w:hAnsi="宋体" w:cs="宋体"/>
                <w:color w:val="auto"/>
                <w:sz w:val="24"/>
                <w:highlight w:val="none"/>
              </w:rPr>
            </w:pPr>
          </w:p>
        </w:tc>
      </w:tr>
      <w:tr w14:paraId="512FA2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675" w:type="dxa"/>
            <w:vMerge w:val="continue"/>
            <w:tcBorders>
              <w:bottom w:val="single" w:color="auto" w:sz="12" w:space="0"/>
            </w:tcBorders>
            <w:vAlign w:val="center"/>
          </w:tcPr>
          <w:p w14:paraId="7BB564CD">
            <w:pPr>
              <w:jc w:val="center"/>
              <w:rPr>
                <w:rFonts w:ascii="宋体" w:hAnsi="宋体" w:cs="宋体"/>
                <w:color w:val="auto"/>
                <w:sz w:val="24"/>
                <w:highlight w:val="none"/>
              </w:rPr>
            </w:pPr>
          </w:p>
        </w:tc>
        <w:tc>
          <w:tcPr>
            <w:tcW w:w="2327" w:type="dxa"/>
            <w:tcBorders>
              <w:bottom w:val="single" w:color="auto" w:sz="12" w:space="0"/>
            </w:tcBorders>
            <w:vAlign w:val="center"/>
          </w:tcPr>
          <w:p w14:paraId="78E91271">
            <w:pPr>
              <w:jc w:val="center"/>
              <w:rPr>
                <w:rFonts w:ascii="宋体" w:hAnsi="宋体" w:cs="宋体"/>
                <w:color w:val="auto"/>
                <w:sz w:val="24"/>
                <w:highlight w:val="none"/>
              </w:rPr>
            </w:pPr>
          </w:p>
        </w:tc>
        <w:tc>
          <w:tcPr>
            <w:tcW w:w="4085" w:type="dxa"/>
            <w:gridSpan w:val="4"/>
            <w:tcBorders>
              <w:bottom w:val="single" w:color="auto" w:sz="12" w:space="0"/>
            </w:tcBorders>
            <w:vAlign w:val="center"/>
          </w:tcPr>
          <w:p w14:paraId="20757090">
            <w:pPr>
              <w:jc w:val="center"/>
              <w:rPr>
                <w:rFonts w:ascii="宋体" w:hAnsi="宋体" w:cs="宋体"/>
                <w:color w:val="auto"/>
                <w:sz w:val="24"/>
                <w:highlight w:val="none"/>
              </w:rPr>
            </w:pPr>
          </w:p>
        </w:tc>
        <w:tc>
          <w:tcPr>
            <w:tcW w:w="2519" w:type="dxa"/>
            <w:vMerge w:val="continue"/>
            <w:tcBorders>
              <w:bottom w:val="single" w:color="auto" w:sz="12" w:space="0"/>
            </w:tcBorders>
            <w:vAlign w:val="center"/>
          </w:tcPr>
          <w:p w14:paraId="546C135C">
            <w:pPr>
              <w:jc w:val="center"/>
              <w:rPr>
                <w:rFonts w:ascii="宋体" w:hAnsi="宋体" w:cs="宋体"/>
                <w:color w:val="auto"/>
                <w:sz w:val="24"/>
                <w:highlight w:val="none"/>
              </w:rPr>
            </w:pPr>
          </w:p>
        </w:tc>
      </w:tr>
    </w:tbl>
    <w:p w14:paraId="2B78743E">
      <w:pPr>
        <w:snapToGrid w:val="0"/>
        <w:spacing w:line="420" w:lineRule="atLeast"/>
        <w:rPr>
          <w:rFonts w:ascii="宋体" w:hAnsi="宋体" w:cs="宋体"/>
          <w:b/>
          <w:bCs/>
          <w:snapToGrid w:val="0"/>
          <w:color w:val="auto"/>
          <w:kern w:val="0"/>
          <w:sz w:val="28"/>
          <w:szCs w:val="28"/>
          <w:highlight w:val="none"/>
        </w:rPr>
      </w:pPr>
    </w:p>
    <w:bookmarkEnd w:id="56"/>
    <w:bookmarkEnd w:id="57"/>
    <w:bookmarkEnd w:id="58"/>
    <w:bookmarkEnd w:id="59"/>
    <w:bookmarkEnd w:id="60"/>
    <w:bookmarkEnd w:id="61"/>
    <w:p w14:paraId="47102D2A">
      <w:pPr>
        <w:spacing w:before="156" w:beforeLines="50" w:after="156" w:afterLines="50" w:line="360" w:lineRule="auto"/>
        <w:jc w:val="center"/>
        <w:outlineLvl w:val="1"/>
        <w:rPr>
          <w:color w:val="auto"/>
          <w:highlight w:val="none"/>
        </w:rPr>
      </w:pPr>
    </w:p>
    <w:p w14:paraId="3DCB6AAE">
      <w:pPr>
        <w:spacing w:line="360" w:lineRule="auto"/>
        <w:jc w:val="center"/>
        <w:rPr>
          <w:rFonts w:ascii="宋体" w:hAnsi="宋体" w:cs="宋体"/>
          <w:b/>
          <w:bCs/>
          <w:color w:val="auto"/>
          <w:sz w:val="35"/>
          <w:szCs w:val="35"/>
          <w:highlight w:val="none"/>
        </w:rPr>
      </w:pPr>
      <w:r>
        <w:rPr>
          <w:rFonts w:hint="eastAsia" w:ascii="宋体" w:hAnsi="宋体" w:cs="宋体"/>
          <w:b/>
          <w:bCs/>
          <w:color w:val="auto"/>
          <w:sz w:val="35"/>
          <w:szCs w:val="35"/>
          <w:highlight w:val="none"/>
        </w:rPr>
        <w:t>廉 政 合 同</w:t>
      </w:r>
    </w:p>
    <w:p w14:paraId="3FC86011">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根据《关于在交通基础设施建设中加强廉政建设的若干意见》以及有关工程建设、廉政建设的规定，为做好工程建设和专题研究中的党风廉政建设，保证工程建设和专题研究高效优质，保证资金的安全和有效使用以及投资效益，甲方广西壮族自治区北部湾港港口管理局钦州分局与乙方</w:t>
      </w:r>
      <w:r>
        <w:rPr>
          <w:rFonts w:hint="eastAsia" w:ascii="宋体" w:hAnsi="宋体" w:cs="宋体"/>
          <w:snapToGrid w:val="0"/>
          <w:color w:val="auto"/>
          <w:kern w:val="0"/>
          <w:sz w:val="24"/>
          <w:highlight w:val="none"/>
          <w:lang w:val="en-US" w:eastAsia="zh-CN"/>
        </w:rPr>
        <w:t xml:space="preserve">                            </w:t>
      </w:r>
      <w:r>
        <w:rPr>
          <w:rFonts w:hint="eastAsia" w:ascii="宋体" w:hAnsi="宋体" w:cs="宋体"/>
          <w:snapToGrid w:val="0"/>
          <w:color w:val="auto"/>
          <w:kern w:val="0"/>
          <w:sz w:val="24"/>
          <w:highlight w:val="none"/>
        </w:rPr>
        <w:t>，特订立如下合同。</w:t>
      </w:r>
    </w:p>
    <w:p w14:paraId="051A3143">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l.甲乙双方的权利和义务</w:t>
      </w:r>
    </w:p>
    <w:p w14:paraId="58E09CF2">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（1）严格遵守党的政策规定和国家有关法律法规及交通运输部的有关规定。</w:t>
      </w:r>
    </w:p>
    <w:p w14:paraId="3BF1E64D">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（2）严格执行钦州港公共水域浅点整治研究合同，自觉按合同办事。</w:t>
      </w:r>
    </w:p>
    <w:p w14:paraId="4A1CF183">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（3）双方的业务活动坚持公开、公正、诚信、透明的原则（法律认定的商业秘密和合同文件另有规定除外），不得损害国家和集体利益，违反工程建设管理规章制度。</w:t>
      </w:r>
    </w:p>
    <w:p w14:paraId="536A0AC0">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（4）建立健全廉政制度，开展廉政教育，设立廉政告示牌，公布举报电话，监督并认真查处违法违纪行为。</w:t>
      </w:r>
    </w:p>
    <w:p w14:paraId="262B51A0">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（5）发现对方在业务活动中有违反廉政规定的行为，有及时提醒对方纠正的权利和义务。</w:t>
      </w:r>
    </w:p>
    <w:p w14:paraId="66E733D9">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（6）发现对方严重违反本合同义务条款的行为，有向其上级有关部门举报、建议给予处理并要求告知处理结果的权利。</w:t>
      </w:r>
    </w:p>
    <w:p w14:paraId="4EBD0C09">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2.甲方的义务</w:t>
      </w:r>
    </w:p>
    <w:p w14:paraId="458386F1">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（1）甲方及其工作人员不得索要或接受乙方的礼金、有价证券和贵重物品，不得在乙方报销任何应由甲方或甲方工作人员个人支付的费用等。</w:t>
      </w:r>
    </w:p>
    <w:p w14:paraId="61DCA4F0">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（2）甲方工作人员不得参加乙方安排的宴请和娱乐活动；不得接受乙方提供的通讯工具、交通工具和高档办公用品等。</w:t>
      </w:r>
    </w:p>
    <w:p w14:paraId="68B07FC6">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（3）甲方及其工作人员不得要求或者接受乙方为其住房装修、婚丧嫁娶活动、配偶子女的工作安排以及出国出境、旅游等提供方便等。</w:t>
      </w:r>
    </w:p>
    <w:p w14:paraId="5622C10B">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（4）甲方工作人员及其配偶、子女不得从事与甲方工程有关的材料设备供应、工程分包、劳务等经济活动等。</w:t>
      </w:r>
    </w:p>
    <w:p w14:paraId="0E54B557">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（5）甲方及其工作人员不得以任何理由向乙方推荐分包单位或推销材料，不得要求乙方购买合同规定外的材料和设备。</w:t>
      </w:r>
    </w:p>
    <w:p w14:paraId="62BD851F">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（6）甲方工作人员要秉公办事，不准营私舞弊，不准利用职权从事各种个人有偿中介活动和安排个人施工队伍。</w:t>
      </w:r>
    </w:p>
    <w:p w14:paraId="1BA8F126">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3.乙方义务</w:t>
      </w:r>
    </w:p>
    <w:p w14:paraId="3B37EE16">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（1）乙方不得以任何理由向甲方及其工作人员行贿或馈赠礼金、有价证券、贵重礼品。</w:t>
      </w:r>
    </w:p>
    <w:p w14:paraId="6BB58D11">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（2）乙方不得以任何名义为甲方及其工作人员报销应由甲方单位或个人支付的任何费用。</w:t>
      </w:r>
    </w:p>
    <w:p w14:paraId="2EF1C588">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（3）乙方不得以任何理由安排甲方工作人员参加超标准宴请及娱乐活动。</w:t>
      </w:r>
    </w:p>
    <w:p w14:paraId="0C33ABBB">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（4）乙方不得为甲方单位和个人购置或提供通讯工具、交通工具和高档办公用品等。</w:t>
      </w:r>
    </w:p>
    <w:p w14:paraId="354FD6B0">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4.违约责任</w:t>
      </w:r>
    </w:p>
    <w:p w14:paraId="52EBE8CA">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（1）甲方及其工作人员违反本合同第1、2条，按管理权限，依据有关规定给予党纪、政纪或组织处理；涉嫌犯罪的，移交司法机关追究刑事责任；给乙方单位造成经济损失的，应予以赔偿。</w:t>
      </w:r>
    </w:p>
    <w:p w14:paraId="3F4E78D5">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2）乙方及其工作人员违反本合同第1、3条，按管理权限，依据有关规定给予党纪、政纪或组织处理；给甲方单位造成经济损失的，应予以赔偿；情节严重的，甲方建议交通工程建设主管部门给予乙方一至三年内不得进入其主管的交通工程建设市场的处罚。</w:t>
      </w:r>
    </w:p>
    <w:p w14:paraId="407E48FD">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5.双方约定：本合同由双方或双方上级单位的纪检监察机关负责监督执行。由甲方或甲方上级单位的纪检监察机关约请乙方或乙方上级单位纪检监察机关对本合同执行情况进行检查，提出在本合同规定范围内的裁定意见。</w:t>
      </w:r>
    </w:p>
    <w:p w14:paraId="47C2E1EF">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6. 本合同自双方法定代表人或其委托代理人签字并加盖双方单位公章后生效，至本项目全部成果通过验收后终止。</w:t>
      </w:r>
    </w:p>
    <w:p w14:paraId="1A62675E">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7.本合同作为钦州港公共水域浅点整治研究合同的附件，与合同具有同等的法律效力。</w:t>
      </w:r>
    </w:p>
    <w:p w14:paraId="4C2436F2">
      <w:pPr>
        <w:widowControl/>
        <w:spacing w:line="360" w:lineRule="auto"/>
        <w:ind w:firstLine="480" w:firstLineChars="2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8.本合同一式陆份，甲方执伍份，乙方执壹份，具有同等法律效力。</w:t>
      </w:r>
    </w:p>
    <w:p w14:paraId="245CCBCA">
      <w:pPr>
        <w:pStyle w:val="5"/>
        <w:ind w:firstLine="560"/>
        <w:rPr>
          <w:rFonts w:ascii="宋体" w:hAnsi="宋体" w:cs="宋体"/>
          <w:color w:val="auto"/>
          <w:sz w:val="28"/>
          <w:szCs w:val="28"/>
          <w:highlight w:val="none"/>
        </w:rPr>
      </w:pPr>
      <w:bookmarkStart w:id="63" w:name="_Toc394929418"/>
    </w:p>
    <w:tbl>
      <w:tblPr>
        <w:tblStyle w:val="25"/>
        <w:tblW w:w="9287" w:type="dxa"/>
        <w:tblInd w:w="0" w:type="dxa"/>
        <w:tblLayout w:type="fixed"/>
        <w:tblCellMar>
          <w:top w:w="0" w:type="dxa"/>
          <w:left w:w="108" w:type="dxa"/>
          <w:bottom w:w="0" w:type="dxa"/>
          <w:right w:w="108" w:type="dxa"/>
        </w:tblCellMar>
      </w:tblPr>
      <w:tblGrid>
        <w:gridCol w:w="4544"/>
        <w:gridCol w:w="4743"/>
      </w:tblGrid>
      <w:tr w14:paraId="1CF79646">
        <w:tblPrEx>
          <w:tblCellMar>
            <w:top w:w="0" w:type="dxa"/>
            <w:left w:w="108" w:type="dxa"/>
            <w:bottom w:w="0" w:type="dxa"/>
            <w:right w:w="108" w:type="dxa"/>
          </w:tblCellMar>
        </w:tblPrEx>
        <w:trPr>
          <w:trHeight w:val="1643" w:hRule="atLeast"/>
        </w:trPr>
        <w:tc>
          <w:tcPr>
            <w:tcW w:w="4544" w:type="dxa"/>
            <w:vAlign w:val="center"/>
          </w:tcPr>
          <w:p w14:paraId="1702D11D">
            <w:pPr>
              <w:snapToGrid w:val="0"/>
              <w:spacing w:line="240" w:lineRule="atLeast"/>
              <w:rPr>
                <w:rFonts w:ascii="宋体" w:hAnsi="宋体" w:cs="宋体"/>
                <w:snapToGrid w:val="0"/>
                <w:color w:val="auto"/>
                <w:kern w:val="0"/>
                <w:sz w:val="24"/>
                <w:highlight w:val="none"/>
              </w:rPr>
            </w:pPr>
            <w:r>
              <w:rPr>
                <w:color w:val="auto"/>
                <w:sz w:val="24"/>
                <w:highlight w:val="none"/>
              </w:rPr>
              <w:t>甲</w:t>
            </w:r>
            <w:r>
              <w:rPr>
                <w:rFonts w:hint="eastAsia" w:ascii="宋体" w:hAnsi="宋体" w:cs="宋体"/>
                <w:snapToGrid w:val="0"/>
                <w:color w:val="auto"/>
                <w:kern w:val="0"/>
                <w:sz w:val="24"/>
                <w:highlight w:val="none"/>
              </w:rPr>
              <w:t>方：广西壮族自治区北部湾港口</w:t>
            </w:r>
          </w:p>
          <w:p w14:paraId="621CF902">
            <w:pPr>
              <w:snapToGrid w:val="0"/>
              <w:spacing w:line="240" w:lineRule="atLeast"/>
              <w:ind w:firstLine="720" w:firstLineChars="3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管理局钦州分局</w:t>
            </w:r>
          </w:p>
          <w:p w14:paraId="0C89B9C4">
            <w:pPr>
              <w:snapToGrid w:val="0"/>
              <w:spacing w:line="240" w:lineRule="atLeast"/>
              <w:jc w:val="center"/>
              <w:rPr>
                <w:color w:val="auto"/>
                <w:sz w:val="24"/>
                <w:highlight w:val="none"/>
              </w:rPr>
            </w:pPr>
          </w:p>
          <w:p w14:paraId="1AA8473B">
            <w:pPr>
              <w:snapToGrid w:val="0"/>
              <w:spacing w:line="240" w:lineRule="atLeast"/>
              <w:jc w:val="center"/>
              <w:rPr>
                <w:color w:val="auto"/>
                <w:sz w:val="24"/>
                <w:highlight w:val="none"/>
              </w:rPr>
            </w:pPr>
            <w:r>
              <w:rPr>
                <w:color w:val="auto"/>
                <w:sz w:val="24"/>
                <w:highlight w:val="none"/>
              </w:rPr>
              <w:t>（章）</w:t>
            </w:r>
          </w:p>
          <w:p w14:paraId="44C170A9">
            <w:pPr>
              <w:snapToGrid w:val="0"/>
              <w:spacing w:line="240" w:lineRule="atLeast"/>
              <w:jc w:val="center"/>
              <w:rPr>
                <w:color w:val="auto"/>
                <w:sz w:val="24"/>
                <w:highlight w:val="none"/>
              </w:rPr>
            </w:pPr>
          </w:p>
          <w:p w14:paraId="4C0BCF26">
            <w:pPr>
              <w:snapToGrid w:val="0"/>
              <w:spacing w:line="240" w:lineRule="atLeast"/>
              <w:jc w:val="center"/>
              <w:rPr>
                <w:b/>
                <w:color w:val="auto"/>
                <w:szCs w:val="21"/>
                <w:highlight w:val="none"/>
              </w:rPr>
            </w:pPr>
            <w:r>
              <w:rPr>
                <w:color w:val="auto"/>
                <w:sz w:val="24"/>
                <w:highlight w:val="none"/>
              </w:rPr>
              <w:t xml:space="preserve">    年   月   日</w:t>
            </w:r>
          </w:p>
        </w:tc>
        <w:tc>
          <w:tcPr>
            <w:tcW w:w="4743" w:type="dxa"/>
          </w:tcPr>
          <w:p w14:paraId="7C16B0C7">
            <w:pPr>
              <w:snapToGrid w:val="0"/>
              <w:spacing w:line="240" w:lineRule="atLeast"/>
              <w:rPr>
                <w:color w:val="auto"/>
                <w:sz w:val="24"/>
                <w:highlight w:val="none"/>
              </w:rPr>
            </w:pPr>
            <w:r>
              <w:rPr>
                <w:color w:val="auto"/>
                <w:sz w:val="24"/>
                <w:highlight w:val="none"/>
              </w:rPr>
              <w:t>乙方：</w:t>
            </w:r>
          </w:p>
          <w:p w14:paraId="0D88C98B">
            <w:pPr>
              <w:snapToGrid w:val="0"/>
              <w:spacing w:line="240" w:lineRule="atLeast"/>
              <w:jc w:val="center"/>
              <w:rPr>
                <w:color w:val="auto"/>
                <w:sz w:val="24"/>
                <w:highlight w:val="none"/>
              </w:rPr>
            </w:pPr>
          </w:p>
          <w:p w14:paraId="53A887BA">
            <w:pPr>
              <w:snapToGrid w:val="0"/>
              <w:spacing w:line="240" w:lineRule="atLeast"/>
              <w:jc w:val="center"/>
              <w:rPr>
                <w:color w:val="auto"/>
                <w:sz w:val="24"/>
                <w:highlight w:val="none"/>
              </w:rPr>
            </w:pPr>
            <w:r>
              <w:rPr>
                <w:color w:val="auto"/>
                <w:sz w:val="24"/>
                <w:highlight w:val="none"/>
              </w:rPr>
              <w:t>（章）</w:t>
            </w:r>
          </w:p>
          <w:p w14:paraId="036BC730">
            <w:pPr>
              <w:snapToGrid w:val="0"/>
              <w:spacing w:line="240" w:lineRule="atLeast"/>
              <w:jc w:val="center"/>
              <w:rPr>
                <w:color w:val="auto"/>
                <w:sz w:val="24"/>
                <w:highlight w:val="none"/>
              </w:rPr>
            </w:pPr>
            <w:r>
              <w:rPr>
                <w:color w:val="auto"/>
                <w:sz w:val="24"/>
                <w:highlight w:val="none"/>
              </w:rPr>
              <w:t xml:space="preserve">        </w:t>
            </w:r>
          </w:p>
          <w:p w14:paraId="58C51D08">
            <w:pPr>
              <w:snapToGrid w:val="0"/>
              <w:spacing w:line="240" w:lineRule="atLeast"/>
              <w:jc w:val="center"/>
              <w:rPr>
                <w:color w:val="auto"/>
                <w:sz w:val="24"/>
                <w:highlight w:val="none"/>
              </w:rPr>
            </w:pPr>
            <w:r>
              <w:rPr>
                <w:color w:val="auto"/>
                <w:sz w:val="24"/>
                <w:highlight w:val="none"/>
              </w:rPr>
              <w:t xml:space="preserve">    年   月   日</w:t>
            </w:r>
          </w:p>
        </w:tc>
      </w:tr>
      <w:tr w14:paraId="4B8391C0">
        <w:tblPrEx>
          <w:tblCellMar>
            <w:top w:w="0" w:type="dxa"/>
            <w:left w:w="108" w:type="dxa"/>
            <w:bottom w:w="0" w:type="dxa"/>
            <w:right w:w="108" w:type="dxa"/>
          </w:tblCellMar>
        </w:tblPrEx>
        <w:trPr>
          <w:trHeight w:val="759" w:hRule="atLeast"/>
        </w:trPr>
        <w:tc>
          <w:tcPr>
            <w:tcW w:w="4544" w:type="dxa"/>
            <w:vAlign w:val="center"/>
          </w:tcPr>
          <w:p w14:paraId="614CB127">
            <w:pPr>
              <w:snapToGrid w:val="0"/>
              <w:spacing w:line="240" w:lineRule="atLeast"/>
              <w:ind w:left="1200" w:hanging="1200" w:hangingChars="500"/>
              <w:jc w:val="left"/>
              <w:rPr>
                <w:color w:val="auto"/>
                <w:sz w:val="24"/>
                <w:highlight w:val="none"/>
              </w:rPr>
            </w:pPr>
            <w:r>
              <w:rPr>
                <w:color w:val="auto"/>
                <w:sz w:val="24"/>
                <w:highlight w:val="none"/>
              </w:rPr>
              <w:t>单位地址：</w:t>
            </w:r>
            <w:r>
              <w:rPr>
                <w:rFonts w:hint="eastAsia"/>
                <w:color w:val="auto"/>
                <w:sz w:val="24"/>
                <w:highlight w:val="none"/>
              </w:rPr>
              <w:t>钦州市钦州港融合大街20号</w:t>
            </w:r>
          </w:p>
        </w:tc>
        <w:tc>
          <w:tcPr>
            <w:tcW w:w="4743" w:type="dxa"/>
          </w:tcPr>
          <w:p w14:paraId="56350813">
            <w:pPr>
              <w:snapToGrid w:val="0"/>
              <w:spacing w:line="360" w:lineRule="auto"/>
              <w:jc w:val="left"/>
              <w:rPr>
                <w:b/>
                <w:color w:val="auto"/>
                <w:szCs w:val="21"/>
                <w:highlight w:val="none"/>
              </w:rPr>
            </w:pPr>
            <w:r>
              <w:rPr>
                <w:color w:val="auto"/>
                <w:sz w:val="24"/>
                <w:highlight w:val="none"/>
              </w:rPr>
              <w:t>单位地址：</w:t>
            </w:r>
          </w:p>
        </w:tc>
      </w:tr>
      <w:tr w14:paraId="077818FC">
        <w:tblPrEx>
          <w:tblCellMar>
            <w:top w:w="0" w:type="dxa"/>
            <w:left w:w="108" w:type="dxa"/>
            <w:bottom w:w="0" w:type="dxa"/>
            <w:right w:w="108" w:type="dxa"/>
          </w:tblCellMar>
        </w:tblPrEx>
        <w:trPr>
          <w:trHeight w:val="759" w:hRule="atLeast"/>
        </w:trPr>
        <w:tc>
          <w:tcPr>
            <w:tcW w:w="4544" w:type="dxa"/>
            <w:vAlign w:val="center"/>
          </w:tcPr>
          <w:p w14:paraId="117B4C38">
            <w:pPr>
              <w:snapToGrid w:val="0"/>
              <w:spacing w:line="360" w:lineRule="auto"/>
              <w:jc w:val="left"/>
              <w:rPr>
                <w:b/>
                <w:color w:val="auto"/>
                <w:szCs w:val="21"/>
                <w:highlight w:val="none"/>
              </w:rPr>
            </w:pPr>
            <w:r>
              <w:rPr>
                <w:color w:val="auto"/>
                <w:sz w:val="24"/>
                <w:highlight w:val="none"/>
              </w:rPr>
              <w:t>法定代表人</w:t>
            </w:r>
            <w:r>
              <w:rPr>
                <w:rFonts w:hint="eastAsia"/>
                <w:color w:val="auto"/>
                <w:sz w:val="24"/>
                <w:highlight w:val="none"/>
              </w:rPr>
              <w:t>或其</w:t>
            </w:r>
            <w:r>
              <w:rPr>
                <w:color w:val="auto"/>
                <w:sz w:val="24"/>
                <w:highlight w:val="none"/>
              </w:rPr>
              <w:t>委托代理人</w:t>
            </w:r>
            <w:r>
              <w:rPr>
                <w:rFonts w:hint="eastAsia"/>
                <w:color w:val="auto"/>
                <w:sz w:val="24"/>
                <w:highlight w:val="none"/>
              </w:rPr>
              <w:t>（签字或盖章）</w:t>
            </w:r>
            <w:r>
              <w:rPr>
                <w:color w:val="auto"/>
                <w:sz w:val="24"/>
                <w:highlight w:val="none"/>
              </w:rPr>
              <w:t>：</w:t>
            </w:r>
          </w:p>
        </w:tc>
        <w:tc>
          <w:tcPr>
            <w:tcW w:w="4743" w:type="dxa"/>
          </w:tcPr>
          <w:p w14:paraId="4227AF2D">
            <w:pPr>
              <w:snapToGrid w:val="0"/>
              <w:spacing w:line="360" w:lineRule="auto"/>
              <w:jc w:val="left"/>
              <w:rPr>
                <w:b/>
                <w:color w:val="auto"/>
                <w:szCs w:val="21"/>
                <w:highlight w:val="none"/>
              </w:rPr>
            </w:pPr>
            <w:r>
              <w:rPr>
                <w:color w:val="auto"/>
                <w:sz w:val="24"/>
                <w:highlight w:val="none"/>
              </w:rPr>
              <w:t>法定代表人</w:t>
            </w:r>
            <w:r>
              <w:rPr>
                <w:rFonts w:hint="eastAsia"/>
                <w:color w:val="auto"/>
                <w:sz w:val="24"/>
                <w:highlight w:val="none"/>
              </w:rPr>
              <w:t>或其</w:t>
            </w:r>
            <w:r>
              <w:rPr>
                <w:color w:val="auto"/>
                <w:sz w:val="24"/>
                <w:highlight w:val="none"/>
              </w:rPr>
              <w:t>委托代理人</w:t>
            </w:r>
            <w:r>
              <w:rPr>
                <w:rFonts w:hint="eastAsia"/>
                <w:color w:val="auto"/>
                <w:sz w:val="24"/>
                <w:highlight w:val="none"/>
              </w:rPr>
              <w:t>（签字或盖章）</w:t>
            </w:r>
            <w:r>
              <w:rPr>
                <w:color w:val="auto"/>
                <w:sz w:val="24"/>
                <w:highlight w:val="none"/>
              </w:rPr>
              <w:t>：</w:t>
            </w:r>
          </w:p>
        </w:tc>
      </w:tr>
      <w:tr w14:paraId="14637245">
        <w:tblPrEx>
          <w:tblCellMar>
            <w:top w:w="0" w:type="dxa"/>
            <w:left w:w="108" w:type="dxa"/>
            <w:bottom w:w="0" w:type="dxa"/>
            <w:right w:w="108" w:type="dxa"/>
          </w:tblCellMar>
        </w:tblPrEx>
        <w:trPr>
          <w:trHeight w:val="759" w:hRule="atLeast"/>
        </w:trPr>
        <w:tc>
          <w:tcPr>
            <w:tcW w:w="4544" w:type="dxa"/>
            <w:vAlign w:val="center"/>
          </w:tcPr>
          <w:p w14:paraId="2563218A">
            <w:pPr>
              <w:snapToGrid w:val="0"/>
              <w:spacing w:line="360" w:lineRule="auto"/>
              <w:jc w:val="left"/>
              <w:rPr>
                <w:b/>
                <w:color w:val="auto"/>
                <w:szCs w:val="21"/>
                <w:highlight w:val="none"/>
              </w:rPr>
            </w:pPr>
            <w:r>
              <w:rPr>
                <w:color w:val="auto"/>
                <w:sz w:val="24"/>
                <w:highlight w:val="none"/>
              </w:rPr>
              <w:t>电话：</w:t>
            </w:r>
          </w:p>
        </w:tc>
        <w:tc>
          <w:tcPr>
            <w:tcW w:w="4743" w:type="dxa"/>
          </w:tcPr>
          <w:p w14:paraId="670A6221">
            <w:pPr>
              <w:snapToGrid w:val="0"/>
              <w:spacing w:line="360" w:lineRule="auto"/>
              <w:jc w:val="left"/>
              <w:rPr>
                <w:b/>
                <w:color w:val="auto"/>
                <w:szCs w:val="21"/>
                <w:highlight w:val="none"/>
              </w:rPr>
            </w:pPr>
            <w:r>
              <w:rPr>
                <w:color w:val="auto"/>
                <w:sz w:val="24"/>
                <w:highlight w:val="none"/>
              </w:rPr>
              <w:t>电话：</w:t>
            </w:r>
          </w:p>
        </w:tc>
      </w:tr>
      <w:bookmarkEnd w:id="63"/>
    </w:tbl>
    <w:p w14:paraId="46237238">
      <w:pPr>
        <w:pStyle w:val="11"/>
        <w:ind w:firstLine="180"/>
        <w:rPr>
          <w:color w:val="auto"/>
          <w:highlight w:val="none"/>
        </w:rPr>
      </w:pPr>
    </w:p>
    <w:p w14:paraId="58E1AE2D">
      <w:pPr>
        <w:rPr>
          <w:color w:val="auto"/>
          <w:highlight w:val="none"/>
        </w:rPr>
      </w:pPr>
      <w:r>
        <w:rPr>
          <w:color w:val="auto"/>
          <w:highlight w:val="none"/>
        </w:rPr>
        <w:br w:type="page"/>
      </w:r>
    </w:p>
    <w:p w14:paraId="4E8563ED">
      <w:pPr>
        <w:pStyle w:val="11"/>
        <w:ind w:firstLine="180"/>
        <w:jc w:val="center"/>
        <w:rPr>
          <w:rFonts w:hint="eastAsia"/>
          <w:b/>
          <w:bCs/>
          <w:color w:val="auto"/>
          <w:sz w:val="44"/>
          <w:szCs w:val="44"/>
          <w:highlight w:val="none"/>
          <w:lang w:eastAsia="zh-CN"/>
        </w:rPr>
      </w:pPr>
      <w:r>
        <w:rPr>
          <w:rFonts w:hint="eastAsia"/>
          <w:b/>
          <w:bCs/>
          <w:color w:val="auto"/>
          <w:sz w:val="44"/>
          <w:szCs w:val="44"/>
          <w:highlight w:val="none"/>
          <w:lang w:eastAsia="zh-CN"/>
        </w:rPr>
        <w:t>安全生产合同</w:t>
      </w:r>
    </w:p>
    <w:p w14:paraId="47765628">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为</w:t>
      </w:r>
      <w:r>
        <w:rPr>
          <w:rFonts w:hint="eastAsia" w:ascii="宋体" w:hAnsi="宋体" w:cs="宋体"/>
          <w:color w:val="auto"/>
          <w:sz w:val="24"/>
          <w:highlight w:val="none"/>
          <w:u w:val="single"/>
        </w:rPr>
        <w:t>钦州港公共水域浅点整治研究</w:t>
      </w:r>
      <w:r>
        <w:rPr>
          <w:rFonts w:hint="eastAsia" w:ascii="宋体" w:hAnsi="宋体" w:cs="宋体"/>
          <w:snapToGrid w:val="0"/>
          <w:color w:val="auto"/>
          <w:kern w:val="0"/>
          <w:sz w:val="24"/>
          <w:highlight w:val="none"/>
        </w:rPr>
        <w:t>实施过程中创造安全、高效的工作环境，切实搞好本工程的安全管理工作，本工程业主</w:t>
      </w:r>
      <w:r>
        <w:rPr>
          <w:rFonts w:hint="eastAsia" w:ascii="宋体" w:hAnsi="宋体" w:cs="宋体"/>
          <w:snapToGrid w:val="0"/>
          <w:color w:val="auto"/>
          <w:kern w:val="0"/>
          <w:sz w:val="24"/>
          <w:highlight w:val="none"/>
          <w:u w:val="single"/>
        </w:rPr>
        <w:t>广西壮族自治区北部湾港港口管理局钦州分局</w:t>
      </w:r>
      <w:r>
        <w:rPr>
          <w:rFonts w:hint="eastAsia" w:ascii="宋体" w:hAnsi="宋体" w:cs="宋体"/>
          <w:snapToGrid w:val="0"/>
          <w:color w:val="auto"/>
          <w:kern w:val="0"/>
          <w:sz w:val="24"/>
          <w:highlight w:val="none"/>
        </w:rPr>
        <w:t>（以下简称“甲方”）与</w:t>
      </w:r>
      <w:r>
        <w:rPr>
          <w:rFonts w:hint="eastAsia" w:ascii="宋体" w:hAnsi="宋体" w:cs="宋体"/>
          <w:snapToGrid w:val="0"/>
          <w:color w:val="auto"/>
          <w:kern w:val="0"/>
          <w:sz w:val="24"/>
          <w:highlight w:val="none"/>
          <w:u w:val="single"/>
          <w:lang w:val="en-US" w:eastAsia="zh-CN"/>
        </w:rPr>
        <w:t xml:space="preserve">      </w:t>
      </w:r>
      <w:r>
        <w:rPr>
          <w:rFonts w:hint="eastAsia" w:ascii="宋体" w:hAnsi="宋体" w:cs="宋体"/>
          <w:snapToGrid w:val="0"/>
          <w:color w:val="auto"/>
          <w:kern w:val="0"/>
          <w:sz w:val="24"/>
          <w:highlight w:val="none"/>
        </w:rPr>
        <w:t>（以下简称“乙方”）特此签订安全生产合同：</w:t>
      </w:r>
    </w:p>
    <w:p w14:paraId="2A7A3F40">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一、甲方职责</w:t>
      </w:r>
    </w:p>
    <w:p w14:paraId="302B041B">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1．严格遵守国家有关安全生产的法律法规，认真执行合同中的有关安全要求。</w:t>
      </w:r>
    </w:p>
    <w:p w14:paraId="7C01963E">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2．按照“安全第一、预防为主”和坚持“管生产必须管安全”的原则进行安全生产管理，做到生产与安全工作同时计划、布置、检查、总结和评比。</w:t>
      </w:r>
    </w:p>
    <w:p w14:paraId="12E57BE1">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3．重要的安全设施必须坚持与主体工程“三同时”的原则，即：同时咨询、审批，同时施工，同时验收，投入使用。</w:t>
      </w:r>
    </w:p>
    <w:p w14:paraId="1B4F6CD2">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4．定期召开安全生产调度会，及时传达中央及地方有关安全生产的精神。</w:t>
      </w:r>
    </w:p>
    <w:p w14:paraId="31366CA8">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5．组织对乙方施工现场安全生产检查，监督乙方及时处理发现的各项安全隐患。</w:t>
      </w:r>
    </w:p>
    <w:p w14:paraId="30125376">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二、乙方职责</w:t>
      </w:r>
    </w:p>
    <w:p w14:paraId="15D5A966">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1．严格遵守国家有关安全生产的法律法规，执行交通部颁发的有关安全生产的规定，认真执行合同中的有安全要求。</w:t>
      </w:r>
    </w:p>
    <w:p w14:paraId="48129B09">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2．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条款的各项规定，做到生产与安全工作同时计划、布置、检查、总结和评比。</w:t>
      </w:r>
    </w:p>
    <w:p w14:paraId="2DAC147F">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3．建立健全安全生产责任制。从派往项目实施的勘察及咨询（包括临时雇请的民工）的安全生产管理系统必须做到纵向到底，一环不漏；各职能部门、人员的安全生产责任制做到横向到边，人人有责。现场设置的安全机构，应按施工人员的1%～3%配备安全员，专职负责所有员工的安全和治安保卫工作及预防事故的发生。安全机构人员，有权按有关规定发布指令，并采取保护性措施防止事故发生。</w:t>
      </w:r>
    </w:p>
    <w:p w14:paraId="2CD4CB91">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4．乙方在任何时候都应采取各种合理的预防措施，防止其员工发生任何违法、违禁、暴力或妨碍治安的行为。</w:t>
      </w:r>
    </w:p>
    <w:p w14:paraId="19BAE0A9">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5．乙方必须具有劳动安全管理部门颁发的安全生产证书，参加勘察及咨询的人员，必须接受安全技术教育，熟知和遵守本工种的各项安全技术操作规程，定期进行安全技术考核，合格者方准上岗操作。对于从事电气、起重、建筑登高架设作业、锅炉、压力容器、焊接、机动车船驾驶、爆破、潜水、瓦斯检验等特殊工种的人员。经过专业培训，获得《安全操作合格证》后，方准持证上岗。施工现场如出现特种作业无证操作现象时，乙方必须承担管理责任。</w:t>
      </w:r>
    </w:p>
    <w:p w14:paraId="05A6055C">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6．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6B3FDAC4">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7．操作人员上岗，必须按规定穿戴防护用品。施工负责人和安全检查员应随时检查劳动防护用品的穿戴情况，不按规定穿戴防护用品的人员不得上岗。</w:t>
      </w:r>
    </w:p>
    <w:p w14:paraId="1975A00A">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8．所有施工机具设备和高空作业的设备均应定期检查，并有安全员的签字记录，保证其经常处于完好状态；不合格的机具、设备和劳动保护用品严禁使用。</w:t>
      </w:r>
    </w:p>
    <w:p w14:paraId="4056BF0A">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9．施工中采用新技术、新工艺、新设备、新材料时，必须制定相应的安全技术措施，施工现场必须具有相关的安全标志牌。</w:t>
      </w:r>
    </w:p>
    <w:p w14:paraId="49A5A7EF">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10．乙方必须按照本工程项目特点，组织制定本工程实施中的生产安全事故应急救援预案；如果发生安全事故，应按照《国务院关于特大安全事故行政责任追究的规定》以及其它有关规定，及时上报有关部门，并坚持“三不放过”的原则，严肃处理相关责任人。</w:t>
      </w:r>
    </w:p>
    <w:p w14:paraId="66C42480">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三、违约责任</w:t>
      </w:r>
    </w:p>
    <w:p w14:paraId="378B3E09">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rPr>
        <w:t>如因甲方或乙方违约造成安全事故，将依法追究责任。</w:t>
      </w:r>
    </w:p>
    <w:p w14:paraId="58BAE778">
      <w:pPr>
        <w:snapToGrid w:val="0"/>
        <w:spacing w:line="360" w:lineRule="auto"/>
        <w:ind w:firstLine="561"/>
        <w:rPr>
          <w:rFonts w:hint="eastAsia" w:ascii="宋体" w:hAnsi="宋体" w:cs="宋体"/>
          <w:snapToGrid w:val="0"/>
          <w:color w:val="auto"/>
          <w:kern w:val="0"/>
          <w:sz w:val="24"/>
          <w:highlight w:val="none"/>
        </w:rPr>
      </w:pPr>
      <w:r>
        <w:rPr>
          <w:rFonts w:hint="eastAsia" w:ascii="宋体" w:hAnsi="宋体" w:cs="宋体"/>
          <w:snapToGrid w:val="0"/>
          <w:color w:val="auto"/>
          <w:kern w:val="0"/>
          <w:sz w:val="24"/>
          <w:highlight w:val="none"/>
          <w:lang w:eastAsia="zh-CN"/>
        </w:rPr>
        <w:t>本合同</w:t>
      </w:r>
      <w:r>
        <w:rPr>
          <w:rFonts w:hint="eastAsia" w:ascii="宋体" w:hAnsi="宋体" w:cs="宋体"/>
          <w:snapToGrid w:val="0"/>
          <w:color w:val="auto"/>
          <w:kern w:val="0"/>
          <w:sz w:val="24"/>
          <w:highlight w:val="none"/>
        </w:rPr>
        <w:t>一式陆份，甲方执伍份，乙方执壹份，具有同等法律效力。本合同由甲方法定代表人（或授权甲方）、乙方法定代表人（或授权甲方）签署并加盖合同专用章或单位公章后生效。</w:t>
      </w:r>
    </w:p>
    <w:tbl>
      <w:tblPr>
        <w:tblStyle w:val="25"/>
        <w:tblW w:w="9287" w:type="dxa"/>
        <w:tblInd w:w="0" w:type="dxa"/>
        <w:tblLayout w:type="fixed"/>
        <w:tblCellMar>
          <w:top w:w="0" w:type="dxa"/>
          <w:left w:w="108" w:type="dxa"/>
          <w:bottom w:w="0" w:type="dxa"/>
          <w:right w:w="108" w:type="dxa"/>
        </w:tblCellMar>
      </w:tblPr>
      <w:tblGrid>
        <w:gridCol w:w="4544"/>
        <w:gridCol w:w="4743"/>
      </w:tblGrid>
      <w:tr w14:paraId="130E7303">
        <w:tblPrEx>
          <w:tblCellMar>
            <w:top w:w="0" w:type="dxa"/>
            <w:left w:w="108" w:type="dxa"/>
            <w:bottom w:w="0" w:type="dxa"/>
            <w:right w:w="108" w:type="dxa"/>
          </w:tblCellMar>
        </w:tblPrEx>
        <w:trPr>
          <w:trHeight w:val="1643" w:hRule="atLeast"/>
        </w:trPr>
        <w:tc>
          <w:tcPr>
            <w:tcW w:w="4544" w:type="dxa"/>
            <w:vAlign w:val="center"/>
          </w:tcPr>
          <w:p w14:paraId="0FEE7C01">
            <w:pPr>
              <w:snapToGrid w:val="0"/>
              <w:spacing w:line="240" w:lineRule="atLeast"/>
              <w:rPr>
                <w:color w:val="auto"/>
                <w:sz w:val="24"/>
                <w:highlight w:val="none"/>
              </w:rPr>
            </w:pPr>
          </w:p>
          <w:p w14:paraId="52DD5C8D">
            <w:pPr>
              <w:snapToGrid w:val="0"/>
              <w:spacing w:line="240" w:lineRule="atLeast"/>
              <w:rPr>
                <w:rFonts w:ascii="宋体" w:hAnsi="宋体" w:cs="宋体"/>
                <w:snapToGrid w:val="0"/>
                <w:color w:val="auto"/>
                <w:kern w:val="0"/>
                <w:sz w:val="24"/>
                <w:highlight w:val="none"/>
              </w:rPr>
            </w:pPr>
            <w:r>
              <w:rPr>
                <w:color w:val="auto"/>
                <w:sz w:val="24"/>
                <w:highlight w:val="none"/>
              </w:rPr>
              <w:t>甲</w:t>
            </w:r>
            <w:r>
              <w:rPr>
                <w:rFonts w:hint="eastAsia" w:ascii="宋体" w:hAnsi="宋体" w:cs="宋体"/>
                <w:snapToGrid w:val="0"/>
                <w:color w:val="auto"/>
                <w:kern w:val="0"/>
                <w:sz w:val="24"/>
                <w:highlight w:val="none"/>
              </w:rPr>
              <w:t>方：广西壮族自治区北部湾港口</w:t>
            </w:r>
          </w:p>
          <w:p w14:paraId="19F44680">
            <w:pPr>
              <w:snapToGrid w:val="0"/>
              <w:spacing w:line="240" w:lineRule="atLeast"/>
              <w:ind w:firstLine="720" w:firstLineChars="300"/>
              <w:rPr>
                <w:rFonts w:ascii="宋体" w:hAnsi="宋体" w:cs="宋体"/>
                <w:snapToGrid w:val="0"/>
                <w:color w:val="auto"/>
                <w:kern w:val="0"/>
                <w:sz w:val="24"/>
                <w:highlight w:val="none"/>
              </w:rPr>
            </w:pPr>
            <w:r>
              <w:rPr>
                <w:rFonts w:hint="eastAsia" w:ascii="宋体" w:hAnsi="宋体" w:cs="宋体"/>
                <w:snapToGrid w:val="0"/>
                <w:color w:val="auto"/>
                <w:kern w:val="0"/>
                <w:sz w:val="24"/>
                <w:highlight w:val="none"/>
              </w:rPr>
              <w:t>管理局钦州分局</w:t>
            </w:r>
          </w:p>
          <w:p w14:paraId="7CE1BBC0">
            <w:pPr>
              <w:snapToGrid w:val="0"/>
              <w:spacing w:line="240" w:lineRule="atLeast"/>
              <w:jc w:val="center"/>
              <w:rPr>
                <w:color w:val="auto"/>
                <w:sz w:val="24"/>
                <w:highlight w:val="none"/>
              </w:rPr>
            </w:pPr>
          </w:p>
          <w:p w14:paraId="06ED1E64">
            <w:pPr>
              <w:snapToGrid w:val="0"/>
              <w:spacing w:line="240" w:lineRule="atLeast"/>
              <w:jc w:val="center"/>
              <w:rPr>
                <w:color w:val="auto"/>
                <w:sz w:val="24"/>
                <w:highlight w:val="none"/>
              </w:rPr>
            </w:pPr>
            <w:r>
              <w:rPr>
                <w:color w:val="auto"/>
                <w:sz w:val="24"/>
                <w:highlight w:val="none"/>
              </w:rPr>
              <w:t>（章）</w:t>
            </w:r>
          </w:p>
          <w:p w14:paraId="4560E35A">
            <w:pPr>
              <w:snapToGrid w:val="0"/>
              <w:spacing w:line="240" w:lineRule="atLeast"/>
              <w:jc w:val="center"/>
              <w:rPr>
                <w:color w:val="auto"/>
                <w:sz w:val="24"/>
                <w:highlight w:val="none"/>
              </w:rPr>
            </w:pPr>
          </w:p>
          <w:p w14:paraId="1346030E">
            <w:pPr>
              <w:snapToGrid w:val="0"/>
              <w:spacing w:line="240" w:lineRule="atLeast"/>
              <w:jc w:val="center"/>
              <w:rPr>
                <w:b/>
                <w:color w:val="auto"/>
                <w:szCs w:val="21"/>
                <w:highlight w:val="none"/>
              </w:rPr>
            </w:pPr>
            <w:r>
              <w:rPr>
                <w:color w:val="auto"/>
                <w:sz w:val="24"/>
                <w:highlight w:val="none"/>
              </w:rPr>
              <w:t xml:space="preserve">    年   月   日</w:t>
            </w:r>
          </w:p>
        </w:tc>
        <w:tc>
          <w:tcPr>
            <w:tcW w:w="4743" w:type="dxa"/>
          </w:tcPr>
          <w:p w14:paraId="03F5A991">
            <w:pPr>
              <w:snapToGrid w:val="0"/>
              <w:spacing w:line="240" w:lineRule="atLeast"/>
              <w:rPr>
                <w:color w:val="auto"/>
                <w:sz w:val="24"/>
                <w:highlight w:val="none"/>
              </w:rPr>
            </w:pPr>
            <w:r>
              <w:rPr>
                <w:color w:val="auto"/>
                <w:sz w:val="24"/>
                <w:highlight w:val="none"/>
              </w:rPr>
              <w:t>乙方：</w:t>
            </w:r>
          </w:p>
          <w:p w14:paraId="04265EE9">
            <w:pPr>
              <w:snapToGrid w:val="0"/>
              <w:spacing w:line="240" w:lineRule="atLeast"/>
              <w:jc w:val="center"/>
              <w:rPr>
                <w:color w:val="auto"/>
                <w:sz w:val="24"/>
                <w:highlight w:val="none"/>
              </w:rPr>
            </w:pPr>
          </w:p>
          <w:p w14:paraId="2A352832">
            <w:pPr>
              <w:snapToGrid w:val="0"/>
              <w:spacing w:line="240" w:lineRule="atLeast"/>
              <w:jc w:val="center"/>
              <w:rPr>
                <w:color w:val="auto"/>
                <w:sz w:val="24"/>
                <w:highlight w:val="none"/>
              </w:rPr>
            </w:pPr>
            <w:r>
              <w:rPr>
                <w:color w:val="auto"/>
                <w:sz w:val="24"/>
                <w:highlight w:val="none"/>
              </w:rPr>
              <w:t>（章）</w:t>
            </w:r>
          </w:p>
          <w:p w14:paraId="046AC143">
            <w:pPr>
              <w:snapToGrid w:val="0"/>
              <w:spacing w:line="240" w:lineRule="atLeast"/>
              <w:jc w:val="center"/>
              <w:rPr>
                <w:color w:val="auto"/>
                <w:sz w:val="24"/>
                <w:highlight w:val="none"/>
              </w:rPr>
            </w:pPr>
            <w:r>
              <w:rPr>
                <w:color w:val="auto"/>
                <w:sz w:val="24"/>
                <w:highlight w:val="none"/>
              </w:rPr>
              <w:t xml:space="preserve">        </w:t>
            </w:r>
          </w:p>
          <w:p w14:paraId="2E08646D">
            <w:pPr>
              <w:snapToGrid w:val="0"/>
              <w:spacing w:line="240" w:lineRule="atLeast"/>
              <w:jc w:val="center"/>
              <w:rPr>
                <w:color w:val="auto"/>
                <w:sz w:val="24"/>
                <w:highlight w:val="none"/>
              </w:rPr>
            </w:pPr>
            <w:r>
              <w:rPr>
                <w:color w:val="auto"/>
                <w:sz w:val="24"/>
                <w:highlight w:val="none"/>
              </w:rPr>
              <w:t xml:space="preserve">    年   月   日</w:t>
            </w:r>
          </w:p>
        </w:tc>
      </w:tr>
      <w:tr w14:paraId="0F8344C3">
        <w:tblPrEx>
          <w:tblCellMar>
            <w:top w:w="0" w:type="dxa"/>
            <w:left w:w="108" w:type="dxa"/>
            <w:bottom w:w="0" w:type="dxa"/>
            <w:right w:w="108" w:type="dxa"/>
          </w:tblCellMar>
        </w:tblPrEx>
        <w:trPr>
          <w:trHeight w:val="759" w:hRule="atLeast"/>
        </w:trPr>
        <w:tc>
          <w:tcPr>
            <w:tcW w:w="4544" w:type="dxa"/>
            <w:vAlign w:val="center"/>
          </w:tcPr>
          <w:p w14:paraId="712160BF">
            <w:pPr>
              <w:snapToGrid w:val="0"/>
              <w:spacing w:line="240" w:lineRule="atLeast"/>
              <w:ind w:left="1200" w:hanging="1200" w:hangingChars="500"/>
              <w:jc w:val="left"/>
              <w:rPr>
                <w:color w:val="auto"/>
                <w:sz w:val="24"/>
                <w:highlight w:val="none"/>
              </w:rPr>
            </w:pPr>
            <w:r>
              <w:rPr>
                <w:color w:val="auto"/>
                <w:sz w:val="24"/>
                <w:highlight w:val="none"/>
              </w:rPr>
              <w:t>单位地址：</w:t>
            </w:r>
            <w:r>
              <w:rPr>
                <w:rFonts w:hint="eastAsia"/>
                <w:color w:val="auto"/>
                <w:sz w:val="24"/>
                <w:highlight w:val="none"/>
              </w:rPr>
              <w:t>钦州市钦州港融合大街20号</w:t>
            </w:r>
          </w:p>
        </w:tc>
        <w:tc>
          <w:tcPr>
            <w:tcW w:w="4743" w:type="dxa"/>
          </w:tcPr>
          <w:p w14:paraId="1830E654">
            <w:pPr>
              <w:snapToGrid w:val="0"/>
              <w:spacing w:line="360" w:lineRule="auto"/>
              <w:jc w:val="left"/>
              <w:rPr>
                <w:b/>
                <w:color w:val="auto"/>
                <w:szCs w:val="21"/>
                <w:highlight w:val="none"/>
              </w:rPr>
            </w:pPr>
            <w:r>
              <w:rPr>
                <w:color w:val="auto"/>
                <w:sz w:val="24"/>
                <w:highlight w:val="none"/>
              </w:rPr>
              <w:t>单位地址：</w:t>
            </w:r>
          </w:p>
        </w:tc>
      </w:tr>
      <w:tr w14:paraId="44D42AB7">
        <w:tblPrEx>
          <w:tblCellMar>
            <w:top w:w="0" w:type="dxa"/>
            <w:left w:w="108" w:type="dxa"/>
            <w:bottom w:w="0" w:type="dxa"/>
            <w:right w:w="108" w:type="dxa"/>
          </w:tblCellMar>
        </w:tblPrEx>
        <w:trPr>
          <w:trHeight w:val="759" w:hRule="atLeast"/>
        </w:trPr>
        <w:tc>
          <w:tcPr>
            <w:tcW w:w="4544" w:type="dxa"/>
            <w:vAlign w:val="center"/>
          </w:tcPr>
          <w:p w14:paraId="21B8A8F2">
            <w:pPr>
              <w:snapToGrid w:val="0"/>
              <w:spacing w:line="360" w:lineRule="auto"/>
              <w:jc w:val="left"/>
              <w:rPr>
                <w:b/>
                <w:color w:val="auto"/>
                <w:szCs w:val="21"/>
                <w:highlight w:val="none"/>
              </w:rPr>
            </w:pPr>
            <w:r>
              <w:rPr>
                <w:color w:val="auto"/>
                <w:sz w:val="24"/>
                <w:highlight w:val="none"/>
              </w:rPr>
              <w:t>法定代表人</w:t>
            </w:r>
            <w:r>
              <w:rPr>
                <w:rFonts w:hint="eastAsia"/>
                <w:color w:val="auto"/>
                <w:sz w:val="24"/>
                <w:highlight w:val="none"/>
              </w:rPr>
              <w:t>或其</w:t>
            </w:r>
            <w:r>
              <w:rPr>
                <w:color w:val="auto"/>
                <w:sz w:val="24"/>
                <w:highlight w:val="none"/>
              </w:rPr>
              <w:t>委托代理人</w:t>
            </w:r>
            <w:r>
              <w:rPr>
                <w:rFonts w:hint="eastAsia"/>
                <w:color w:val="auto"/>
                <w:sz w:val="24"/>
                <w:highlight w:val="none"/>
              </w:rPr>
              <w:t>（签字或盖章）</w:t>
            </w:r>
            <w:r>
              <w:rPr>
                <w:color w:val="auto"/>
                <w:sz w:val="24"/>
                <w:highlight w:val="none"/>
              </w:rPr>
              <w:t>：</w:t>
            </w:r>
          </w:p>
        </w:tc>
        <w:tc>
          <w:tcPr>
            <w:tcW w:w="4743" w:type="dxa"/>
          </w:tcPr>
          <w:p w14:paraId="47A3A6AB">
            <w:pPr>
              <w:snapToGrid w:val="0"/>
              <w:spacing w:line="360" w:lineRule="auto"/>
              <w:jc w:val="left"/>
              <w:rPr>
                <w:b/>
                <w:color w:val="auto"/>
                <w:szCs w:val="21"/>
                <w:highlight w:val="none"/>
              </w:rPr>
            </w:pPr>
            <w:r>
              <w:rPr>
                <w:color w:val="auto"/>
                <w:sz w:val="24"/>
                <w:highlight w:val="none"/>
              </w:rPr>
              <w:t>法定代表人</w:t>
            </w:r>
            <w:r>
              <w:rPr>
                <w:rFonts w:hint="eastAsia"/>
                <w:color w:val="auto"/>
                <w:sz w:val="24"/>
                <w:highlight w:val="none"/>
              </w:rPr>
              <w:t>或其</w:t>
            </w:r>
            <w:r>
              <w:rPr>
                <w:color w:val="auto"/>
                <w:sz w:val="24"/>
                <w:highlight w:val="none"/>
              </w:rPr>
              <w:t>委托代理人</w:t>
            </w:r>
            <w:r>
              <w:rPr>
                <w:rFonts w:hint="eastAsia"/>
                <w:color w:val="auto"/>
                <w:sz w:val="24"/>
                <w:highlight w:val="none"/>
              </w:rPr>
              <w:t>（签字或盖章）</w:t>
            </w:r>
            <w:r>
              <w:rPr>
                <w:color w:val="auto"/>
                <w:sz w:val="24"/>
                <w:highlight w:val="none"/>
              </w:rPr>
              <w:t>：</w:t>
            </w:r>
          </w:p>
        </w:tc>
      </w:tr>
      <w:tr w14:paraId="5D78F331">
        <w:tblPrEx>
          <w:tblCellMar>
            <w:top w:w="0" w:type="dxa"/>
            <w:left w:w="108" w:type="dxa"/>
            <w:bottom w:w="0" w:type="dxa"/>
            <w:right w:w="108" w:type="dxa"/>
          </w:tblCellMar>
        </w:tblPrEx>
        <w:trPr>
          <w:trHeight w:val="759" w:hRule="atLeast"/>
        </w:trPr>
        <w:tc>
          <w:tcPr>
            <w:tcW w:w="4544" w:type="dxa"/>
            <w:vAlign w:val="center"/>
          </w:tcPr>
          <w:p w14:paraId="2EE6ABEF">
            <w:pPr>
              <w:snapToGrid w:val="0"/>
              <w:spacing w:line="360" w:lineRule="auto"/>
              <w:jc w:val="left"/>
              <w:rPr>
                <w:b/>
                <w:color w:val="auto"/>
                <w:szCs w:val="21"/>
                <w:highlight w:val="none"/>
              </w:rPr>
            </w:pPr>
            <w:r>
              <w:rPr>
                <w:color w:val="auto"/>
                <w:sz w:val="24"/>
                <w:highlight w:val="none"/>
              </w:rPr>
              <w:t>电话：</w:t>
            </w:r>
          </w:p>
        </w:tc>
        <w:tc>
          <w:tcPr>
            <w:tcW w:w="4743" w:type="dxa"/>
          </w:tcPr>
          <w:p w14:paraId="069989DD">
            <w:pPr>
              <w:snapToGrid w:val="0"/>
              <w:spacing w:line="360" w:lineRule="auto"/>
              <w:jc w:val="left"/>
              <w:rPr>
                <w:b/>
                <w:color w:val="auto"/>
                <w:szCs w:val="21"/>
                <w:highlight w:val="none"/>
              </w:rPr>
            </w:pPr>
            <w:r>
              <w:rPr>
                <w:color w:val="auto"/>
                <w:sz w:val="24"/>
                <w:highlight w:val="none"/>
              </w:rPr>
              <w:t>电话：</w:t>
            </w:r>
          </w:p>
        </w:tc>
      </w:tr>
    </w:tbl>
    <w:p w14:paraId="0D418BAD">
      <w:pPr>
        <w:ind w:firstLine="210" w:firstLineChars="100"/>
        <w:rPr>
          <w:rFonts w:ascii="宋体" w:hAnsi="宋体" w:cs="宋体"/>
          <w:color w:val="auto"/>
          <w:szCs w:val="21"/>
        </w:rPr>
      </w:pPr>
      <w:r>
        <w:rPr>
          <w:rFonts w:hint="eastAsia" w:ascii="宋体" w:hAnsi="宋体" w:cs="宋体"/>
          <w:color w:val="auto"/>
          <w:szCs w:val="21"/>
        </w:rPr>
        <w:t>　</w:t>
      </w:r>
    </w:p>
    <w:p w14:paraId="023EAB07">
      <w:pPr>
        <w:rPr>
          <w:rFonts w:ascii="Calibri" w:hAnsi="Calibri"/>
          <w:color w:val="auto"/>
          <w:szCs w:val="22"/>
        </w:rPr>
      </w:pPr>
    </w:p>
    <w:p w14:paraId="711290C1">
      <w:pPr>
        <w:pStyle w:val="11"/>
        <w:ind w:firstLine="0" w:firstLineChars="0"/>
        <w:jc w:val="both"/>
        <w:rPr>
          <w:rFonts w:hint="eastAsia" w:eastAsia="宋体"/>
          <w:b/>
          <w:bCs/>
          <w:color w:val="auto"/>
          <w:sz w:val="44"/>
          <w:szCs w:val="44"/>
          <w:highlight w:val="none"/>
          <w:lang w:eastAsia="zh-CN"/>
        </w:rPr>
      </w:pPr>
    </w:p>
    <w:sectPr>
      <w:footerReference r:id="rId9" w:type="first"/>
      <w:headerReference r:id="rId7" w:type="default"/>
      <w:footerReference r:id="rId8" w:type="default"/>
      <w:pgSz w:w="11906" w:h="16838"/>
      <w:pgMar w:top="1134" w:right="1134" w:bottom="1134" w:left="1134" w:header="851" w:footer="567"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幼圆">
    <w:panose1 w:val="0201050906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072221">
    <w:pPr>
      <w:pStyle w:val="12"/>
      <w:tabs>
        <w:tab w:val="center" w:pos="4439"/>
        <w:tab w:val="clear" w:pos="4153"/>
      </w:tabs>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7785" cy="131445"/>
              <wp:effectExtent l="0" t="0" r="0" b="0"/>
              <wp:wrapNone/>
              <wp:docPr id="7" name="文本框 7"/>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26E6B75B">
                          <w:pPr>
                            <w:pStyle w:val="12"/>
                          </w:pPr>
                          <w:r>
                            <w:fldChar w:fldCharType="begin"/>
                          </w:r>
                          <w:r>
                            <w:instrText xml:space="preserve"> PAGE  \* MERGEFORMAT </w:instrText>
                          </w:r>
                          <w:r>
                            <w:fldChar w:fldCharType="separate"/>
                          </w:r>
                          <w:r>
                            <w:t>20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131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4vdRNAAAAACAQAADwAAAAAAAAABACAAAAAiAAAAZHJzL2Rvd25yZXYueG1s&#10;UEsBAhQAFAAAAAgAh07iQNG89CvHAQAAigMAAA4AAAAAAAAAAQAgAAAAHwEAAGRycy9lMm9Eb2Mu&#10;eG1sUEsFBgAAAAAGAAYAWQEAAFgFAAAAAA==&#10;">
              <v:fill on="f" focussize="0,0"/>
              <v:stroke on="f"/>
              <v:imagedata o:title=""/>
              <o:lock v:ext="edit" aspectratio="f"/>
              <v:textbox inset="0mm,0mm,0mm,0mm" style="mso-fit-shape-to-text:t;">
                <w:txbxContent>
                  <w:p w14:paraId="26E6B75B">
                    <w:pPr>
                      <w:pStyle w:val="12"/>
                    </w:pPr>
                    <w:r>
                      <w:fldChar w:fldCharType="begin"/>
                    </w:r>
                    <w:r>
                      <w:instrText xml:space="preserve"> PAGE  \* MERGEFORMAT </w:instrText>
                    </w:r>
                    <w:r>
                      <w:fldChar w:fldCharType="separate"/>
                    </w:r>
                    <w:r>
                      <w:t>20</w:t>
                    </w:r>
                    <w:r>
                      <w:fldChar w:fldCharType="end"/>
                    </w:r>
                  </w:p>
                </w:txbxContent>
              </v:textbox>
            </v:shape>
          </w:pict>
        </mc:Fallback>
      </mc:AlternateContent>
    </w:r>
  </w:p>
  <w:p w14:paraId="37B508E8">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6BC059">
    <w:pPr>
      <w:pStyle w:val="12"/>
      <w:tabs>
        <w:tab w:val="center" w:pos="4439"/>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5303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14935" cy="153035"/>
                      </a:xfrm>
                      <a:prstGeom prst="rect">
                        <a:avLst/>
                      </a:prstGeom>
                      <a:noFill/>
                      <a:ln>
                        <a:noFill/>
                      </a:ln>
                    </wps:spPr>
                    <wps:txbx>
                      <w:txbxContent>
                        <w:p w14:paraId="4B43468E"/>
                      </w:txbxContent>
                    </wps:txbx>
                    <wps:bodyPr wrap="none" lIns="0" tIns="0" rIns="0" bIns="0">
                      <a:spAutoFit/>
                    </wps:bodyPr>
                  </wps:wsp>
                </a:graphicData>
              </a:graphic>
            </wp:anchor>
          </w:drawing>
        </mc:Choice>
        <mc:Fallback>
          <w:pict>
            <v:shape id="_x0000_s1026" o:spid="_x0000_s1026" o:spt="202" type="#_x0000_t202" style="position:absolute;left:0pt;margin-top:0pt;height:12.05pt;width:9.05pt;mso-position-horizontal:center;mso-position-horizontal-relative:margin;mso-wrap-style:none;z-index:251662336;mso-width-relative:page;mso-height-relative:page;" filled="f" stroked="f" coordsize="21600,21600" o:gfxdata="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AkFT5rQAAAAAwEAAA8AAAAAAAAAAQAgAAAAIgAAAGRycy9kb3ducmV2LnhtbFBL&#10;AQIUABQAAAAIAIdO4kBUxB8bxQEAAIsDAAAOAAAAAAAAAAEAIAAAAB8BAABkcnMvZTJvRG9jLnht&#10;bFBLBQYAAAAABgAGAFkBAABWBQAAAAA=&#10;">
              <v:fill on="f" focussize="0,0"/>
              <v:stroke on="f"/>
              <v:imagedata o:title=""/>
              <o:lock v:ext="edit" aspectratio="f"/>
              <v:textbox inset="0mm,0mm,0mm,0mm" style="mso-fit-shape-to-text:t;">
                <w:txbxContent>
                  <w:p w14:paraId="4B43468E"/>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83F0CA">
    <w:pPr>
      <w:pStyle w:val="12"/>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6" name="文本框 6"/>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03761F72">
                          <w:pPr>
                            <w:pStyle w:val="12"/>
                            <w:jc w:val="center"/>
                          </w:pPr>
                          <w:r>
                            <w:fldChar w:fldCharType="begin"/>
                          </w:r>
                          <w:r>
                            <w:instrText xml:space="preserve"> PAGE  \* MERGEFORMAT </w:instrText>
                          </w:r>
                          <w:r>
                            <w:fldChar w:fldCharType="separate"/>
                          </w:r>
                          <w:r>
                            <w:t>37</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D5X5J0AAAAAMBAAAPAAAAAAAAAAEAIAAAACIAAABkcnMvZG93bnJldi54bWxQ&#10;SwECFAAUAAAACACHTuJAt87d2MYBAACLAwAADgAAAAAAAAABACAAAAAfAQAAZHJzL2Uyb0RvYy54&#10;bWxQSwUGAAAAAAYABgBZAQAAVwUAAAAA&#10;">
              <v:fill on="f" focussize="0,0"/>
              <v:stroke on="f"/>
              <v:imagedata o:title=""/>
              <o:lock v:ext="edit" aspectratio="f"/>
              <v:textbox inset="0mm,0mm,0mm,0mm" style="mso-fit-shape-to-text:t;">
                <w:txbxContent>
                  <w:p w14:paraId="03761F72">
                    <w:pPr>
                      <w:pStyle w:val="12"/>
                      <w:jc w:val="center"/>
                    </w:pPr>
                    <w:r>
                      <w:fldChar w:fldCharType="begin"/>
                    </w:r>
                    <w:r>
                      <w:instrText xml:space="preserve"> PAGE  \* MERGEFORMAT </w:instrText>
                    </w:r>
                    <w:r>
                      <w:fldChar w:fldCharType="separate"/>
                    </w:r>
                    <w:r>
                      <w:t>37</w:t>
                    </w:r>
                    <w:r>
                      <w:fldChar w:fldCharType="end"/>
                    </w:r>
                  </w:p>
                </w:txbxContent>
              </v:textbox>
            </v:shape>
          </w:pict>
        </mc:Fallback>
      </mc:AlternateContent>
    </w:r>
  </w:p>
  <w:p w14:paraId="11B95DB0">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E022D2">
    <w:pPr>
      <w:pStyle w:val="1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6FFB685B">
                          <w:pPr>
                            <w:pStyle w:val="12"/>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Q+V+SdAAAAADAQAADwAAAAAAAAABACAAAAAiAAAAZHJzL2Rvd25yZXYueG1s&#10;UEsBAhQAFAAAAAgAh07iQDhQJ3LHAQAAiwMAAA4AAAAAAAAAAQAgAAAAHwEAAGRycy9lMm9Eb2Mu&#10;eG1sUEsFBgAAAAAGAAYAWQEAAFgFAAAAAA==&#10;">
              <v:fill on="f" focussize="0,0"/>
              <v:stroke on="f"/>
              <v:imagedata o:title=""/>
              <o:lock v:ext="edit" aspectratio="f"/>
              <v:textbox inset="0mm,0mm,0mm,0mm" style="mso-fit-shape-to-text:t;">
                <w:txbxContent>
                  <w:p w14:paraId="6FFB685B">
                    <w:pPr>
                      <w:pStyle w:val="12"/>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45D209">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FD1A87">
    <w:pPr>
      <w:pStyle w:val="18"/>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1A3E54">
    <w:pPr>
      <w:pStyle w:val="18"/>
      <w:pBdr>
        <w:bottom w:val="none" w:color="auto" w:sz="0" w:space="0"/>
      </w:pBdr>
      <w:tabs>
        <w:tab w:val="center" w:pos="0"/>
        <w:tab w:val="left" w:pos="8306"/>
        <w:tab w:val="clear" w:pos="4153"/>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1OTAyNjUwMzAwOTUzNDY4MDgzZGQ4NmQxNDljMzUifQ=="/>
  </w:docVars>
  <w:rsids>
    <w:rsidRoot w:val="34C93999"/>
    <w:rsid w:val="001077E5"/>
    <w:rsid w:val="00120044"/>
    <w:rsid w:val="001249E5"/>
    <w:rsid w:val="0024633E"/>
    <w:rsid w:val="002A321A"/>
    <w:rsid w:val="002E0DBD"/>
    <w:rsid w:val="00376890"/>
    <w:rsid w:val="003914E4"/>
    <w:rsid w:val="00437639"/>
    <w:rsid w:val="004759B0"/>
    <w:rsid w:val="004A514D"/>
    <w:rsid w:val="004B2FF5"/>
    <w:rsid w:val="004C23B8"/>
    <w:rsid w:val="005750CF"/>
    <w:rsid w:val="00644C63"/>
    <w:rsid w:val="0067215E"/>
    <w:rsid w:val="006D1841"/>
    <w:rsid w:val="006F21CF"/>
    <w:rsid w:val="0074337D"/>
    <w:rsid w:val="007F27CB"/>
    <w:rsid w:val="007F6099"/>
    <w:rsid w:val="0087406B"/>
    <w:rsid w:val="009545EB"/>
    <w:rsid w:val="00AF6A6D"/>
    <w:rsid w:val="00B47223"/>
    <w:rsid w:val="00B8222F"/>
    <w:rsid w:val="00BF6D0E"/>
    <w:rsid w:val="00C26B47"/>
    <w:rsid w:val="00C50E49"/>
    <w:rsid w:val="00C96759"/>
    <w:rsid w:val="00CC1689"/>
    <w:rsid w:val="00D028CA"/>
    <w:rsid w:val="00D45E9B"/>
    <w:rsid w:val="00D80D26"/>
    <w:rsid w:val="00D856B9"/>
    <w:rsid w:val="00DA6169"/>
    <w:rsid w:val="00E46AD2"/>
    <w:rsid w:val="00E73E52"/>
    <w:rsid w:val="00EA17BF"/>
    <w:rsid w:val="00FD2DED"/>
    <w:rsid w:val="015837E7"/>
    <w:rsid w:val="019404F8"/>
    <w:rsid w:val="01B97F5E"/>
    <w:rsid w:val="023A2582"/>
    <w:rsid w:val="0241242E"/>
    <w:rsid w:val="02532161"/>
    <w:rsid w:val="02FF20EF"/>
    <w:rsid w:val="03121CB1"/>
    <w:rsid w:val="03327053"/>
    <w:rsid w:val="03F86B1C"/>
    <w:rsid w:val="047D34C5"/>
    <w:rsid w:val="04EA18B4"/>
    <w:rsid w:val="04F80D9E"/>
    <w:rsid w:val="05017C52"/>
    <w:rsid w:val="056C0210"/>
    <w:rsid w:val="05AC2A96"/>
    <w:rsid w:val="05D073C6"/>
    <w:rsid w:val="06093262"/>
    <w:rsid w:val="0650484D"/>
    <w:rsid w:val="06B55160"/>
    <w:rsid w:val="06DD0D61"/>
    <w:rsid w:val="06E1398D"/>
    <w:rsid w:val="06E65352"/>
    <w:rsid w:val="074F5A1D"/>
    <w:rsid w:val="07635DC6"/>
    <w:rsid w:val="08640C24"/>
    <w:rsid w:val="08C77405"/>
    <w:rsid w:val="08FB7730"/>
    <w:rsid w:val="08FC70AE"/>
    <w:rsid w:val="0925661E"/>
    <w:rsid w:val="09CC40B1"/>
    <w:rsid w:val="0AEB7501"/>
    <w:rsid w:val="0B705B32"/>
    <w:rsid w:val="0B7F7B23"/>
    <w:rsid w:val="0C154AE6"/>
    <w:rsid w:val="0C71390F"/>
    <w:rsid w:val="0C780787"/>
    <w:rsid w:val="0CAC2B9A"/>
    <w:rsid w:val="0CFD1647"/>
    <w:rsid w:val="0D693D8C"/>
    <w:rsid w:val="0DC14423"/>
    <w:rsid w:val="0E630A57"/>
    <w:rsid w:val="0EC145B8"/>
    <w:rsid w:val="0ECC18E9"/>
    <w:rsid w:val="0F2D5DBF"/>
    <w:rsid w:val="0F87169C"/>
    <w:rsid w:val="10233173"/>
    <w:rsid w:val="102962AF"/>
    <w:rsid w:val="115351DC"/>
    <w:rsid w:val="11651569"/>
    <w:rsid w:val="11CE52C6"/>
    <w:rsid w:val="1238175F"/>
    <w:rsid w:val="12C435FB"/>
    <w:rsid w:val="13D50C28"/>
    <w:rsid w:val="13FF1575"/>
    <w:rsid w:val="14171240"/>
    <w:rsid w:val="144D4C62"/>
    <w:rsid w:val="14F25809"/>
    <w:rsid w:val="15055A09"/>
    <w:rsid w:val="153A762E"/>
    <w:rsid w:val="15D76C42"/>
    <w:rsid w:val="172C078B"/>
    <w:rsid w:val="178D2C0D"/>
    <w:rsid w:val="17F7561A"/>
    <w:rsid w:val="18517B09"/>
    <w:rsid w:val="185C36C6"/>
    <w:rsid w:val="18610CDC"/>
    <w:rsid w:val="189310B2"/>
    <w:rsid w:val="189A5F9C"/>
    <w:rsid w:val="18AE37F5"/>
    <w:rsid w:val="1930354C"/>
    <w:rsid w:val="199B6470"/>
    <w:rsid w:val="1A516B2E"/>
    <w:rsid w:val="1A5D3725"/>
    <w:rsid w:val="1A7E6175"/>
    <w:rsid w:val="1AA21A2F"/>
    <w:rsid w:val="1AE00FE3"/>
    <w:rsid w:val="1AFC6F03"/>
    <w:rsid w:val="1B23068A"/>
    <w:rsid w:val="1B8A054A"/>
    <w:rsid w:val="1B997902"/>
    <w:rsid w:val="1C01115D"/>
    <w:rsid w:val="1C7E3439"/>
    <w:rsid w:val="1C827473"/>
    <w:rsid w:val="1D216C8C"/>
    <w:rsid w:val="1D594AE3"/>
    <w:rsid w:val="1E2A6984"/>
    <w:rsid w:val="1F19738B"/>
    <w:rsid w:val="1F3033A9"/>
    <w:rsid w:val="1F3507CD"/>
    <w:rsid w:val="1F9C381F"/>
    <w:rsid w:val="200077CF"/>
    <w:rsid w:val="20880961"/>
    <w:rsid w:val="2091237A"/>
    <w:rsid w:val="20992FDD"/>
    <w:rsid w:val="20BD316F"/>
    <w:rsid w:val="20BE4ACB"/>
    <w:rsid w:val="20BF7061"/>
    <w:rsid w:val="20E95A81"/>
    <w:rsid w:val="20EC5803"/>
    <w:rsid w:val="21073EBF"/>
    <w:rsid w:val="21246D4B"/>
    <w:rsid w:val="21510141"/>
    <w:rsid w:val="21837F15"/>
    <w:rsid w:val="21AE2AB8"/>
    <w:rsid w:val="222B119F"/>
    <w:rsid w:val="22381879"/>
    <w:rsid w:val="224156DA"/>
    <w:rsid w:val="22EE13BE"/>
    <w:rsid w:val="23571659"/>
    <w:rsid w:val="236B2A0F"/>
    <w:rsid w:val="23D7424E"/>
    <w:rsid w:val="241237D2"/>
    <w:rsid w:val="242B31D9"/>
    <w:rsid w:val="24341D04"/>
    <w:rsid w:val="244D480A"/>
    <w:rsid w:val="2547125A"/>
    <w:rsid w:val="263A355B"/>
    <w:rsid w:val="263D5FAD"/>
    <w:rsid w:val="266E0A9E"/>
    <w:rsid w:val="26FE003E"/>
    <w:rsid w:val="27206206"/>
    <w:rsid w:val="272F01F7"/>
    <w:rsid w:val="274E2D73"/>
    <w:rsid w:val="27894FA0"/>
    <w:rsid w:val="27D2215A"/>
    <w:rsid w:val="27F76F67"/>
    <w:rsid w:val="281A0EA7"/>
    <w:rsid w:val="284877C3"/>
    <w:rsid w:val="28701767"/>
    <w:rsid w:val="28836A4D"/>
    <w:rsid w:val="28A144DE"/>
    <w:rsid w:val="28C606E7"/>
    <w:rsid w:val="29394A5F"/>
    <w:rsid w:val="29B82726"/>
    <w:rsid w:val="29C67536"/>
    <w:rsid w:val="2A4012A5"/>
    <w:rsid w:val="2AEA2DB3"/>
    <w:rsid w:val="2B8D1D21"/>
    <w:rsid w:val="2BDC1346"/>
    <w:rsid w:val="2BEC4909"/>
    <w:rsid w:val="2C26606D"/>
    <w:rsid w:val="2CB25CD8"/>
    <w:rsid w:val="2CDA6E57"/>
    <w:rsid w:val="2DB87C25"/>
    <w:rsid w:val="2DDB94E8"/>
    <w:rsid w:val="2DE4019A"/>
    <w:rsid w:val="2DFA422D"/>
    <w:rsid w:val="2ED82DE9"/>
    <w:rsid w:val="2F01691D"/>
    <w:rsid w:val="2F567BD9"/>
    <w:rsid w:val="2F93694C"/>
    <w:rsid w:val="2FA77026"/>
    <w:rsid w:val="2FB64A2C"/>
    <w:rsid w:val="30A36FF1"/>
    <w:rsid w:val="30AE74B8"/>
    <w:rsid w:val="30E57806"/>
    <w:rsid w:val="30E76319"/>
    <w:rsid w:val="31061FC9"/>
    <w:rsid w:val="31D65C22"/>
    <w:rsid w:val="32003B98"/>
    <w:rsid w:val="32FA5B5D"/>
    <w:rsid w:val="32FD48AE"/>
    <w:rsid w:val="330A7EFD"/>
    <w:rsid w:val="3330157F"/>
    <w:rsid w:val="33B81DE8"/>
    <w:rsid w:val="33FF67B9"/>
    <w:rsid w:val="34060480"/>
    <w:rsid w:val="34173F47"/>
    <w:rsid w:val="34A96881"/>
    <w:rsid w:val="34C93999"/>
    <w:rsid w:val="357065AB"/>
    <w:rsid w:val="35CB558F"/>
    <w:rsid w:val="35D703D8"/>
    <w:rsid w:val="36BA61CA"/>
    <w:rsid w:val="375816CF"/>
    <w:rsid w:val="375BD3A9"/>
    <w:rsid w:val="37795AC3"/>
    <w:rsid w:val="378219F7"/>
    <w:rsid w:val="37BB699A"/>
    <w:rsid w:val="381E7F4D"/>
    <w:rsid w:val="3861455A"/>
    <w:rsid w:val="38DE5291"/>
    <w:rsid w:val="38DF7CCF"/>
    <w:rsid w:val="390037A2"/>
    <w:rsid w:val="39691347"/>
    <w:rsid w:val="39B567E8"/>
    <w:rsid w:val="39FA28E7"/>
    <w:rsid w:val="3A1A6AE5"/>
    <w:rsid w:val="3A457788"/>
    <w:rsid w:val="3B4958D4"/>
    <w:rsid w:val="3B5B73B5"/>
    <w:rsid w:val="3BC04D42"/>
    <w:rsid w:val="3BE70255"/>
    <w:rsid w:val="3BE90E02"/>
    <w:rsid w:val="3C3C0578"/>
    <w:rsid w:val="3C812E4B"/>
    <w:rsid w:val="3CB6196A"/>
    <w:rsid w:val="3CDC4C15"/>
    <w:rsid w:val="3D5C7EC0"/>
    <w:rsid w:val="3D772DA7"/>
    <w:rsid w:val="3E110989"/>
    <w:rsid w:val="3E182556"/>
    <w:rsid w:val="3E1A3C76"/>
    <w:rsid w:val="3E3068D7"/>
    <w:rsid w:val="3EBF1848"/>
    <w:rsid w:val="3EC534C3"/>
    <w:rsid w:val="3F0C16C4"/>
    <w:rsid w:val="3F3F4625"/>
    <w:rsid w:val="3F6D4C9E"/>
    <w:rsid w:val="3F740BAA"/>
    <w:rsid w:val="3FA33136"/>
    <w:rsid w:val="3FAC745B"/>
    <w:rsid w:val="400224F5"/>
    <w:rsid w:val="403A1C8F"/>
    <w:rsid w:val="40592CD6"/>
    <w:rsid w:val="40EA5463"/>
    <w:rsid w:val="41166258"/>
    <w:rsid w:val="4139028D"/>
    <w:rsid w:val="415B5189"/>
    <w:rsid w:val="418E68AF"/>
    <w:rsid w:val="420D12B8"/>
    <w:rsid w:val="422453BF"/>
    <w:rsid w:val="424F6D01"/>
    <w:rsid w:val="429D02B3"/>
    <w:rsid w:val="43186F5D"/>
    <w:rsid w:val="441F3676"/>
    <w:rsid w:val="442E38B7"/>
    <w:rsid w:val="444035EC"/>
    <w:rsid w:val="445552E9"/>
    <w:rsid w:val="44BF2B1E"/>
    <w:rsid w:val="451821CA"/>
    <w:rsid w:val="451D4333"/>
    <w:rsid w:val="46B53161"/>
    <w:rsid w:val="46C2653A"/>
    <w:rsid w:val="46D71FE6"/>
    <w:rsid w:val="46DD59F3"/>
    <w:rsid w:val="46F26477"/>
    <w:rsid w:val="473453C9"/>
    <w:rsid w:val="477135F2"/>
    <w:rsid w:val="481D7ECC"/>
    <w:rsid w:val="487A43A9"/>
    <w:rsid w:val="48A24DF2"/>
    <w:rsid w:val="48EC2473"/>
    <w:rsid w:val="4910358D"/>
    <w:rsid w:val="49325BF9"/>
    <w:rsid w:val="4A7A7858"/>
    <w:rsid w:val="4A833DDE"/>
    <w:rsid w:val="4AAD1497"/>
    <w:rsid w:val="4AF60EA8"/>
    <w:rsid w:val="4B766399"/>
    <w:rsid w:val="4B9B6A46"/>
    <w:rsid w:val="4CAE4D4E"/>
    <w:rsid w:val="4D061CEA"/>
    <w:rsid w:val="4D3079B0"/>
    <w:rsid w:val="4D483CFB"/>
    <w:rsid w:val="4DC766D9"/>
    <w:rsid w:val="4DC837F1"/>
    <w:rsid w:val="4DE43E38"/>
    <w:rsid w:val="4E57207E"/>
    <w:rsid w:val="4E577EB0"/>
    <w:rsid w:val="4E643CA3"/>
    <w:rsid w:val="4E8B0801"/>
    <w:rsid w:val="4EEA0D24"/>
    <w:rsid w:val="4F906C8C"/>
    <w:rsid w:val="4FA15887"/>
    <w:rsid w:val="4FEB6B02"/>
    <w:rsid w:val="500110B1"/>
    <w:rsid w:val="51023383"/>
    <w:rsid w:val="51220301"/>
    <w:rsid w:val="517D19DC"/>
    <w:rsid w:val="52232583"/>
    <w:rsid w:val="522B77E3"/>
    <w:rsid w:val="52434B27"/>
    <w:rsid w:val="526C64D6"/>
    <w:rsid w:val="526F3A1A"/>
    <w:rsid w:val="543F741C"/>
    <w:rsid w:val="54431BBA"/>
    <w:rsid w:val="551366B0"/>
    <w:rsid w:val="551E6BFD"/>
    <w:rsid w:val="55412866"/>
    <w:rsid w:val="557E5D22"/>
    <w:rsid w:val="55E55DA1"/>
    <w:rsid w:val="55F52488"/>
    <w:rsid w:val="560B3A5A"/>
    <w:rsid w:val="5687029A"/>
    <w:rsid w:val="57011E43"/>
    <w:rsid w:val="5712706A"/>
    <w:rsid w:val="5758166F"/>
    <w:rsid w:val="587C2220"/>
    <w:rsid w:val="58F0571B"/>
    <w:rsid w:val="59800714"/>
    <w:rsid w:val="59C97EB4"/>
    <w:rsid w:val="59CD1026"/>
    <w:rsid w:val="59F34F31"/>
    <w:rsid w:val="5A6D0B73"/>
    <w:rsid w:val="5B94358B"/>
    <w:rsid w:val="5C213F6E"/>
    <w:rsid w:val="5C965BD2"/>
    <w:rsid w:val="5CB96961"/>
    <w:rsid w:val="5CBB20D7"/>
    <w:rsid w:val="5D4265D8"/>
    <w:rsid w:val="5D557CB0"/>
    <w:rsid w:val="5EA902B4"/>
    <w:rsid w:val="5F2F6EFE"/>
    <w:rsid w:val="5F334C6A"/>
    <w:rsid w:val="5F3956A4"/>
    <w:rsid w:val="5F3A9E27"/>
    <w:rsid w:val="5F7C5450"/>
    <w:rsid w:val="600357A2"/>
    <w:rsid w:val="600734E4"/>
    <w:rsid w:val="60132BBC"/>
    <w:rsid w:val="615C0D42"/>
    <w:rsid w:val="620D2688"/>
    <w:rsid w:val="625B6C51"/>
    <w:rsid w:val="62DE63D1"/>
    <w:rsid w:val="62DF24F6"/>
    <w:rsid w:val="634C54F0"/>
    <w:rsid w:val="6361115D"/>
    <w:rsid w:val="637D564F"/>
    <w:rsid w:val="638E7A78"/>
    <w:rsid w:val="642239BF"/>
    <w:rsid w:val="645111D2"/>
    <w:rsid w:val="6460463E"/>
    <w:rsid w:val="64C16798"/>
    <w:rsid w:val="64CC60FB"/>
    <w:rsid w:val="64EF4547"/>
    <w:rsid w:val="64F00543"/>
    <w:rsid w:val="64F41B5D"/>
    <w:rsid w:val="6519323D"/>
    <w:rsid w:val="65292C1E"/>
    <w:rsid w:val="65570F81"/>
    <w:rsid w:val="65586590"/>
    <w:rsid w:val="65701CA0"/>
    <w:rsid w:val="65A40EB0"/>
    <w:rsid w:val="65A42D3E"/>
    <w:rsid w:val="65A74E21"/>
    <w:rsid w:val="65BD23B8"/>
    <w:rsid w:val="668533B4"/>
    <w:rsid w:val="670912D2"/>
    <w:rsid w:val="670C06CC"/>
    <w:rsid w:val="68201F24"/>
    <w:rsid w:val="68303D68"/>
    <w:rsid w:val="683C3F47"/>
    <w:rsid w:val="689B6EBF"/>
    <w:rsid w:val="68A65864"/>
    <w:rsid w:val="68F86230"/>
    <w:rsid w:val="69054339"/>
    <w:rsid w:val="6A070584"/>
    <w:rsid w:val="6A2904FB"/>
    <w:rsid w:val="6A4175F2"/>
    <w:rsid w:val="6B982E39"/>
    <w:rsid w:val="6BB61B32"/>
    <w:rsid w:val="6BEA6F9E"/>
    <w:rsid w:val="6C0905E4"/>
    <w:rsid w:val="6C87065C"/>
    <w:rsid w:val="6CBA151E"/>
    <w:rsid w:val="6CC44F34"/>
    <w:rsid w:val="6D447383"/>
    <w:rsid w:val="6D45389E"/>
    <w:rsid w:val="6D617FAC"/>
    <w:rsid w:val="6D773F73"/>
    <w:rsid w:val="6D8048D6"/>
    <w:rsid w:val="6D806C9D"/>
    <w:rsid w:val="6D8845E0"/>
    <w:rsid w:val="6F763A18"/>
    <w:rsid w:val="6F9E1043"/>
    <w:rsid w:val="6FF03E60"/>
    <w:rsid w:val="6FFC562B"/>
    <w:rsid w:val="6FFF9462"/>
    <w:rsid w:val="701F6731"/>
    <w:rsid w:val="703E3ADE"/>
    <w:rsid w:val="7091303E"/>
    <w:rsid w:val="70D96BE4"/>
    <w:rsid w:val="719731AA"/>
    <w:rsid w:val="72600832"/>
    <w:rsid w:val="72626453"/>
    <w:rsid w:val="729A188F"/>
    <w:rsid w:val="732857F3"/>
    <w:rsid w:val="73813156"/>
    <w:rsid w:val="73BF31A6"/>
    <w:rsid w:val="742D5082"/>
    <w:rsid w:val="7444344F"/>
    <w:rsid w:val="7475174F"/>
    <w:rsid w:val="74842EFD"/>
    <w:rsid w:val="752217B8"/>
    <w:rsid w:val="75322959"/>
    <w:rsid w:val="75D24C43"/>
    <w:rsid w:val="75D9C1FB"/>
    <w:rsid w:val="76FD65E3"/>
    <w:rsid w:val="777F385B"/>
    <w:rsid w:val="77B7D072"/>
    <w:rsid w:val="7835413B"/>
    <w:rsid w:val="78643027"/>
    <w:rsid w:val="78FB3A2D"/>
    <w:rsid w:val="78FBE2E9"/>
    <w:rsid w:val="79751067"/>
    <w:rsid w:val="79ED83A9"/>
    <w:rsid w:val="79FA49EF"/>
    <w:rsid w:val="7A2111EE"/>
    <w:rsid w:val="7A971BA9"/>
    <w:rsid w:val="7B4406C9"/>
    <w:rsid w:val="7B8F3F36"/>
    <w:rsid w:val="7BC462D5"/>
    <w:rsid w:val="7BE424D4"/>
    <w:rsid w:val="7BE6385A"/>
    <w:rsid w:val="7BEDAB3F"/>
    <w:rsid w:val="7C773856"/>
    <w:rsid w:val="7CC876FF"/>
    <w:rsid w:val="7CCE07CD"/>
    <w:rsid w:val="7D6F7B12"/>
    <w:rsid w:val="7D9B0C98"/>
    <w:rsid w:val="7DA0340B"/>
    <w:rsid w:val="7DBF3E05"/>
    <w:rsid w:val="7DFE02F7"/>
    <w:rsid w:val="7E066731"/>
    <w:rsid w:val="7E7A34BE"/>
    <w:rsid w:val="7E8458A8"/>
    <w:rsid w:val="7ECB2820"/>
    <w:rsid w:val="7F2802D8"/>
    <w:rsid w:val="7F6530A9"/>
    <w:rsid w:val="7F6F6FA7"/>
    <w:rsid w:val="7FB73BE7"/>
    <w:rsid w:val="7FE722DE"/>
    <w:rsid w:val="7FFAE390"/>
    <w:rsid w:val="7FFDCA44"/>
    <w:rsid w:val="7FFF7199"/>
    <w:rsid w:val="8EEEE644"/>
    <w:rsid w:val="9DFE7EA4"/>
    <w:rsid w:val="B7CE34E3"/>
    <w:rsid w:val="BBEFBB2E"/>
    <w:rsid w:val="BD68E148"/>
    <w:rsid w:val="BFABC73B"/>
    <w:rsid w:val="BFBD0CF5"/>
    <w:rsid w:val="CB7B2F97"/>
    <w:rsid w:val="CBB7A07C"/>
    <w:rsid w:val="CFFC5471"/>
    <w:rsid w:val="E34D1BFE"/>
    <w:rsid w:val="EFBFA2F6"/>
    <w:rsid w:val="F8BBC25D"/>
    <w:rsid w:val="FA6F2BB0"/>
    <w:rsid w:val="FD3651C9"/>
    <w:rsid w:val="FDFB5E4E"/>
    <w:rsid w:val="FE3E1195"/>
    <w:rsid w:val="FF4FCBD6"/>
    <w:rsid w:val="FFDAD0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nhideWhenUsed="0" w:uiPriority="9"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iPriority="99"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jc w:val="center"/>
      <w:outlineLvl w:val="1"/>
    </w:pPr>
    <w:rPr>
      <w:rFonts w:ascii="黑体" w:hAnsi="宋体" w:eastAsia="黑体"/>
      <w:b/>
      <w:bCs/>
      <w:sz w:val="36"/>
      <w:szCs w:val="32"/>
    </w:rPr>
  </w:style>
  <w:style w:type="paragraph" w:styleId="4">
    <w:name w:val="heading 5"/>
    <w:basedOn w:val="1"/>
    <w:next w:val="5"/>
    <w:qFormat/>
    <w:uiPriority w:val="9"/>
    <w:pPr>
      <w:keepNext/>
      <w:keepLines/>
      <w:spacing w:before="280" w:after="290" w:line="376" w:lineRule="auto"/>
      <w:outlineLvl w:val="4"/>
    </w:pPr>
    <w:rPr>
      <w:b/>
      <w:bCs/>
      <w:sz w:val="28"/>
      <w:szCs w:val="28"/>
    </w:rPr>
  </w:style>
  <w:style w:type="paragraph" w:styleId="6">
    <w:name w:val="heading 6"/>
    <w:basedOn w:val="1"/>
    <w:next w:val="1"/>
    <w:qFormat/>
    <w:uiPriority w:val="0"/>
    <w:pPr>
      <w:keepNext/>
      <w:keepLines/>
      <w:spacing w:line="360" w:lineRule="auto"/>
      <w:outlineLvl w:val="5"/>
    </w:pPr>
    <w:rPr>
      <w:b/>
      <w:bCs/>
      <w:szCs w:val="32"/>
    </w:rPr>
  </w:style>
  <w:style w:type="character" w:default="1" w:styleId="26">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annotation text"/>
    <w:basedOn w:val="1"/>
    <w:link w:val="29"/>
    <w:qFormat/>
    <w:uiPriority w:val="0"/>
    <w:pPr>
      <w:jc w:val="left"/>
    </w:pPr>
  </w:style>
  <w:style w:type="paragraph" w:styleId="9">
    <w:name w:val="Body Text 3"/>
    <w:basedOn w:val="1"/>
    <w:unhideWhenUsed/>
    <w:qFormat/>
    <w:uiPriority w:val="99"/>
    <w:pPr>
      <w:spacing w:after="120"/>
    </w:pPr>
    <w:rPr>
      <w:sz w:val="16"/>
      <w:szCs w:val="16"/>
    </w:rPr>
  </w:style>
  <w:style w:type="paragraph" w:styleId="10">
    <w:name w:val="Body Text"/>
    <w:basedOn w:val="1"/>
    <w:next w:val="11"/>
    <w:unhideWhenUsed/>
    <w:qFormat/>
    <w:uiPriority w:val="0"/>
    <w:pPr>
      <w:spacing w:after="120"/>
    </w:pPr>
  </w:style>
  <w:style w:type="paragraph" w:customStyle="1" w:styleId="11">
    <w:name w:val="Body Text First Indent1"/>
    <w:basedOn w:val="12"/>
    <w:qFormat/>
    <w:uiPriority w:val="0"/>
    <w:pPr>
      <w:tabs>
        <w:tab w:val="center" w:pos="4153"/>
        <w:tab w:val="right" w:pos="8306"/>
      </w:tabs>
      <w:spacing w:line="360" w:lineRule="auto"/>
      <w:ind w:firstLine="420" w:firstLineChars="100"/>
    </w:pPr>
  </w:style>
  <w:style w:type="paragraph" w:styleId="12">
    <w:name w:val="footer"/>
    <w:basedOn w:val="1"/>
    <w:unhideWhenUsed/>
    <w:qFormat/>
    <w:uiPriority w:val="99"/>
    <w:pPr>
      <w:tabs>
        <w:tab w:val="center" w:pos="4153"/>
        <w:tab w:val="right" w:pos="8306"/>
      </w:tabs>
      <w:snapToGrid w:val="0"/>
      <w:jc w:val="left"/>
    </w:pPr>
    <w:rPr>
      <w:kern w:val="0"/>
      <w:sz w:val="18"/>
      <w:szCs w:val="18"/>
    </w:rPr>
  </w:style>
  <w:style w:type="paragraph" w:styleId="13">
    <w:name w:val="Body Text Indent"/>
    <w:basedOn w:val="1"/>
    <w:next w:val="1"/>
    <w:qFormat/>
    <w:uiPriority w:val="0"/>
    <w:pPr>
      <w:ind w:firstLine="830" w:firstLineChars="352"/>
    </w:pPr>
    <w:rPr>
      <w:rFonts w:ascii="仿宋_GB2312" w:eastAsia="仿宋_GB2312"/>
      <w:kern w:val="0"/>
      <w:sz w:val="32"/>
      <w:szCs w:val="20"/>
    </w:rPr>
  </w:style>
  <w:style w:type="paragraph" w:styleId="14">
    <w:name w:val="List 2"/>
    <w:basedOn w:val="1"/>
    <w:unhideWhenUsed/>
    <w:qFormat/>
    <w:uiPriority w:val="99"/>
    <w:pPr>
      <w:ind w:left="100" w:leftChars="200" w:hanging="200" w:hangingChars="200"/>
      <w:contextualSpacing/>
    </w:pPr>
  </w:style>
  <w:style w:type="paragraph" w:styleId="15">
    <w:name w:val="toc 3"/>
    <w:basedOn w:val="1"/>
    <w:next w:val="1"/>
    <w:qFormat/>
    <w:uiPriority w:val="0"/>
    <w:pPr>
      <w:ind w:left="840" w:leftChars="400"/>
    </w:pPr>
  </w:style>
  <w:style w:type="paragraph" w:styleId="16">
    <w:name w:val="Plain Text"/>
    <w:basedOn w:val="1"/>
    <w:next w:val="1"/>
    <w:qFormat/>
    <w:uiPriority w:val="0"/>
    <w:rPr>
      <w:rFonts w:ascii="宋体" w:hAnsi="Courier New"/>
      <w:kern w:val="0"/>
      <w:sz w:val="20"/>
      <w:szCs w:val="21"/>
    </w:rPr>
  </w:style>
  <w:style w:type="paragraph" w:styleId="17">
    <w:name w:val="Balloon Text"/>
    <w:basedOn w:val="1"/>
    <w:link w:val="38"/>
    <w:qFormat/>
    <w:uiPriority w:val="0"/>
    <w:rPr>
      <w:sz w:val="18"/>
      <w:szCs w:val="18"/>
    </w:rPr>
  </w:style>
  <w:style w:type="paragraph" w:styleId="18">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9">
    <w:name w:val="toc 1"/>
    <w:basedOn w:val="1"/>
    <w:next w:val="1"/>
    <w:unhideWhenUsed/>
    <w:qFormat/>
    <w:uiPriority w:val="39"/>
  </w:style>
  <w:style w:type="paragraph" w:styleId="20">
    <w:name w:val="List"/>
    <w:basedOn w:val="1"/>
    <w:qFormat/>
    <w:uiPriority w:val="0"/>
    <w:pPr>
      <w:ind w:left="200" w:hanging="200" w:hangingChars="200"/>
    </w:pPr>
    <w:rPr>
      <w:sz w:val="28"/>
    </w:rPr>
  </w:style>
  <w:style w:type="paragraph" w:styleId="21">
    <w:name w:val="toc 2"/>
    <w:basedOn w:val="1"/>
    <w:next w:val="1"/>
    <w:unhideWhenUsed/>
    <w:qFormat/>
    <w:uiPriority w:val="39"/>
    <w:pPr>
      <w:tabs>
        <w:tab w:val="right" w:leader="dot" w:pos="8296"/>
      </w:tabs>
      <w:ind w:left="420" w:leftChars="200"/>
    </w:pPr>
  </w:style>
  <w:style w:type="paragraph" w:styleId="22">
    <w:name w:val="Message Header"/>
    <w:basedOn w:val="1"/>
    <w:next w:val="10"/>
    <w:qFormat/>
    <w:uiPriority w:val="0"/>
    <w:pPr>
      <w:pBdr>
        <w:top w:val="none" w:color="auto" w:sz="0" w:space="1"/>
        <w:left w:val="none" w:color="auto" w:sz="0" w:space="1"/>
        <w:bottom w:val="none" w:color="auto" w:sz="0" w:space="1"/>
        <w:right w:val="none" w:color="auto" w:sz="0" w:space="1"/>
      </w:pBdr>
      <w:shd w:val="pct20" w:color="auto" w:fill="auto"/>
      <w:kinsoku w:val="0"/>
      <w:overflowPunct w:val="0"/>
      <w:spacing w:line="360" w:lineRule="auto"/>
    </w:pPr>
    <w:rPr>
      <w:rFonts w:ascii="Arial" w:hAnsi="Arial"/>
      <w:sz w:val="28"/>
    </w:rPr>
  </w:style>
  <w:style w:type="paragraph" w:styleId="23">
    <w:name w:val="annotation subject"/>
    <w:basedOn w:val="8"/>
    <w:next w:val="8"/>
    <w:link w:val="30"/>
    <w:qFormat/>
    <w:uiPriority w:val="0"/>
    <w:rPr>
      <w:b/>
      <w:bCs/>
    </w:rPr>
  </w:style>
  <w:style w:type="paragraph" w:styleId="24">
    <w:name w:val="Body Text First Indent 2"/>
    <w:basedOn w:val="13"/>
    <w:next w:val="1"/>
    <w:qFormat/>
    <w:uiPriority w:val="0"/>
    <w:pPr>
      <w:tabs>
        <w:tab w:val="left" w:pos="0"/>
        <w:tab w:val="left" w:pos="420"/>
      </w:tabs>
      <w:wordWrap w:val="0"/>
      <w:topLinePunct/>
      <w:spacing w:line="360" w:lineRule="auto"/>
      <w:ind w:firstLine="480" w:firstLineChars="200"/>
    </w:pPr>
    <w:rPr>
      <w:rFonts w:ascii="幼圆" w:eastAsia="幼圆"/>
      <w:bCs/>
      <w:color w:val="000000"/>
      <w:spacing w:val="20"/>
      <w:sz w:val="24"/>
      <w:szCs w:val="24"/>
    </w:rPr>
  </w:style>
  <w:style w:type="character" w:styleId="27">
    <w:name w:val="page number"/>
    <w:qFormat/>
    <w:uiPriority w:val="0"/>
  </w:style>
  <w:style w:type="character" w:styleId="28">
    <w:name w:val="annotation reference"/>
    <w:qFormat/>
    <w:uiPriority w:val="0"/>
    <w:rPr>
      <w:sz w:val="21"/>
      <w:szCs w:val="21"/>
    </w:rPr>
  </w:style>
  <w:style w:type="character" w:customStyle="1" w:styleId="29">
    <w:name w:val="批注文字 字符"/>
    <w:link w:val="8"/>
    <w:qFormat/>
    <w:uiPriority w:val="0"/>
    <w:rPr>
      <w:kern w:val="2"/>
      <w:sz w:val="21"/>
      <w:szCs w:val="24"/>
    </w:rPr>
  </w:style>
  <w:style w:type="character" w:customStyle="1" w:styleId="30">
    <w:name w:val="批注主题 字符"/>
    <w:link w:val="23"/>
    <w:qFormat/>
    <w:uiPriority w:val="0"/>
    <w:rPr>
      <w:b/>
      <w:bCs/>
      <w:kern w:val="2"/>
      <w:sz w:val="21"/>
      <w:szCs w:val="24"/>
    </w:rPr>
  </w:style>
  <w:style w:type="paragraph" w:customStyle="1" w:styleId="31">
    <w:name w:val="表格文字"/>
    <w:basedOn w:val="1"/>
    <w:next w:val="10"/>
    <w:qFormat/>
    <w:uiPriority w:val="0"/>
    <w:pPr>
      <w:spacing w:before="25" w:after="25"/>
      <w:jc w:val="left"/>
    </w:pPr>
    <w:rPr>
      <w:bCs/>
      <w:spacing w:val="10"/>
      <w:kern w:val="0"/>
      <w:sz w:val="24"/>
      <w:szCs w:val="20"/>
    </w:rPr>
  </w:style>
  <w:style w:type="paragraph" w:customStyle="1" w:styleId="32">
    <w:name w:val="Default"/>
    <w:qFormat/>
    <w:uiPriority w:val="0"/>
    <w:pPr>
      <w:widowControl w:val="0"/>
      <w:autoSpaceDE w:val="0"/>
      <w:autoSpaceDN w:val="0"/>
      <w:adjustRightInd w:val="0"/>
    </w:pPr>
    <w:rPr>
      <w:rFonts w:hint="eastAsia" w:ascii="方正小标宋简体" w:hAnsi="方正小标宋简体" w:eastAsia="方正小标宋简体" w:cs="Times New Roman"/>
      <w:color w:val="000000"/>
      <w:sz w:val="24"/>
      <w:szCs w:val="22"/>
      <w:lang w:val="en-US" w:eastAsia="zh-CN" w:bidi="ar-SA"/>
    </w:rPr>
  </w:style>
  <w:style w:type="paragraph" w:customStyle="1" w:styleId="33">
    <w:name w:val="题目"/>
    <w:basedOn w:val="1"/>
    <w:qFormat/>
    <w:uiPriority w:val="0"/>
    <w:pPr>
      <w:spacing w:beforeLines="200" w:afterLines="100"/>
      <w:jc w:val="center"/>
    </w:pPr>
    <w:rPr>
      <w:rFonts w:ascii="黑体" w:eastAsia="黑体"/>
      <w:color w:val="C00000"/>
      <w:sz w:val="28"/>
      <w:szCs w:val="28"/>
    </w:rPr>
  </w:style>
  <w:style w:type="paragraph" w:styleId="34">
    <w:name w:val="List Paragraph"/>
    <w:basedOn w:val="1"/>
    <w:qFormat/>
    <w:uiPriority w:val="99"/>
    <w:pPr>
      <w:ind w:firstLine="420" w:firstLineChars="200"/>
    </w:pPr>
    <w:rPr>
      <w:snapToGrid w:val="0"/>
      <w:kern w:val="0"/>
    </w:rPr>
  </w:style>
  <w:style w:type="character" w:customStyle="1" w:styleId="35">
    <w:name w:val="font11"/>
    <w:qFormat/>
    <w:uiPriority w:val="0"/>
    <w:rPr>
      <w:rFonts w:hint="eastAsia" w:ascii="微软雅黑" w:hAnsi="微软雅黑" w:eastAsia="微软雅黑" w:cs="微软雅黑"/>
      <w:color w:val="000000"/>
      <w:sz w:val="20"/>
      <w:szCs w:val="20"/>
      <w:u w:val="none"/>
    </w:rPr>
  </w:style>
  <w:style w:type="paragraph" w:customStyle="1" w:styleId="36">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37">
    <w:name w:val="正文中"/>
    <w:basedOn w:val="1"/>
    <w:next w:val="1"/>
    <w:qFormat/>
    <w:uiPriority w:val="0"/>
    <w:pPr>
      <w:spacing w:line="440" w:lineRule="exact"/>
      <w:jc w:val="center"/>
    </w:pPr>
    <w:rPr>
      <w:rFonts w:ascii="仿宋_GB2312" w:hAnsi="宋体" w:eastAsia="仿宋_GB2312"/>
      <w:sz w:val="28"/>
    </w:rPr>
  </w:style>
  <w:style w:type="character" w:customStyle="1" w:styleId="38">
    <w:name w:val="批注框文本 字符"/>
    <w:basedOn w:val="26"/>
    <w:link w:val="17"/>
    <w:qFormat/>
    <w:uiPriority w:val="0"/>
    <w:rPr>
      <w:kern w:val="2"/>
      <w:sz w:val="18"/>
      <w:szCs w:val="18"/>
    </w:rPr>
  </w:style>
  <w:style w:type="paragraph" w:customStyle="1" w:styleId="39">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14962</Words>
  <Characters>15246</Characters>
  <Lines>117</Lines>
  <Paragraphs>33</Paragraphs>
  <TotalTime>13</TotalTime>
  <ScaleCrop>false</ScaleCrop>
  <LinksUpToDate>false</LinksUpToDate>
  <CharactersWithSpaces>16354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2025-05-30T01:13:00Z</dcterms:created>
  <dc:creator>sugeke2</dc:creator>
  <cp:lastModifiedBy>sugeke2</cp:lastModifiedBy>
  <cp:lastPrinted>2024-01-18T10:33:00Z</cp:lastPrinted>
  <dcterms:modified xsi:type="dcterms:W3CDTF">2025-07-04T10:21:12Z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AC71EEE0769A40C0B2EB25FB9986AA7C_13</vt:lpwstr>
  </property>
  <property fmtid="{D5CDD505-2E9C-101B-9397-08002B2CF9AE}" pid="4" name="KSOTemplateDocerSaveRecord">
    <vt:lpwstr>eyJoZGlkIjoiNjViYWI4NDcyOGM2YTM0N2YzMDM3MzYxZjhiYzJiYzgiLCJ1c2VySWQiOiIyMTU1NjE4NDUifQ==</vt:lpwstr>
  </property>
</Properties>
</file>