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5F946">
      <w:pPr>
        <w:pStyle w:val="2"/>
        <w:rPr>
          <w:highlight w:val="none"/>
        </w:rPr>
      </w:pPr>
      <w:bookmarkStart w:id="46" w:name="_GoBack"/>
      <w:bookmarkEnd w:id="46"/>
    </w:p>
    <w:p w14:paraId="2F16A31D">
      <w:pPr>
        <w:snapToGrid w:val="0"/>
        <w:spacing w:before="156" w:beforeLines="50" w:line="560" w:lineRule="exact"/>
        <w:jc w:val="center"/>
        <w:rPr>
          <w:rFonts w:hint="eastAsia" w:ascii="方正小标宋_GBK" w:hAnsi="方正小标宋_GBK" w:eastAsia="方正小标宋_GBK" w:cs="方正小标宋_GBK"/>
          <w:sz w:val="48"/>
          <w:szCs w:val="48"/>
          <w:highlight w:val="none"/>
        </w:rPr>
      </w:pPr>
      <w:r>
        <w:rPr>
          <w:rFonts w:hint="eastAsia" w:ascii="方正小标宋_GBK" w:hAnsi="方正小标宋_GBK" w:eastAsia="方正小标宋_GBK" w:cs="方正小标宋_GBK"/>
          <w:sz w:val="48"/>
          <w:szCs w:val="48"/>
          <w:highlight w:val="none"/>
        </w:rPr>
        <w:t>2025年北部湾港钦州港域港口设施保安演习委托业务服务</w:t>
      </w:r>
    </w:p>
    <w:p w14:paraId="714C1F24">
      <w:pPr>
        <w:snapToGrid w:val="0"/>
        <w:spacing w:before="156" w:beforeLines="50" w:line="560" w:lineRule="exact"/>
        <w:jc w:val="center"/>
        <w:rPr>
          <w:rFonts w:ascii="黑体" w:hAnsi="黑体" w:eastAsia="黑体" w:cs="黑体"/>
          <w:sz w:val="72"/>
          <w:szCs w:val="72"/>
          <w:highlight w:val="none"/>
        </w:rPr>
      </w:pPr>
    </w:p>
    <w:p w14:paraId="5C01111F">
      <w:pPr>
        <w:snapToGrid w:val="0"/>
        <w:spacing w:before="156" w:beforeLines="50" w:line="560" w:lineRule="exact"/>
        <w:jc w:val="center"/>
        <w:rPr>
          <w:rFonts w:ascii="黑体" w:hAnsi="黑体" w:eastAsia="黑体" w:cs="黑体"/>
          <w:sz w:val="72"/>
          <w:szCs w:val="72"/>
          <w:highlight w:val="none"/>
        </w:rPr>
      </w:pPr>
    </w:p>
    <w:p w14:paraId="0DC8307C">
      <w:pPr>
        <w:snapToGrid w:val="0"/>
        <w:spacing w:before="156" w:beforeLines="50" w:line="560" w:lineRule="exact"/>
        <w:jc w:val="center"/>
        <w:rPr>
          <w:rFonts w:ascii="黑体" w:hAnsi="黑体" w:eastAsia="黑体" w:cs="黑体"/>
          <w:sz w:val="72"/>
          <w:szCs w:val="72"/>
          <w:highlight w:val="none"/>
        </w:rPr>
      </w:pPr>
    </w:p>
    <w:p w14:paraId="197E1E81">
      <w:pPr>
        <w:snapToGrid w:val="0"/>
        <w:spacing w:before="156" w:beforeLines="50" w:line="560" w:lineRule="exact"/>
        <w:jc w:val="center"/>
        <w:rPr>
          <w:rFonts w:ascii="黑体" w:hAnsi="黑体" w:eastAsia="黑体" w:cs="黑体"/>
          <w:sz w:val="72"/>
          <w:szCs w:val="72"/>
          <w:highlight w:val="none"/>
        </w:rPr>
      </w:pPr>
    </w:p>
    <w:p w14:paraId="3F443326">
      <w:pPr>
        <w:pStyle w:val="2"/>
        <w:rPr>
          <w:highlight w:val="none"/>
        </w:rPr>
      </w:pPr>
    </w:p>
    <w:p w14:paraId="44BDFFE4">
      <w:pPr>
        <w:snapToGrid w:val="0"/>
        <w:spacing w:before="156" w:beforeLines="50" w:line="560" w:lineRule="exact"/>
        <w:jc w:val="center"/>
        <w:rPr>
          <w:rFonts w:ascii="黑体" w:hAnsi="黑体" w:eastAsia="黑体" w:cs="黑体"/>
          <w:sz w:val="72"/>
          <w:szCs w:val="72"/>
          <w:highlight w:val="none"/>
        </w:rPr>
      </w:pPr>
    </w:p>
    <w:p w14:paraId="644605B4">
      <w:pPr>
        <w:snapToGrid w:val="0"/>
        <w:spacing w:before="156" w:beforeLines="50" w:line="1000" w:lineRule="exact"/>
        <w:jc w:val="center"/>
        <w:rPr>
          <w:rFonts w:ascii="黑体" w:hAnsi="黑体" w:eastAsia="黑体" w:cs="黑体"/>
          <w:sz w:val="72"/>
          <w:szCs w:val="72"/>
          <w:highlight w:val="none"/>
        </w:rPr>
      </w:pPr>
      <w:r>
        <w:rPr>
          <w:rFonts w:hint="eastAsia" w:ascii="黑体" w:hAnsi="黑体" w:eastAsia="黑体" w:cs="黑体"/>
          <w:sz w:val="72"/>
          <w:szCs w:val="72"/>
          <w:highlight w:val="none"/>
        </w:rPr>
        <w:t>采购文件</w:t>
      </w:r>
    </w:p>
    <w:p w14:paraId="46C2D25B">
      <w:pPr>
        <w:snapToGrid w:val="0"/>
        <w:spacing w:before="156" w:beforeLines="50" w:line="1000" w:lineRule="exact"/>
        <w:jc w:val="center"/>
        <w:rPr>
          <w:rFonts w:ascii="黑体" w:hAnsi="黑体" w:eastAsia="黑体" w:cs="黑体"/>
          <w:sz w:val="72"/>
          <w:szCs w:val="72"/>
          <w:highlight w:val="none"/>
        </w:rPr>
      </w:pPr>
      <w:r>
        <w:rPr>
          <w:rFonts w:hint="eastAsia" w:ascii="黑体" w:hAnsi="黑体" w:eastAsia="黑体" w:cs="黑体"/>
          <w:sz w:val="72"/>
          <w:szCs w:val="72"/>
          <w:highlight w:val="none"/>
        </w:rPr>
        <w:t>（采购方案）</w:t>
      </w:r>
    </w:p>
    <w:p w14:paraId="372AD5BE">
      <w:pPr>
        <w:spacing w:line="560" w:lineRule="exact"/>
        <w:jc w:val="center"/>
        <w:rPr>
          <w:rFonts w:ascii="宋体" w:hAnsi="宋体"/>
          <w:b/>
          <w:sz w:val="32"/>
          <w:szCs w:val="32"/>
          <w:highlight w:val="none"/>
        </w:rPr>
      </w:pPr>
    </w:p>
    <w:p w14:paraId="0D278071">
      <w:pPr>
        <w:spacing w:line="560" w:lineRule="exact"/>
        <w:jc w:val="center"/>
        <w:rPr>
          <w:rFonts w:ascii="宋体" w:hAnsi="宋体"/>
          <w:b/>
          <w:sz w:val="32"/>
          <w:szCs w:val="32"/>
          <w:highlight w:val="none"/>
        </w:rPr>
      </w:pPr>
    </w:p>
    <w:p w14:paraId="0D91AB93">
      <w:pPr>
        <w:pStyle w:val="26"/>
        <w:spacing w:line="560" w:lineRule="exact"/>
        <w:rPr>
          <w:rFonts w:ascii="宋体" w:hAnsi="宋体"/>
          <w:b/>
          <w:sz w:val="32"/>
          <w:szCs w:val="32"/>
          <w:highlight w:val="none"/>
        </w:rPr>
      </w:pPr>
    </w:p>
    <w:p w14:paraId="05572F42">
      <w:pPr>
        <w:pStyle w:val="7"/>
        <w:rPr>
          <w:rFonts w:ascii="宋体" w:hAnsi="宋体"/>
          <w:b/>
          <w:sz w:val="32"/>
          <w:szCs w:val="32"/>
          <w:highlight w:val="none"/>
        </w:rPr>
      </w:pPr>
    </w:p>
    <w:p w14:paraId="64BF6790">
      <w:pPr>
        <w:pStyle w:val="8"/>
        <w:rPr>
          <w:highlight w:val="none"/>
        </w:rPr>
      </w:pPr>
    </w:p>
    <w:p w14:paraId="4CFA4944">
      <w:pPr>
        <w:spacing w:line="560" w:lineRule="exact"/>
        <w:ind w:firstLine="1285" w:firstLineChars="400"/>
        <w:rPr>
          <w:rFonts w:ascii="仿宋_GB2312" w:hAnsi="宋体" w:eastAsia="仿宋_GB2312"/>
          <w:b/>
          <w:sz w:val="32"/>
          <w:szCs w:val="32"/>
          <w:highlight w:val="none"/>
        </w:rPr>
      </w:pPr>
    </w:p>
    <w:p w14:paraId="537EBB50">
      <w:pPr>
        <w:spacing w:line="560" w:lineRule="exact"/>
        <w:jc w:val="center"/>
        <w:rPr>
          <w:rFonts w:ascii="宋体" w:hAnsi="宋体" w:cs="宋体"/>
          <w:b/>
          <w:sz w:val="32"/>
          <w:szCs w:val="32"/>
          <w:highlight w:val="none"/>
        </w:rPr>
      </w:pPr>
      <w:r>
        <w:rPr>
          <w:rFonts w:hint="eastAsia" w:ascii="宋体" w:hAnsi="宋体" w:cs="宋体"/>
          <w:b/>
          <w:sz w:val="32"/>
          <w:szCs w:val="32"/>
          <w:highlight w:val="none"/>
        </w:rPr>
        <w:t>采购人：广西壮族自治区北部湾港口管理局钦州分局</w:t>
      </w:r>
    </w:p>
    <w:p w14:paraId="4E70C52C">
      <w:pPr>
        <w:spacing w:line="560" w:lineRule="exact"/>
        <w:jc w:val="center"/>
        <w:rPr>
          <w:rFonts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8</w:t>
      </w:r>
      <w:r>
        <w:rPr>
          <w:rFonts w:hint="eastAsia" w:ascii="宋体" w:hAnsi="宋体" w:cs="宋体"/>
          <w:b/>
          <w:bCs/>
          <w:w w:val="95"/>
          <w:sz w:val="32"/>
          <w:szCs w:val="32"/>
          <w:highlight w:val="none"/>
        </w:rPr>
        <w:t>月</w:t>
      </w:r>
    </w:p>
    <w:p w14:paraId="791E02DB">
      <w:pPr>
        <w:pStyle w:val="16"/>
        <w:tabs>
          <w:tab w:val="right" w:leader="dot" w:pos="8931"/>
          <w:tab w:val="clear" w:pos="8296"/>
        </w:tabs>
        <w:adjustRightInd w:val="0"/>
        <w:snapToGrid w:val="0"/>
        <w:spacing w:line="560" w:lineRule="exact"/>
        <w:ind w:left="0" w:leftChars="0"/>
        <w:rPr>
          <w:rFonts w:ascii="宋体" w:hAnsi="宋体"/>
          <w:b/>
          <w:sz w:val="32"/>
          <w:szCs w:val="32"/>
          <w:highlight w:val="none"/>
        </w:rPr>
      </w:pPr>
      <w:r>
        <w:rPr>
          <w:rFonts w:ascii="宋体" w:hAnsi="宋体"/>
          <w:b/>
          <w:sz w:val="44"/>
          <w:szCs w:val="44"/>
          <w:highlight w:val="none"/>
        </w:rPr>
        <w:br w:type="page"/>
      </w:r>
    </w:p>
    <w:p w14:paraId="40889EFB">
      <w:pPr>
        <w:spacing w:line="560" w:lineRule="exact"/>
        <w:rPr>
          <w:rFonts w:ascii="宋体" w:hAnsi="宋体"/>
          <w:b/>
          <w:sz w:val="32"/>
          <w:szCs w:val="32"/>
          <w:highlight w:val="none"/>
        </w:rPr>
        <w:sectPr>
          <w:headerReference r:id="rId4" w:type="first"/>
          <w:footerReference r:id="rId6" w:type="first"/>
          <w:headerReference r:id="rId3" w:type="default"/>
          <w:footerReference r:id="rId5" w:type="default"/>
          <w:pgSz w:w="11906" w:h="16838"/>
          <w:pgMar w:top="2098" w:right="1587" w:bottom="1587" w:left="1587" w:header="851" w:footer="992" w:gutter="0"/>
          <w:pgNumType w:fmt="numberInDash" w:start="1"/>
          <w:cols w:space="0" w:num="1"/>
          <w:docGrid w:type="lines" w:linePitch="312" w:charSpace="0"/>
        </w:sectPr>
      </w:pPr>
    </w:p>
    <w:p w14:paraId="622DA922">
      <w:pPr>
        <w:pStyle w:val="3"/>
        <w:numPr>
          <w:ilvl w:val="0"/>
          <w:numId w:val="1"/>
        </w:numPr>
        <w:spacing w:before="0" w:after="0" w:line="360" w:lineRule="auto"/>
        <w:jc w:val="center"/>
        <w:rPr>
          <w:rFonts w:hint="eastAsia" w:ascii="方正小标宋_GBK" w:hAnsi="方正小标宋_GBK" w:eastAsia="方正小标宋_GBK" w:cs="方正小标宋_GBK"/>
          <w:highlight w:val="none"/>
        </w:rPr>
      </w:pPr>
      <w:bookmarkStart w:id="0" w:name="_Toc25608"/>
      <w:bookmarkStart w:id="1" w:name="_Toc27769"/>
      <w:bookmarkStart w:id="2" w:name="_Toc44229878"/>
      <w:bookmarkStart w:id="3" w:name="_Hlk37430271"/>
      <w:bookmarkStart w:id="4" w:name="_Toc28359089"/>
      <w:bookmarkStart w:id="5" w:name="_Toc28359012"/>
      <w:bookmarkStart w:id="6" w:name="_Toc35393798"/>
      <w:bookmarkStart w:id="7" w:name="_Toc71365905"/>
      <w:bookmarkStart w:id="8" w:name="_Toc35393629"/>
      <w:r>
        <w:rPr>
          <w:rFonts w:hint="eastAsia" w:ascii="方正小标宋_GBK" w:hAnsi="方正小标宋_GBK" w:eastAsia="方正小标宋_GBK" w:cs="方正小标宋_GBK"/>
          <w:highlight w:val="none"/>
        </w:rPr>
        <w:t>采购公告</w:t>
      </w:r>
      <w:bookmarkEnd w:id="0"/>
      <w:bookmarkEnd w:id="1"/>
    </w:p>
    <w:p w14:paraId="7389589F">
      <w:pPr>
        <w:numPr>
          <w:ilvl w:val="0"/>
          <w:numId w:val="0"/>
        </w:numPr>
        <w:rPr>
          <w:highlight w:val="none"/>
        </w:rPr>
      </w:pPr>
    </w:p>
    <w:bookmarkEnd w:id="2"/>
    <w:bookmarkEnd w:id="3"/>
    <w:bookmarkEnd w:id="4"/>
    <w:bookmarkEnd w:id="5"/>
    <w:bookmarkEnd w:id="6"/>
    <w:bookmarkEnd w:id="7"/>
    <w:bookmarkEnd w:id="8"/>
    <w:p w14:paraId="4B87971A">
      <w:pPr>
        <w:spacing w:line="560" w:lineRule="exact"/>
        <w:ind w:firstLine="472" w:firstLineChars="147"/>
        <w:rPr>
          <w:rFonts w:ascii="黑体" w:hAnsi="黑体" w:eastAsia="黑体" w:cs="黑体"/>
          <w:b/>
          <w:sz w:val="32"/>
          <w:szCs w:val="32"/>
          <w:highlight w:val="none"/>
        </w:rPr>
      </w:pPr>
      <w:bookmarkStart w:id="9" w:name="_Toc16740"/>
      <w:bookmarkStart w:id="10" w:name="_Toc31261"/>
      <w:r>
        <w:rPr>
          <w:rFonts w:hint="eastAsia" w:ascii="黑体" w:hAnsi="黑体" w:eastAsia="黑体" w:cs="黑体"/>
          <w:b/>
          <w:sz w:val="32"/>
          <w:szCs w:val="32"/>
          <w:highlight w:val="none"/>
        </w:rPr>
        <w:t>一、项目基本情况</w:t>
      </w:r>
    </w:p>
    <w:p w14:paraId="66DA257E">
      <w:pPr>
        <w:spacing w:line="560" w:lineRule="exact"/>
        <w:ind w:firstLine="640" w:firstLineChars="200"/>
        <w:rPr>
          <w:rFonts w:ascii="楷体" w:hAnsi="楷体" w:eastAsia="楷体" w:cs="楷体"/>
          <w:bCs/>
          <w:sz w:val="32"/>
          <w:szCs w:val="32"/>
          <w:highlight w:val="none"/>
        </w:rPr>
      </w:pPr>
      <w:r>
        <w:rPr>
          <w:rFonts w:hint="eastAsia" w:ascii="楷体" w:hAnsi="楷体" w:eastAsia="楷体" w:cs="楷体"/>
          <w:bCs/>
          <w:sz w:val="32"/>
          <w:szCs w:val="32"/>
          <w:highlight w:val="none"/>
        </w:rPr>
        <w:t>（一）采购项目名称：2025年北部湾港钦州港域港口设施保安演习委托业务服务</w:t>
      </w:r>
    </w:p>
    <w:p w14:paraId="61716F42">
      <w:pPr>
        <w:spacing w:line="560" w:lineRule="exact"/>
        <w:ind w:firstLine="640" w:firstLineChars="200"/>
        <w:rPr>
          <w:rFonts w:ascii="楷体" w:hAnsi="楷体" w:eastAsia="楷体" w:cs="楷体"/>
          <w:bCs/>
          <w:sz w:val="32"/>
          <w:szCs w:val="32"/>
          <w:highlight w:val="none"/>
        </w:rPr>
      </w:pPr>
      <w:r>
        <w:rPr>
          <w:rFonts w:hint="eastAsia" w:ascii="楷体" w:hAnsi="楷体" w:eastAsia="楷体" w:cs="楷体"/>
          <w:bCs/>
          <w:sz w:val="32"/>
          <w:szCs w:val="32"/>
          <w:highlight w:val="none"/>
        </w:rPr>
        <w:t>（二）项目地点：广西钦州市钦州港。</w:t>
      </w:r>
    </w:p>
    <w:p w14:paraId="45471670">
      <w:pPr>
        <w:spacing w:line="560" w:lineRule="exact"/>
        <w:rPr>
          <w:rFonts w:ascii="楷体" w:hAnsi="楷体" w:eastAsia="楷体" w:cs="楷体"/>
          <w:bCs/>
          <w:kern w:val="0"/>
          <w:sz w:val="32"/>
          <w:szCs w:val="32"/>
          <w:highlight w:val="none"/>
        </w:rPr>
      </w:pPr>
      <w:r>
        <w:rPr>
          <w:rFonts w:hint="eastAsia" w:ascii="楷体" w:hAnsi="楷体" w:eastAsia="楷体" w:cs="楷体"/>
          <w:bCs/>
          <w:sz w:val="32"/>
          <w:szCs w:val="32"/>
          <w:highlight w:val="none"/>
        </w:rPr>
        <w:t>（三）项目预算金额：14万元，报价超过14万元的比选响应文件为无效。</w:t>
      </w:r>
    </w:p>
    <w:p w14:paraId="371A70D1">
      <w:pPr>
        <w:spacing w:line="560" w:lineRule="exact"/>
        <w:ind w:firstLine="640" w:firstLineChars="200"/>
        <w:rPr>
          <w:rFonts w:ascii="仿宋" w:hAnsi="仿宋" w:eastAsia="仿宋" w:cs="仿宋"/>
          <w:bCs/>
          <w:sz w:val="32"/>
          <w:szCs w:val="32"/>
          <w:highlight w:val="none"/>
        </w:rPr>
      </w:pPr>
      <w:r>
        <w:rPr>
          <w:rFonts w:hint="eastAsia" w:ascii="楷体" w:hAnsi="楷体" w:eastAsia="楷体" w:cs="楷体"/>
          <w:bCs/>
          <w:sz w:val="32"/>
          <w:szCs w:val="32"/>
          <w:highlight w:val="none"/>
        </w:rPr>
        <w:t xml:space="preserve">（四）采购需求： </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4F1A1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c>
          <w:tcPr>
            <w:tcW w:w="776" w:type="dxa"/>
            <w:tcBorders>
              <w:top w:val="single" w:color="auto" w:sz="4" w:space="0"/>
              <w:left w:val="single" w:color="auto" w:sz="4" w:space="0"/>
              <w:bottom w:val="single" w:color="auto" w:sz="4" w:space="0"/>
              <w:right w:val="single" w:color="auto" w:sz="4" w:space="0"/>
            </w:tcBorders>
            <w:vAlign w:val="center"/>
          </w:tcPr>
          <w:p w14:paraId="487A15A4">
            <w:pPr>
              <w:adjustRightInd w:val="0"/>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5E8D0BE6">
            <w:pPr>
              <w:adjustRightInd w:val="0"/>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5DF9A8B">
            <w:pPr>
              <w:adjustRightInd w:val="0"/>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数量及</w:t>
            </w:r>
          </w:p>
          <w:p w14:paraId="1DDE8C61">
            <w:pPr>
              <w:adjustRightInd w:val="0"/>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4548AB83">
            <w:pPr>
              <w:adjustRightInd w:val="0"/>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服务内容及要求</w:t>
            </w:r>
          </w:p>
        </w:tc>
      </w:tr>
      <w:tr w14:paraId="75D556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trHeight w:val="3333" w:hRule="atLeast"/>
        </w:trPr>
        <w:tc>
          <w:tcPr>
            <w:tcW w:w="776" w:type="dxa"/>
            <w:tcBorders>
              <w:top w:val="single" w:color="auto" w:sz="4" w:space="0"/>
              <w:left w:val="single" w:color="auto" w:sz="4" w:space="0"/>
              <w:bottom w:val="single" w:color="auto" w:sz="4" w:space="0"/>
              <w:right w:val="single" w:color="auto" w:sz="4" w:space="0"/>
            </w:tcBorders>
            <w:vAlign w:val="center"/>
          </w:tcPr>
          <w:p w14:paraId="22B72453">
            <w:pPr>
              <w:snapToGrid w:val="0"/>
              <w:spacing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01</w:t>
            </w:r>
          </w:p>
        </w:tc>
        <w:tc>
          <w:tcPr>
            <w:tcW w:w="1590" w:type="dxa"/>
            <w:tcBorders>
              <w:top w:val="single" w:color="auto" w:sz="4" w:space="0"/>
              <w:left w:val="single" w:color="auto" w:sz="4" w:space="0"/>
              <w:bottom w:val="single" w:color="auto" w:sz="4" w:space="0"/>
              <w:right w:val="single" w:color="auto" w:sz="4" w:space="0"/>
            </w:tcBorders>
            <w:vAlign w:val="center"/>
          </w:tcPr>
          <w:p w14:paraId="5A72F637">
            <w:pPr>
              <w:spacing w:line="560" w:lineRule="exact"/>
              <w:rPr>
                <w:rFonts w:ascii="仿宋" w:hAnsi="仿宋" w:eastAsia="仿宋" w:cs="仿宋"/>
                <w:bCs/>
                <w:sz w:val="32"/>
                <w:szCs w:val="32"/>
                <w:highlight w:val="none"/>
              </w:rPr>
            </w:pPr>
            <w:r>
              <w:rPr>
                <w:rFonts w:hint="eastAsia" w:ascii="仿宋" w:hAnsi="仿宋" w:eastAsia="仿宋" w:cs="仿宋"/>
                <w:bCs/>
                <w:sz w:val="32"/>
                <w:szCs w:val="32"/>
                <w:highlight w:val="none"/>
              </w:rPr>
              <w:t>2025年北部湾港钦州港域港口设施保安演习委托业务服务</w:t>
            </w:r>
          </w:p>
          <w:p w14:paraId="4EA6168B">
            <w:pPr>
              <w:snapToGrid w:val="0"/>
              <w:spacing w:line="560" w:lineRule="exact"/>
              <w:jc w:val="left"/>
              <w:rPr>
                <w:rFonts w:ascii="仿宋" w:hAnsi="仿宋" w:eastAsia="仿宋" w:cs="仿宋"/>
                <w:sz w:val="32"/>
                <w:szCs w:val="32"/>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43083A76">
            <w:pPr>
              <w:snapToGrid w:val="0"/>
              <w:spacing w:line="560" w:lineRule="exact"/>
              <w:jc w:val="center"/>
              <w:rPr>
                <w:rFonts w:ascii="仿宋" w:hAnsi="仿宋" w:eastAsia="仿宋" w:cs="仿宋"/>
                <w:sz w:val="32"/>
                <w:szCs w:val="32"/>
                <w:highlight w:val="none"/>
              </w:rPr>
            </w:pPr>
            <w:r>
              <w:rPr>
                <w:rFonts w:hint="eastAsia" w:ascii="仿宋" w:hAnsi="仿宋" w:eastAsia="仿宋" w:cs="仿宋"/>
                <w:bCs/>
                <w:sz w:val="32"/>
                <w:szCs w:val="32"/>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02645270">
            <w:pPr>
              <w:pStyle w:val="4"/>
              <w:spacing w:line="560" w:lineRule="exact"/>
              <w:rPr>
                <w:rFonts w:ascii="仿宋" w:hAnsi="仿宋" w:eastAsia="仿宋" w:cs="仿宋"/>
                <w:b w:val="0"/>
                <w:sz w:val="32"/>
                <w:highlight w:val="none"/>
              </w:rPr>
            </w:pPr>
            <w:r>
              <w:rPr>
                <w:rFonts w:hint="eastAsia" w:ascii="黑体" w:hAnsi="黑体" w:eastAsia="黑体" w:cs="黑体"/>
                <w:bCs/>
                <w:sz w:val="32"/>
                <w:szCs w:val="32"/>
                <w:highlight w:val="none"/>
              </w:rPr>
              <w:t>一、项目背景：</w:t>
            </w:r>
            <w:r>
              <w:rPr>
                <w:rFonts w:hint="eastAsia" w:ascii="仿宋" w:hAnsi="仿宋" w:eastAsia="仿宋" w:cs="仿宋"/>
                <w:b w:val="0"/>
                <w:bCs/>
                <w:kern w:val="2"/>
                <w:sz w:val="32"/>
                <w:szCs w:val="32"/>
                <w:highlight w:val="none"/>
                <w:lang w:val="en-US" w:eastAsia="zh-CN" w:bidi="ar-SA"/>
              </w:rPr>
              <w:t>为做好北部湾港钦州港域的港口设施保安应急处置工作，维护港口生产的平稳、健康、有序进行，提高港口经营人的港口保安人员履行保安职责，有效应对港口设施保安突发事件能力，根据《港口设施保安规则》，开展2025年北部湾港钦州港域港口设施保安演习。结合本港口实际，本次演习拟设置科目、场景为发生恐怖袭击，保安等级为二级，演习观摩人员约100人。</w:t>
            </w:r>
          </w:p>
          <w:p w14:paraId="40CECECA">
            <w:pPr>
              <w:pStyle w:val="4"/>
              <w:spacing w:line="560" w:lineRule="exact"/>
              <w:rPr>
                <w:rFonts w:ascii="仿宋" w:hAnsi="仿宋" w:eastAsia="仿宋" w:cs="仿宋"/>
                <w:b w:val="0"/>
                <w:sz w:val="32"/>
                <w:highlight w:val="none"/>
              </w:rPr>
            </w:pPr>
            <w:r>
              <w:rPr>
                <w:rFonts w:hint="eastAsia" w:ascii="黑体" w:hAnsi="黑体" w:eastAsia="黑体" w:cs="黑体"/>
                <w:b w:val="0"/>
                <w:sz w:val="32"/>
                <w:highlight w:val="none"/>
              </w:rPr>
              <w:t>二、服务时间：</w:t>
            </w:r>
            <w:r>
              <w:rPr>
                <w:rFonts w:hint="eastAsia" w:ascii="仿宋" w:hAnsi="仿宋" w:eastAsia="仿宋" w:cs="仿宋"/>
                <w:b w:val="0"/>
                <w:sz w:val="32"/>
                <w:highlight w:val="none"/>
              </w:rPr>
              <w:t>签订合同之日起90日历天内完成</w:t>
            </w:r>
          </w:p>
          <w:p w14:paraId="7ABFFDD5">
            <w:pPr>
              <w:spacing w:line="560" w:lineRule="exact"/>
              <w:rPr>
                <w:rFonts w:ascii="仿宋" w:hAnsi="仿宋" w:eastAsia="仿宋" w:cs="仿宋"/>
                <w:bCs/>
                <w:sz w:val="32"/>
                <w:szCs w:val="32"/>
                <w:highlight w:val="none"/>
              </w:rPr>
            </w:pPr>
            <w:r>
              <w:rPr>
                <w:rFonts w:hint="eastAsia" w:ascii="黑体" w:hAnsi="黑体" w:eastAsia="黑体" w:cs="黑体"/>
                <w:bCs/>
                <w:sz w:val="32"/>
                <w:szCs w:val="32"/>
                <w:highlight w:val="none"/>
              </w:rPr>
              <w:t>三、服务地点：</w:t>
            </w:r>
            <w:r>
              <w:rPr>
                <w:rFonts w:hint="eastAsia" w:ascii="仿宋" w:hAnsi="仿宋" w:eastAsia="仿宋" w:cs="仿宋"/>
                <w:bCs/>
                <w:sz w:val="32"/>
                <w:szCs w:val="32"/>
                <w:highlight w:val="none"/>
              </w:rPr>
              <w:t>北部湾港钦州港域大榄坪港区大榄坪作业区3号泊位</w:t>
            </w:r>
          </w:p>
          <w:p w14:paraId="2FD537DB">
            <w:pPr>
              <w:spacing w:line="560" w:lineRule="exact"/>
              <w:rPr>
                <w:rFonts w:ascii="仿宋" w:hAnsi="仿宋" w:eastAsia="仿宋" w:cs="仿宋"/>
                <w:sz w:val="32"/>
                <w:szCs w:val="32"/>
                <w:highlight w:val="none"/>
              </w:rPr>
            </w:pPr>
            <w:r>
              <w:rPr>
                <w:rFonts w:hint="eastAsia" w:ascii="黑体" w:hAnsi="黑体" w:eastAsia="黑体" w:cs="黑体"/>
                <w:bCs/>
                <w:sz w:val="32"/>
                <w:szCs w:val="32"/>
                <w:highlight w:val="none"/>
              </w:rPr>
              <w:t>四、服务内容：</w:t>
            </w:r>
            <w:r>
              <w:rPr>
                <w:rFonts w:hint="eastAsia" w:ascii="仿宋" w:hAnsi="仿宋" w:eastAsia="仿宋" w:cs="仿宋"/>
                <w:bCs/>
                <w:sz w:val="32"/>
                <w:szCs w:val="32"/>
                <w:highlight w:val="none"/>
              </w:rPr>
              <w:t>负责演习活动的组织与脚本的策划编写、演习场地布置、拍摄制作等全流程服务工作，本次演习含正演1次、预演2次。</w:t>
            </w:r>
          </w:p>
        </w:tc>
      </w:tr>
    </w:tbl>
    <w:p w14:paraId="2C2D910C">
      <w:pPr>
        <w:spacing w:line="56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二、供应商的资格条件</w:t>
      </w:r>
    </w:p>
    <w:p w14:paraId="430C6A88">
      <w:pPr>
        <w:spacing w:line="560" w:lineRule="exact"/>
        <w:ind w:firstLine="640" w:firstLineChars="200"/>
        <w:rPr>
          <w:rFonts w:hint="eastAsia" w:ascii="仿宋" w:hAnsi="仿宋" w:eastAsia="仿宋" w:cs="仿宋"/>
          <w:sz w:val="32"/>
          <w:szCs w:val="32"/>
          <w:highlight w:val="none"/>
          <w:lang w:eastAsia="zh-CN" w:bidi="ar"/>
        </w:rPr>
      </w:pPr>
      <w:r>
        <w:rPr>
          <w:rFonts w:hint="eastAsia" w:ascii="仿宋" w:hAnsi="仿宋" w:eastAsia="仿宋" w:cs="仿宋"/>
          <w:sz w:val="32"/>
          <w:szCs w:val="32"/>
          <w:highlight w:val="none"/>
          <w:lang w:bidi="ar"/>
        </w:rPr>
        <w:t>1.具备国内独立法人资格。供应商须具有独立承担民事责任的能力，为中华人民共和国境内注册的法人或其他组织，具有有效的营业执照，营业执照中具备安全咨询服务、安全评价服务、摄像及视频制作服务的相关经营许可或范围</w:t>
      </w:r>
      <w:r>
        <w:rPr>
          <w:rFonts w:hint="eastAsia" w:ascii="仿宋" w:hAnsi="仿宋" w:eastAsia="仿宋" w:cs="仿宋"/>
          <w:sz w:val="32"/>
          <w:szCs w:val="32"/>
          <w:highlight w:val="none"/>
          <w:lang w:eastAsia="zh-CN" w:bidi="ar"/>
        </w:rPr>
        <w:t>。</w:t>
      </w:r>
      <w:r>
        <w:rPr>
          <w:rFonts w:hint="eastAsia" w:ascii="仿宋" w:hAnsi="仿宋" w:eastAsia="仿宋" w:cs="仿宋"/>
          <w:sz w:val="32"/>
          <w:szCs w:val="32"/>
          <w:highlight w:val="none"/>
          <w:lang w:bidi="ar"/>
        </w:rPr>
        <w:t>若供应商不同时具备上述全部资质要求，允许其将其中一项服务分包给具备相应资质的第三方机构，但供应商须作为主承包方对分包服务承担全部责任，分包商应具备相应资质且不得进行二次分包或转包</w:t>
      </w:r>
      <w:r>
        <w:rPr>
          <w:rFonts w:hint="eastAsia" w:ascii="仿宋" w:hAnsi="仿宋" w:eastAsia="仿宋" w:cs="仿宋"/>
          <w:sz w:val="32"/>
          <w:szCs w:val="32"/>
          <w:highlight w:val="none"/>
          <w:lang w:eastAsia="zh-CN" w:bidi="ar"/>
        </w:rPr>
        <w:t>；</w:t>
      </w:r>
    </w:p>
    <w:p w14:paraId="6E850290">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2.供应商参加采购活动前三年内，在经营活动中没有重大违法记录（重大违法记录，是指供应商因违法经营受到刑事处罚或者责令停产停业、吊销许可证或者执照等行政处罚），提供书面声明。</w:t>
      </w:r>
    </w:p>
    <w:p w14:paraId="1D977EAE">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3.在“信用中国”网站、中国政府采购网等渠道未被列入失信被执行人、重大税收违法案件当事人名单、政府采购严重违法失信行为记录名单。</w:t>
      </w:r>
    </w:p>
    <w:p w14:paraId="21CEBD16">
      <w:pPr>
        <w:spacing w:line="56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三、获取采购文件</w:t>
      </w:r>
    </w:p>
    <w:p w14:paraId="1353D5CC">
      <w:pPr>
        <w:spacing w:line="56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（一）获取时间：</w:t>
      </w:r>
      <w:r>
        <w:rPr>
          <w:rFonts w:hint="eastAsia" w:ascii="仿宋" w:hAnsi="仿宋" w:eastAsia="仿宋" w:cs="仿宋"/>
          <w:sz w:val="32"/>
          <w:szCs w:val="32"/>
          <w:highlight w:val="none"/>
          <w:lang w:bidi="ar"/>
        </w:rPr>
        <w:t>自本公告发布之日起 3 个工作日。</w:t>
      </w:r>
    </w:p>
    <w:p w14:paraId="2D87A832">
      <w:pPr>
        <w:spacing w:line="56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（二）获取地点：</w:t>
      </w:r>
      <w:r>
        <w:rPr>
          <w:rFonts w:hint="eastAsia" w:ascii="仿宋" w:hAnsi="仿宋" w:eastAsia="仿宋" w:cs="仿宋"/>
          <w:sz w:val="32"/>
          <w:szCs w:val="32"/>
          <w:highlight w:val="none"/>
          <w:lang w:bidi="ar"/>
        </w:rPr>
        <w:t>广西壮族自治区港航发展中心网站(http://www.gxghj.cn/)</w:t>
      </w:r>
    </w:p>
    <w:p w14:paraId="2F0965FE">
      <w:pPr>
        <w:spacing w:line="56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（三）获取方式：</w:t>
      </w:r>
      <w:r>
        <w:rPr>
          <w:rFonts w:hint="eastAsia" w:ascii="仿宋" w:hAnsi="仿宋" w:eastAsia="仿宋" w:cs="仿宋"/>
          <w:sz w:val="32"/>
          <w:szCs w:val="32"/>
          <w:highlight w:val="none"/>
          <w:lang w:bidi="ar"/>
        </w:rPr>
        <w:t>网上下载。本项目不提供纸质文件，潜在供应商登录广西壮族自治区港航发展中心网站-进入“通知公告”应用，点击本公告获取采购文件（采购方案）。</w:t>
      </w:r>
    </w:p>
    <w:p w14:paraId="268B9109">
      <w:pPr>
        <w:spacing w:line="56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四、响应文件提交</w:t>
      </w:r>
    </w:p>
    <w:p w14:paraId="489CFCC1">
      <w:pPr>
        <w:spacing w:line="560" w:lineRule="exact"/>
        <w:ind w:firstLine="640" w:firstLineChars="200"/>
        <w:rPr>
          <w:rFonts w:ascii="楷体" w:hAnsi="楷体" w:eastAsia="楷体" w:cs="楷体"/>
          <w:sz w:val="32"/>
          <w:szCs w:val="32"/>
          <w:highlight w:val="none"/>
          <w:lang w:bidi="ar"/>
        </w:rPr>
      </w:pPr>
      <w:r>
        <w:rPr>
          <w:rFonts w:hint="eastAsia" w:ascii="楷体" w:hAnsi="楷体" w:eastAsia="楷体" w:cs="楷体"/>
          <w:sz w:val="32"/>
          <w:szCs w:val="32"/>
          <w:highlight w:val="none"/>
          <w:lang w:bidi="ar"/>
        </w:rPr>
        <w:t>（一）提交响应文件电子版一份及纸质版一正一副共两份文件。</w:t>
      </w:r>
    </w:p>
    <w:p w14:paraId="404E2797">
      <w:pPr>
        <w:spacing w:line="56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（二）响应文件电子版提交的邮箱地址：</w:t>
      </w:r>
      <w:r>
        <w:rPr>
          <w:rFonts w:hint="eastAsia" w:ascii="仿宋" w:hAnsi="仿宋" w:eastAsia="仿宋" w:cs="仿宋"/>
          <w:sz w:val="32"/>
          <w:szCs w:val="32"/>
          <w:highlight w:val="none"/>
        </w:rPr>
        <w:t>qzgkaj2016@163.com</w:t>
      </w:r>
      <w:r>
        <w:rPr>
          <w:rFonts w:hint="eastAsia" w:ascii="仿宋" w:hAnsi="仿宋" w:eastAsia="仿宋" w:cs="仿宋"/>
          <w:sz w:val="32"/>
          <w:szCs w:val="32"/>
          <w:highlight w:val="none"/>
          <w:lang w:bidi="ar"/>
        </w:rPr>
        <w:t>；响应文件纸质版文件提交的地址：广西壮族自治区北部湾港口管理局钦州分局（钦州市钦州港融和大街20号）415号办公室。</w:t>
      </w:r>
    </w:p>
    <w:p w14:paraId="1FB5793B">
      <w:pPr>
        <w:spacing w:line="56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（三）响应文件提交截止时间：自公告发布之日起11个日历天</w:t>
      </w:r>
      <w:r>
        <w:rPr>
          <w:rFonts w:hint="eastAsia" w:ascii="仿宋" w:hAnsi="仿宋" w:eastAsia="仿宋" w:cs="仿宋"/>
          <w:sz w:val="32"/>
          <w:szCs w:val="32"/>
          <w:highlight w:val="none"/>
          <w:lang w:bidi="ar"/>
        </w:rPr>
        <w:t>。到达截止时间报名供应商不足3家的，将继续发布延期公告，延期公告时间自发布公告之日起3个日历天，延期后仍不足3家的，则在已经递交响应文件的供应商中进行评审确定中标供应商。</w:t>
      </w:r>
    </w:p>
    <w:p w14:paraId="7DC28725">
      <w:pPr>
        <w:spacing w:line="560" w:lineRule="exact"/>
        <w:ind w:firstLine="472" w:firstLineChars="147"/>
        <w:rPr>
          <w:rFonts w:ascii="黑体" w:hAnsi="黑体" w:eastAsia="黑体" w:cs="黑体"/>
          <w:sz w:val="32"/>
          <w:szCs w:val="32"/>
          <w:highlight w:val="none"/>
        </w:rPr>
      </w:pPr>
      <w:r>
        <w:rPr>
          <w:rFonts w:hint="eastAsia" w:ascii="黑体" w:hAnsi="黑体" w:eastAsia="黑体" w:cs="黑体"/>
          <w:b/>
          <w:sz w:val="32"/>
          <w:szCs w:val="32"/>
          <w:highlight w:val="none"/>
        </w:rPr>
        <w:t>五、</w:t>
      </w:r>
      <w:r>
        <w:rPr>
          <w:rFonts w:hint="eastAsia" w:ascii="黑体" w:hAnsi="黑体" w:eastAsia="黑体" w:cs="黑体"/>
          <w:sz w:val="32"/>
          <w:szCs w:val="32"/>
          <w:highlight w:val="none"/>
        </w:rPr>
        <w:t xml:space="preserve">其他补充事宜 </w:t>
      </w:r>
    </w:p>
    <w:p w14:paraId="6B72F489">
      <w:pPr>
        <w:spacing w:line="560" w:lineRule="exact"/>
        <w:ind w:firstLine="470" w:firstLineChars="147"/>
        <w:rPr>
          <w:rFonts w:ascii="仿宋" w:hAnsi="仿宋" w:eastAsia="仿宋" w:cs="仿宋"/>
          <w:sz w:val="32"/>
          <w:szCs w:val="32"/>
          <w:highlight w:val="none"/>
        </w:rPr>
      </w:pPr>
      <w:r>
        <w:rPr>
          <w:rFonts w:hint="eastAsia" w:ascii="仿宋" w:hAnsi="仿宋" w:eastAsia="仿宋" w:cs="仿宋"/>
          <w:sz w:val="32"/>
          <w:szCs w:val="32"/>
          <w:highlight w:val="none"/>
        </w:rPr>
        <w:t xml:space="preserve">供应商竞标注意事项 </w:t>
      </w:r>
    </w:p>
    <w:p w14:paraId="4B6EB77F">
      <w:pPr>
        <w:numPr>
          <w:ilvl w:val="0"/>
          <w:numId w:val="0"/>
        </w:numPr>
        <w:spacing w:line="5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 xml:space="preserve">投标文件必须密封，否则按废标处理。 </w:t>
      </w:r>
    </w:p>
    <w:p w14:paraId="3DC3BC42">
      <w:pPr>
        <w:numPr>
          <w:ilvl w:val="0"/>
          <w:numId w:val="0"/>
        </w:numPr>
        <w:spacing w:line="560" w:lineRule="exact"/>
        <w:ind w:firstLine="320" w:firstLineChars="1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lang w:eastAsia="zh-CN"/>
        </w:rPr>
        <w:t xml:space="preserve">）投标文件必须满足采购文件内的要求，否则按废标、无效处理。 </w:t>
      </w:r>
    </w:p>
    <w:p w14:paraId="5BE4871C">
      <w:pPr>
        <w:spacing w:line="56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六、联系方式</w:t>
      </w:r>
    </w:p>
    <w:p w14:paraId="78291102">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联系人：刘小麦  联系电话：0777-3888162。</w:t>
      </w:r>
    </w:p>
    <w:p w14:paraId="20C1B125">
      <w:pPr>
        <w:widowControl/>
        <w:spacing w:line="560" w:lineRule="exact"/>
        <w:ind w:firstLine="640" w:firstLineChars="2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 xml:space="preserve">                           </w:t>
      </w:r>
    </w:p>
    <w:p w14:paraId="2081CB23">
      <w:pPr>
        <w:widowControl/>
        <w:spacing w:line="560" w:lineRule="exact"/>
        <w:ind w:firstLine="1280" w:firstLineChars="4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采购人：广西壮族自治区北部湾港口管理局钦州分局</w:t>
      </w:r>
    </w:p>
    <w:p w14:paraId="386439D4">
      <w:pPr>
        <w:spacing w:line="560" w:lineRule="exact"/>
        <w:ind w:firstLine="640" w:firstLineChars="2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 xml:space="preserve">                       2025年</w:t>
      </w:r>
      <w:r>
        <w:rPr>
          <w:rFonts w:hint="eastAsia" w:ascii="仿宋" w:hAnsi="仿宋" w:eastAsia="仿宋" w:cs="仿宋"/>
          <w:sz w:val="32"/>
          <w:szCs w:val="32"/>
          <w:highlight w:val="none"/>
          <w:lang w:val="en-US" w:eastAsia="zh-CN" w:bidi="ar"/>
        </w:rPr>
        <w:t>8</w:t>
      </w:r>
      <w:r>
        <w:rPr>
          <w:rFonts w:hint="eastAsia" w:ascii="仿宋" w:hAnsi="仿宋" w:eastAsia="仿宋" w:cs="仿宋"/>
          <w:sz w:val="32"/>
          <w:szCs w:val="32"/>
          <w:highlight w:val="none"/>
          <w:lang w:bidi="ar"/>
        </w:rPr>
        <w:t>月</w:t>
      </w:r>
      <w:r>
        <w:rPr>
          <w:rFonts w:hint="eastAsia" w:ascii="仿宋" w:hAnsi="仿宋" w:eastAsia="仿宋" w:cs="仿宋"/>
          <w:sz w:val="32"/>
          <w:szCs w:val="32"/>
          <w:highlight w:val="none"/>
          <w:lang w:val="en-US" w:eastAsia="zh-CN" w:bidi="ar"/>
        </w:rPr>
        <w:t>6</w:t>
      </w:r>
      <w:r>
        <w:rPr>
          <w:rFonts w:hint="eastAsia" w:ascii="仿宋" w:hAnsi="仿宋" w:eastAsia="仿宋" w:cs="仿宋"/>
          <w:sz w:val="32"/>
          <w:szCs w:val="32"/>
          <w:highlight w:val="none"/>
          <w:lang w:bidi="ar"/>
        </w:rPr>
        <w:t>日</w:t>
      </w:r>
    </w:p>
    <w:p w14:paraId="21E37F7D">
      <w:pPr>
        <w:spacing w:line="560" w:lineRule="exact"/>
        <w:jc w:val="center"/>
        <w:rPr>
          <w:rFonts w:ascii="仿宋" w:hAnsi="仿宋" w:eastAsia="仿宋" w:cs="仿宋"/>
          <w:b/>
          <w:sz w:val="32"/>
          <w:szCs w:val="32"/>
          <w:highlight w:val="none"/>
        </w:rPr>
      </w:pPr>
    </w:p>
    <w:p w14:paraId="7782A0DE">
      <w:pPr>
        <w:rPr>
          <w:highlight w:val="none"/>
        </w:rPr>
      </w:pPr>
    </w:p>
    <w:p w14:paraId="30F4B7E0">
      <w:pPr>
        <w:pStyle w:val="2"/>
        <w:rPr>
          <w:highlight w:val="none"/>
        </w:rPr>
      </w:pPr>
    </w:p>
    <w:p w14:paraId="2E85DD2B">
      <w:pPr>
        <w:rPr>
          <w:highlight w:val="none"/>
        </w:rPr>
      </w:pPr>
    </w:p>
    <w:p w14:paraId="15123F92">
      <w:pPr>
        <w:pStyle w:val="2"/>
        <w:rPr>
          <w:highlight w:val="none"/>
        </w:rPr>
      </w:pPr>
    </w:p>
    <w:p w14:paraId="178314A9">
      <w:pPr>
        <w:rPr>
          <w:highlight w:val="none"/>
        </w:rPr>
      </w:pPr>
    </w:p>
    <w:p w14:paraId="5FDCB438">
      <w:pPr>
        <w:pStyle w:val="2"/>
        <w:rPr>
          <w:highlight w:val="none"/>
        </w:rPr>
      </w:pPr>
    </w:p>
    <w:p w14:paraId="451201D2">
      <w:pPr>
        <w:rPr>
          <w:highlight w:val="none"/>
        </w:rPr>
      </w:pPr>
    </w:p>
    <w:p w14:paraId="71737CC5">
      <w:pPr>
        <w:pStyle w:val="2"/>
        <w:rPr>
          <w:highlight w:val="none"/>
        </w:rPr>
      </w:pPr>
    </w:p>
    <w:p w14:paraId="38BAF0CD">
      <w:pPr>
        <w:rPr>
          <w:highlight w:val="none"/>
        </w:rPr>
      </w:pPr>
    </w:p>
    <w:p w14:paraId="4ECFF447">
      <w:pPr>
        <w:pStyle w:val="2"/>
        <w:rPr>
          <w:highlight w:val="none"/>
        </w:rPr>
      </w:pPr>
    </w:p>
    <w:p w14:paraId="646F9256">
      <w:pPr>
        <w:rPr>
          <w:highlight w:val="none"/>
        </w:rPr>
      </w:pPr>
    </w:p>
    <w:p w14:paraId="1FD07713">
      <w:pPr>
        <w:pStyle w:val="2"/>
        <w:rPr>
          <w:highlight w:val="none"/>
        </w:rPr>
      </w:pPr>
    </w:p>
    <w:p w14:paraId="41148836">
      <w:pPr>
        <w:rPr>
          <w:highlight w:val="none"/>
        </w:rPr>
      </w:pPr>
    </w:p>
    <w:p w14:paraId="7F4BC56C">
      <w:pPr>
        <w:pStyle w:val="2"/>
        <w:rPr>
          <w:highlight w:val="none"/>
        </w:rPr>
      </w:pPr>
    </w:p>
    <w:p w14:paraId="67B5D602">
      <w:pPr>
        <w:rPr>
          <w:highlight w:val="none"/>
        </w:rPr>
      </w:pPr>
    </w:p>
    <w:p w14:paraId="3876030B">
      <w:pPr>
        <w:pStyle w:val="2"/>
        <w:rPr>
          <w:highlight w:val="none"/>
        </w:rPr>
      </w:pPr>
    </w:p>
    <w:p w14:paraId="15BA7C14">
      <w:pPr>
        <w:rPr>
          <w:highlight w:val="none"/>
        </w:rPr>
      </w:pPr>
    </w:p>
    <w:p w14:paraId="72895D38">
      <w:pPr>
        <w:pStyle w:val="2"/>
        <w:rPr>
          <w:highlight w:val="none"/>
        </w:rPr>
      </w:pPr>
    </w:p>
    <w:p w14:paraId="61A1CD56">
      <w:pPr>
        <w:rPr>
          <w:highlight w:val="none"/>
        </w:rPr>
      </w:pPr>
    </w:p>
    <w:p w14:paraId="1EFB1668">
      <w:pPr>
        <w:pStyle w:val="2"/>
        <w:rPr>
          <w:highlight w:val="none"/>
        </w:rPr>
      </w:pPr>
    </w:p>
    <w:p w14:paraId="08B9862A">
      <w:pPr>
        <w:rPr>
          <w:highlight w:val="none"/>
        </w:rPr>
      </w:pPr>
    </w:p>
    <w:p w14:paraId="0919C8E7">
      <w:pPr>
        <w:pStyle w:val="2"/>
      </w:pPr>
    </w:p>
    <w:p w14:paraId="40B245D0">
      <w:pPr>
        <w:pStyle w:val="2"/>
      </w:pPr>
    </w:p>
    <w:p w14:paraId="6C283964">
      <w:pPr>
        <w:pStyle w:val="3"/>
        <w:spacing w:before="0" w:after="0" w:line="560" w:lineRule="exact"/>
        <w:jc w:val="center"/>
        <w:rPr>
          <w:rFonts w:ascii="方正小标宋_GBK" w:hAnsi="方正小标宋_GBK" w:eastAsia="方正小标宋_GBK" w:cs="方正小标宋_GBK"/>
          <w:highlight w:val="none"/>
        </w:rPr>
      </w:pPr>
      <w:r>
        <w:rPr>
          <w:rFonts w:hint="eastAsia" w:ascii="方正小标宋_GBK" w:hAnsi="方正小标宋_GBK" w:eastAsia="方正小标宋_GBK" w:cs="方正小标宋_GBK"/>
          <w:highlight w:val="none"/>
        </w:rPr>
        <w:t>第二章 供应商须知</w:t>
      </w:r>
      <w:bookmarkEnd w:id="9"/>
      <w:bookmarkEnd w:id="10"/>
    </w:p>
    <w:p w14:paraId="25ABA31C">
      <w:pPr>
        <w:spacing w:line="560" w:lineRule="exact"/>
        <w:jc w:val="center"/>
        <w:rPr>
          <w:rFonts w:ascii="仿宋" w:hAnsi="仿宋" w:eastAsia="仿宋" w:cs="仿宋"/>
          <w:b/>
          <w:sz w:val="32"/>
          <w:szCs w:val="32"/>
          <w:highlight w:val="none"/>
        </w:rPr>
      </w:pPr>
    </w:p>
    <w:p w14:paraId="7080E0D6">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一、本次采购采用总价包干，竞标报价包括但不限于资料收集、会议、差旅费、摄费、文印费、设备耗材费、税费及合同包含的所有风险、责任及措施等费用，包含为完成2025年北部湾港钦州港域港口设施保安演习（含</w:t>
      </w:r>
      <w:r>
        <w:rPr>
          <w:rFonts w:hint="eastAsia" w:ascii="仿宋" w:hAnsi="仿宋" w:eastAsia="仿宋" w:cs="仿宋"/>
          <w:bCs/>
          <w:sz w:val="32"/>
          <w:szCs w:val="32"/>
          <w:highlight w:val="none"/>
        </w:rPr>
        <w:t>演习活动的组织与脚本的策划编写、演习场地布置、拍摄制作等，预演2次、正</w:t>
      </w:r>
      <w:r>
        <w:rPr>
          <w:rFonts w:hint="eastAsia" w:ascii="仿宋" w:hAnsi="仿宋" w:eastAsia="仿宋" w:cs="仿宋"/>
          <w:sz w:val="32"/>
          <w:szCs w:val="32"/>
          <w:highlight w:val="none"/>
          <w:lang w:bidi="ar"/>
        </w:rPr>
        <w:t>演1次。）的全部工作以及可能发生的各种费用。本项目合同总价在合同执行过程中是固定的，不因情况变化而调整。</w:t>
      </w:r>
    </w:p>
    <w:p w14:paraId="2765ACF3">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二、竞标报价为一次报价，此次报价即最终报价，不再就价格问题另行协商。</w:t>
      </w:r>
    </w:p>
    <w:p w14:paraId="32C4B57B">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三、竞标报价不能超过采购公告规定的最高限价，超过最高限价作竞标无效处理。</w:t>
      </w:r>
    </w:p>
    <w:p w14:paraId="33ABC796">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四、报价应为含税价格，并且能够提供增值税发票。</w:t>
      </w:r>
    </w:p>
    <w:p w14:paraId="062A64BE">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五、供应商如需现场考察，可自行前往，费用自理。</w:t>
      </w:r>
    </w:p>
    <w:p w14:paraId="65D29F05">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六、供应商应针对本项目的特殊性和项目所在地的地理、人文、环境进行综合的评估，谨慎报价，合理安排各项工作。</w:t>
      </w:r>
    </w:p>
    <w:p w14:paraId="723A436E">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七、响应文件应于采购公告规定的响应文件提交截止时间前提交，密封邮寄或亲自提交到广西壮族自治区北部湾港口管理局钦州分局（钦州市钦州港融和大街20号）415号办公室，逾期送达的，采购人将予以拒绝。</w:t>
      </w:r>
    </w:p>
    <w:p w14:paraId="60044398">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八、响应文件应按第五章响应文件格式要求编制。响应文件</w:t>
      </w:r>
      <w:r>
        <w:rPr>
          <w:rFonts w:hint="eastAsia" w:ascii="仿宋" w:hAnsi="仿宋" w:eastAsia="仿宋" w:cs="仿宋"/>
          <w:sz w:val="32"/>
          <w:szCs w:val="32"/>
          <w:highlight w:val="none"/>
          <w:lang w:val="en-US" w:eastAsia="zh-CN" w:bidi="ar"/>
        </w:rPr>
        <w:t>一式三份</w:t>
      </w:r>
      <w:r>
        <w:rPr>
          <w:rFonts w:hint="eastAsia" w:ascii="仿宋" w:hAnsi="仿宋" w:eastAsia="仿宋" w:cs="仿宋"/>
          <w:sz w:val="32"/>
          <w:szCs w:val="32"/>
          <w:highlight w:val="none"/>
          <w:lang w:bidi="ar"/>
        </w:rPr>
        <w:t>。</w:t>
      </w:r>
    </w:p>
    <w:p w14:paraId="0D5F81D8">
      <w:pPr>
        <w:pStyle w:val="3"/>
        <w:spacing w:before="0" w:after="0" w:line="560" w:lineRule="exact"/>
        <w:jc w:val="center"/>
        <w:rPr>
          <w:rFonts w:ascii="方正小标宋_GBK" w:hAnsi="方正小标宋_GBK" w:eastAsia="方正小标宋_GBK" w:cs="方正小标宋_GBK"/>
          <w:highlight w:val="none"/>
        </w:rPr>
      </w:pPr>
      <w:bookmarkStart w:id="11" w:name="_Toc31960"/>
      <w:bookmarkStart w:id="12" w:name="_Toc2534"/>
      <w:r>
        <w:rPr>
          <w:rFonts w:hint="eastAsia" w:ascii="方正小标宋_GBK" w:hAnsi="方正小标宋_GBK" w:eastAsia="方正小标宋_GBK" w:cs="方正小标宋_GBK"/>
          <w:highlight w:val="none"/>
        </w:rPr>
        <w:t>第三章 采购需求</w:t>
      </w:r>
      <w:bookmarkEnd w:id="11"/>
      <w:bookmarkEnd w:id="12"/>
    </w:p>
    <w:p w14:paraId="0288F484">
      <w:pPr>
        <w:widowControl/>
        <w:spacing w:line="560" w:lineRule="exact"/>
        <w:ind w:firstLine="640" w:firstLineChars="200"/>
        <w:rPr>
          <w:rFonts w:ascii="黑体" w:hAnsi="黑体" w:eastAsia="黑体" w:cs="黑体"/>
          <w:sz w:val="32"/>
          <w:szCs w:val="32"/>
          <w:highlight w:val="none"/>
          <w:lang w:bidi="ar"/>
        </w:rPr>
      </w:pPr>
    </w:p>
    <w:p w14:paraId="12C8B246">
      <w:pPr>
        <w:pStyle w:val="2"/>
        <w:rPr>
          <w:highlight w:val="none"/>
          <w:lang w:bidi="ar"/>
        </w:rPr>
      </w:pPr>
    </w:p>
    <w:p w14:paraId="386BD19D">
      <w:pPr>
        <w:rPr>
          <w:highlight w:val="none"/>
          <w:lang w:bidi="ar"/>
        </w:rPr>
      </w:pPr>
    </w:p>
    <w:p w14:paraId="2958CE6C">
      <w:pPr>
        <w:widowControl/>
        <w:spacing w:line="56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一、项目概况</w:t>
      </w:r>
    </w:p>
    <w:p w14:paraId="2F839182">
      <w:pPr>
        <w:ind w:firstLine="640" w:firstLineChars="200"/>
        <w:rPr>
          <w:rFonts w:ascii="仿宋" w:hAnsi="仿宋" w:eastAsia="仿宋" w:cs="仿宋"/>
          <w:b w:val="0"/>
          <w:sz w:val="32"/>
          <w:highlight w:val="none"/>
        </w:rPr>
      </w:pPr>
      <w:r>
        <w:rPr>
          <w:rFonts w:hint="eastAsia" w:ascii="仿宋" w:hAnsi="仿宋" w:eastAsia="仿宋" w:cs="仿宋"/>
          <w:bCs/>
          <w:sz w:val="32"/>
          <w:szCs w:val="32"/>
          <w:highlight w:val="none"/>
        </w:rPr>
        <w:t>为做好北部湾港钦州港域的港口设施保安应急处置工作，维护港口生产的平稳、健康、有序进行，提高港口经营人的港口保安人员履行保安职责，有效应对港口设施保安突发事件能力，根据《港口设施保安规则》，开展2025年北部湾港钦州港域港口设施保安演习。本次演习含预演2次、正演1次，</w:t>
      </w:r>
      <w:r>
        <w:rPr>
          <w:rFonts w:hint="eastAsia" w:ascii="仿宋" w:hAnsi="仿宋" w:eastAsia="仿宋" w:cs="仿宋"/>
          <w:b w:val="0"/>
          <w:bCs/>
          <w:kern w:val="2"/>
          <w:sz w:val="32"/>
          <w:szCs w:val="32"/>
          <w:highlight w:val="none"/>
          <w:lang w:val="en-US" w:eastAsia="zh-CN" w:bidi="ar-SA"/>
        </w:rPr>
        <w:t>结合本港口实际，本次演习拟设置科目、场景为发生恐怖袭击，保安等级为二级，演习观摩人员约100人。</w:t>
      </w:r>
    </w:p>
    <w:p w14:paraId="5F1A4751">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预算金额：14万元。</w:t>
      </w:r>
    </w:p>
    <w:p w14:paraId="47FE89A5">
      <w:pPr>
        <w:widowControl/>
        <w:numPr>
          <w:ilvl w:val="0"/>
          <w:numId w:val="2"/>
        </w:numPr>
        <w:spacing w:line="56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采购项目服务内容</w:t>
      </w:r>
    </w:p>
    <w:p w14:paraId="05F815A1">
      <w:pPr>
        <w:widowControl/>
        <w:spacing w:line="560" w:lineRule="exact"/>
        <w:ind w:firstLine="640" w:firstLineChars="200"/>
        <w:rPr>
          <w:rFonts w:ascii="仿宋" w:hAnsi="仿宋" w:eastAsia="仿宋" w:cs="仿宋"/>
          <w:bCs/>
          <w:sz w:val="32"/>
          <w:szCs w:val="32"/>
          <w:highlight w:val="none"/>
        </w:rPr>
      </w:pPr>
      <w:r>
        <w:rPr>
          <w:rFonts w:hint="eastAsia" w:ascii="仿宋" w:hAnsi="仿宋" w:eastAsia="仿宋" w:cs="仿宋"/>
          <w:sz w:val="32"/>
          <w:szCs w:val="32"/>
          <w:highlight w:val="none"/>
        </w:rPr>
        <w:t>主要内容包括：负责演习活动的组织与脚本的策划编写、演习场地布置、拍摄制作等全流程服务工作。</w:t>
      </w:r>
    </w:p>
    <w:p w14:paraId="67CDF9C7">
      <w:pPr>
        <w:widowControl/>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年采购清单供潜在供应商参考，本次具体采购清单以合同签订为准。</w:t>
      </w:r>
    </w:p>
    <w:p w14:paraId="6A11840C">
      <w:pPr>
        <w:widowControl/>
        <w:spacing w:line="560" w:lineRule="exact"/>
        <w:ind w:firstLine="643" w:firstLineChars="200"/>
        <w:jc w:val="center"/>
        <w:rPr>
          <w:rFonts w:ascii="仿宋" w:hAnsi="仿宋" w:eastAsia="仿宋" w:cs="仿宋"/>
          <w:b/>
          <w:bCs w:val="0"/>
          <w:sz w:val="32"/>
          <w:szCs w:val="32"/>
          <w:highlight w:val="none"/>
        </w:rPr>
      </w:pPr>
      <w:r>
        <w:rPr>
          <w:rFonts w:hint="eastAsia" w:ascii="仿宋" w:hAnsi="仿宋" w:eastAsia="仿宋" w:cs="仿宋"/>
          <w:b/>
          <w:bCs w:val="0"/>
          <w:sz w:val="32"/>
          <w:szCs w:val="32"/>
          <w:highlight w:val="none"/>
        </w:rPr>
        <w:t>202</w:t>
      </w:r>
      <w:r>
        <w:rPr>
          <w:rFonts w:hint="eastAsia" w:ascii="仿宋" w:hAnsi="仿宋" w:eastAsia="仿宋" w:cs="仿宋"/>
          <w:b/>
          <w:bCs w:val="0"/>
          <w:sz w:val="32"/>
          <w:szCs w:val="32"/>
          <w:highlight w:val="none"/>
          <w:lang w:val="en-US" w:eastAsia="zh-CN"/>
        </w:rPr>
        <w:t>5</w:t>
      </w:r>
      <w:r>
        <w:rPr>
          <w:rFonts w:hint="eastAsia" w:ascii="仿宋" w:hAnsi="仿宋" w:eastAsia="仿宋" w:cs="仿宋"/>
          <w:b/>
          <w:bCs w:val="0"/>
          <w:sz w:val="32"/>
          <w:szCs w:val="32"/>
          <w:highlight w:val="none"/>
        </w:rPr>
        <w:t>年</w:t>
      </w:r>
      <w:r>
        <w:rPr>
          <w:rFonts w:ascii="仿宋" w:hAnsi="仿宋" w:eastAsia="仿宋" w:cs="仿宋"/>
          <w:b/>
          <w:bCs w:val="0"/>
          <w:sz w:val="32"/>
          <w:szCs w:val="32"/>
          <w:highlight w:val="none"/>
        </w:rPr>
        <w:t>采购清单</w:t>
      </w:r>
    </w:p>
    <w:tbl>
      <w:tblPr>
        <w:tblStyle w:val="19"/>
        <w:tblW w:w="933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4"/>
        <w:gridCol w:w="796"/>
        <w:gridCol w:w="985"/>
        <w:gridCol w:w="3195"/>
        <w:gridCol w:w="848"/>
        <w:gridCol w:w="811"/>
        <w:gridCol w:w="2078"/>
      </w:tblGrid>
      <w:tr w14:paraId="5B77B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624"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6E146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796"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192EA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项目类别</w:t>
            </w:r>
          </w:p>
        </w:tc>
        <w:tc>
          <w:tcPr>
            <w:tcW w:w="985" w:type="dxa"/>
            <w:tcBorders>
              <w:top w:val="single" w:color="auto" w:sz="4" w:space="0"/>
              <w:left w:val="single" w:color="000000" w:sz="4" w:space="0"/>
              <w:bottom w:val="single" w:color="000000" w:sz="4" w:space="0"/>
              <w:right w:val="single" w:color="000000" w:sz="4" w:space="0"/>
            </w:tcBorders>
            <w:shd w:val="clear" w:color="auto" w:fill="auto"/>
            <w:vAlign w:val="center"/>
          </w:tcPr>
          <w:p w14:paraId="275A49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分项 名称</w:t>
            </w:r>
          </w:p>
        </w:tc>
        <w:tc>
          <w:tcPr>
            <w:tcW w:w="31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AD3354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具体要求</w:t>
            </w:r>
          </w:p>
        </w:tc>
        <w:tc>
          <w:tcPr>
            <w:tcW w:w="848"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98E6D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数量</w:t>
            </w:r>
          </w:p>
        </w:tc>
        <w:tc>
          <w:tcPr>
            <w:tcW w:w="81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F7AC1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单位</w:t>
            </w:r>
          </w:p>
        </w:tc>
        <w:tc>
          <w:tcPr>
            <w:tcW w:w="2078" w:type="dxa"/>
            <w:tcBorders>
              <w:top w:val="single" w:color="auto" w:sz="4" w:space="0"/>
              <w:left w:val="single" w:color="000000" w:sz="4" w:space="0"/>
              <w:bottom w:val="single" w:color="000000" w:sz="4" w:space="0"/>
              <w:right w:val="single" w:color="000000" w:sz="4" w:space="0"/>
            </w:tcBorders>
            <w:shd w:val="clear" w:color="auto" w:fill="auto"/>
            <w:vAlign w:val="center"/>
          </w:tcPr>
          <w:p w14:paraId="3C096B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090D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B0D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7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5D8B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前期策划</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5005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策划方案</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A44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演习科目策划设计、流程规划等；演习科目安排合理性、各部门间协同的流程性等</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DA04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3BA6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F9D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含整体演习现场的3d、平面设计；详细策划演习科目、科学规划演习流程、设计参演部门的角色、职责与协同机制等</w:t>
            </w:r>
          </w:p>
        </w:tc>
      </w:tr>
      <w:tr w14:paraId="7A788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4EC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7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8B7C4">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20D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脚本的策划编写</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D04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策划撰写演练方案；根据演习方案进行细化脚本，符合演习要求分镜合理，流程顺畅。</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BB6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569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E07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含解说词、对话等</w:t>
            </w:r>
          </w:p>
        </w:tc>
      </w:tr>
      <w:tr w14:paraId="6217E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65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7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77FA">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1E76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预拍工作</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F2D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根据演练方案实际规划，对部分场景进行提前拍摄并且剪辑成VCR成品</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40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4531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天</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894B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拍摄团队使用专业设备，配备专业人员团队，提前组好预排对接筹备</w:t>
            </w:r>
          </w:p>
        </w:tc>
      </w:tr>
      <w:tr w14:paraId="3390C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BFA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4</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05ACC829">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C2BC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欧式大棚</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44B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国际铝合金型材框架，PVC双层刀涂层布</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FC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130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8DA0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平方</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C23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含搭建、彩排+正式演练，共2天</w:t>
            </w:r>
          </w:p>
        </w:tc>
      </w:tr>
      <w:tr w14:paraId="61623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DA3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5</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59B521A3">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D1AB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租赁演习桌、椅子</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E9C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折叠桌+酒店靠背椅</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2B2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150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5D0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D5D3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含桌布、椅套；</w:t>
            </w:r>
          </w:p>
        </w:tc>
      </w:tr>
      <w:tr w14:paraId="4978D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77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6</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181F6CB1">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5B4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演习背景墙搭建</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757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桁架+高清黑底喷绘</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6D8B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60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559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平方</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710C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根据实际设计内容为准</w:t>
            </w:r>
          </w:p>
        </w:tc>
      </w:tr>
      <w:tr w14:paraId="4A1D3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4C2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7</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677ECBFC">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2530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LED显示屏</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087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P3LED屏幕，单块模组50*100mm，分辨率32pixel（宽）×16Pixel（高）</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090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08F0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2天</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8008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30079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BA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8</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5822B545">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1E6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LED控台</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866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主服务器迈普视通V8控台+澜景S3服务器备份服务器、V3视频切换控制台、返送监视器*2、电脑、电箱、线材配件等，技术操控人员2人（一主一备）</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08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E66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E9D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4CCD6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6B5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9</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365AC2C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CC2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音响</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26F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VA-audio/ZMS/声扬：双12寸阵列+双18寸低音+返听监听单15寸。配有线鹅颈麦1个+无线手持麦6个</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6747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EF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C3D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33A26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81D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10</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204CE06E">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C6A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音控台</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ED8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迈达斯M32，配调音师，配话筒师1人</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CCB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1CE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9D9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72C05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28B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11</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37329557">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B61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观众席帐篷</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AD5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3*3军用帐篷，钢材骨架，防雨牛津布顶棚</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AA4D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8</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5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顶</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F8CA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1E5AD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A4F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12</w:t>
            </w:r>
          </w:p>
        </w:tc>
        <w:tc>
          <w:tcPr>
            <w:tcW w:w="796" w:type="dxa"/>
            <w:vMerge w:val="continue"/>
            <w:tcBorders>
              <w:top w:val="nil"/>
              <w:left w:val="single" w:color="000000" w:sz="4" w:space="0"/>
              <w:bottom w:val="nil"/>
              <w:right w:val="single" w:color="000000" w:sz="4" w:space="0"/>
            </w:tcBorders>
            <w:shd w:val="clear" w:color="auto" w:fill="auto"/>
            <w:noWrap/>
            <w:vAlign w:val="center"/>
          </w:tcPr>
          <w:p w14:paraId="274632E1">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246E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参演队伍立牌</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E2A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T型展架，40*60cm</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3E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D3A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个</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4A0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35691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B27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13</w:t>
            </w:r>
          </w:p>
        </w:tc>
        <w:tc>
          <w:tcPr>
            <w:tcW w:w="796" w:type="dxa"/>
            <w:vMerge w:val="continue"/>
            <w:tcBorders>
              <w:top w:val="nil"/>
              <w:left w:val="single" w:color="000000" w:sz="4" w:space="0"/>
              <w:bottom w:val="single" w:color="auto" w:sz="4" w:space="0"/>
              <w:right w:val="single" w:color="000000" w:sz="4" w:space="0"/>
            </w:tcBorders>
            <w:shd w:val="clear" w:color="auto" w:fill="auto"/>
            <w:noWrap/>
            <w:vAlign w:val="center"/>
          </w:tcPr>
          <w:p w14:paraId="328F5943">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auto" w:sz="4" w:space="0"/>
              <w:right w:val="single" w:color="000000" w:sz="4" w:space="0"/>
            </w:tcBorders>
            <w:shd w:val="clear" w:color="auto" w:fill="auto"/>
            <w:vAlign w:val="center"/>
          </w:tcPr>
          <w:p w14:paraId="4394098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租赁对讲机</w:t>
            </w:r>
          </w:p>
        </w:tc>
        <w:tc>
          <w:tcPr>
            <w:tcW w:w="31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24B86A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宝锋，5G插卡公网户外对讲机</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768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7578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00A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75421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2060D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14</w:t>
            </w:r>
          </w:p>
        </w:tc>
        <w:tc>
          <w:tcPr>
            <w:tcW w:w="7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6EC852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录像直播</w:t>
            </w:r>
          </w:p>
        </w:tc>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14:paraId="66D735F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切换台</w:t>
            </w:r>
          </w:p>
        </w:tc>
        <w:tc>
          <w:tcPr>
            <w:tcW w:w="3195" w:type="dxa"/>
            <w:tcBorders>
              <w:top w:val="single" w:color="auto" w:sz="4" w:space="0"/>
              <w:left w:val="single" w:color="auto" w:sz="4" w:space="0"/>
              <w:bottom w:val="single" w:color="auto" w:sz="4" w:space="0"/>
              <w:right w:val="single" w:color="auto" w:sz="4" w:space="0"/>
            </w:tcBorders>
            <w:shd w:val="clear" w:color="auto" w:fill="auto"/>
            <w:vAlign w:val="center"/>
          </w:tcPr>
          <w:p w14:paraId="64EB642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4K洋铭SE-2850导播台，12讯道</w:t>
            </w:r>
          </w:p>
        </w:tc>
        <w:tc>
          <w:tcPr>
            <w:tcW w:w="848"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DA0BA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8434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477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6389F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A2079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15</w:t>
            </w:r>
          </w:p>
        </w:tc>
        <w:tc>
          <w:tcPr>
            <w:tcW w:w="796"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3F7C257">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14:paraId="3F251F3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户外聚合网络器</w:t>
            </w:r>
          </w:p>
        </w:tc>
        <w:tc>
          <w:tcPr>
            <w:tcW w:w="3195" w:type="dxa"/>
            <w:tcBorders>
              <w:top w:val="single" w:color="auto" w:sz="4" w:space="0"/>
              <w:left w:val="single" w:color="auto" w:sz="4" w:space="0"/>
              <w:bottom w:val="single" w:color="auto" w:sz="4" w:space="0"/>
              <w:right w:val="single" w:color="auto" w:sz="4" w:space="0"/>
            </w:tcBorders>
            <w:shd w:val="clear" w:color="auto" w:fill="auto"/>
            <w:vAlign w:val="center"/>
          </w:tcPr>
          <w:p w14:paraId="564DCEE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美乐威5G多卡集合路由器</w:t>
            </w:r>
          </w:p>
        </w:tc>
        <w:tc>
          <w:tcPr>
            <w:tcW w:w="848"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12DA6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487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2A2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搭建、彩排+正式演练，共2天</w:t>
            </w:r>
          </w:p>
        </w:tc>
      </w:tr>
      <w:tr w14:paraId="1A9A6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A4A30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16</w:t>
            </w:r>
          </w:p>
        </w:tc>
        <w:tc>
          <w:tcPr>
            <w:tcW w:w="796"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513DD40">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14:paraId="4186ECC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摄像机</w:t>
            </w:r>
          </w:p>
        </w:tc>
        <w:tc>
          <w:tcPr>
            <w:tcW w:w="3195" w:type="dxa"/>
            <w:tcBorders>
              <w:top w:val="single" w:color="auto" w:sz="4" w:space="0"/>
              <w:left w:val="single" w:color="auto" w:sz="4" w:space="0"/>
              <w:bottom w:val="single" w:color="auto" w:sz="4" w:space="0"/>
              <w:right w:val="single" w:color="auto" w:sz="4" w:space="0"/>
            </w:tcBorders>
            <w:shd w:val="clear" w:color="auto" w:fill="auto"/>
            <w:vAlign w:val="center"/>
          </w:tcPr>
          <w:p w14:paraId="093B11E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5个机位；索尼FX7全画幅电影机，配全焦段镜头，含脚架；两套智云稳定器</w:t>
            </w:r>
          </w:p>
        </w:tc>
        <w:tc>
          <w:tcPr>
            <w:tcW w:w="848"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E9946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B9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项</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D0C7">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含摄像师</w:t>
            </w:r>
          </w:p>
        </w:tc>
      </w:tr>
      <w:tr w14:paraId="7152D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E8E07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17</w:t>
            </w:r>
          </w:p>
        </w:tc>
        <w:tc>
          <w:tcPr>
            <w:tcW w:w="796"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115FFF7">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14:paraId="565F1F5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无线图传</w:t>
            </w:r>
          </w:p>
        </w:tc>
        <w:tc>
          <w:tcPr>
            <w:tcW w:w="3195" w:type="dxa"/>
            <w:tcBorders>
              <w:top w:val="single" w:color="auto" w:sz="4" w:space="0"/>
              <w:left w:val="single" w:color="auto" w:sz="4" w:space="0"/>
              <w:bottom w:val="single" w:color="auto" w:sz="4" w:space="0"/>
              <w:right w:val="single" w:color="auto" w:sz="4" w:space="0"/>
            </w:tcBorders>
            <w:shd w:val="clear" w:color="auto" w:fill="auto"/>
            <w:vAlign w:val="center"/>
          </w:tcPr>
          <w:p w14:paraId="307A253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猛犸极影H双频，4K无线图传一拖四</w:t>
            </w:r>
          </w:p>
        </w:tc>
        <w:tc>
          <w:tcPr>
            <w:tcW w:w="848"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EB019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A59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项</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EB4E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实时上传</w:t>
            </w:r>
          </w:p>
        </w:tc>
      </w:tr>
      <w:tr w14:paraId="64CDC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EAFFD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18</w:t>
            </w:r>
          </w:p>
        </w:tc>
        <w:tc>
          <w:tcPr>
            <w:tcW w:w="796" w:type="dxa"/>
            <w:vMerge w:val="continue"/>
            <w:tcBorders>
              <w:top w:val="single" w:color="auto" w:sz="4" w:space="0"/>
              <w:left w:val="single" w:color="auto" w:sz="4" w:space="0"/>
              <w:bottom w:val="nil"/>
              <w:right w:val="single" w:color="000000" w:sz="4" w:space="0"/>
            </w:tcBorders>
            <w:shd w:val="clear" w:color="auto" w:fill="auto"/>
            <w:noWrap/>
            <w:vAlign w:val="center"/>
          </w:tcPr>
          <w:p w14:paraId="5CAE745B">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000000" w:sz="4" w:space="0"/>
              <w:bottom w:val="single" w:color="000000" w:sz="4" w:space="0"/>
              <w:right w:val="single" w:color="000000" w:sz="4" w:space="0"/>
            </w:tcBorders>
            <w:shd w:val="clear" w:color="auto" w:fill="auto"/>
            <w:vAlign w:val="center"/>
          </w:tcPr>
          <w:p w14:paraId="6BF88C2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无人机航拍</w:t>
            </w:r>
          </w:p>
        </w:tc>
        <w:tc>
          <w:tcPr>
            <w:tcW w:w="31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DF2F1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大疆御2无人机</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414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3E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项</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188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含资深持证航拍师</w:t>
            </w:r>
          </w:p>
        </w:tc>
      </w:tr>
      <w:tr w14:paraId="37642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BC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19</w:t>
            </w:r>
          </w:p>
        </w:tc>
        <w:tc>
          <w:tcPr>
            <w:tcW w:w="7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87E2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人员</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25FB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演习总导演</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FC6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1、全程掌控演习进程，根据策划方案和现场实际情况，做出关键决策（启动、暂停、终止、调整科目等）。</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2、统筹协调所有参演部门、单位及外部支持力量，确保指令清晰、行动协同。</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3、监督演习执行导演及各关键岗位工作，确保按计划推进。</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4、处理演习过程中的突发意外情况（非演习设定），保障安全。</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5、主持演习前动员、演习中关键节点协调会、演习后初步复盘。</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6、对演习的整体效果负总责。</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BBC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EB1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907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大型演习导演经验、含前期对接</w:t>
            </w:r>
          </w:p>
        </w:tc>
      </w:tr>
      <w:tr w14:paraId="34C00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1" w:hRule="atLeast"/>
        </w:trPr>
        <w:tc>
          <w:tcPr>
            <w:tcW w:w="62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48003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20</w:t>
            </w:r>
          </w:p>
        </w:tc>
        <w:tc>
          <w:tcPr>
            <w:tcW w:w="796"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14:paraId="5AB82FE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auto" w:sz="4" w:space="0"/>
              <w:right w:val="single" w:color="000000" w:sz="4" w:space="0"/>
            </w:tcBorders>
            <w:shd w:val="clear" w:color="auto" w:fill="auto"/>
            <w:vAlign w:val="center"/>
          </w:tcPr>
          <w:p w14:paraId="63647F0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演习执行导演</w:t>
            </w:r>
          </w:p>
        </w:tc>
        <w:tc>
          <w:tcPr>
            <w:tcW w:w="31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CA83D6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1、负责具体科目或区域的现场执行指挥。</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2、协调解决所负责区域内出现的操作性问题。</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3、确保所负责科目/区域的流程衔接顺畅。</w:t>
            </w:r>
          </w:p>
        </w:tc>
        <w:tc>
          <w:tcPr>
            <w:tcW w:w="84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AC28E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81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F409D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w:t>
            </w:r>
          </w:p>
        </w:tc>
        <w:tc>
          <w:tcPr>
            <w:tcW w:w="2078" w:type="dxa"/>
            <w:tcBorders>
              <w:top w:val="single" w:color="000000" w:sz="4" w:space="0"/>
              <w:left w:val="single" w:color="000000" w:sz="4" w:space="0"/>
              <w:bottom w:val="single" w:color="auto" w:sz="4" w:space="0"/>
              <w:right w:val="single" w:color="000000" w:sz="4" w:space="0"/>
            </w:tcBorders>
            <w:shd w:val="clear" w:color="auto" w:fill="auto"/>
            <w:vAlign w:val="center"/>
          </w:tcPr>
          <w:p w14:paraId="557D73A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现场执行对接</w:t>
            </w:r>
          </w:p>
        </w:tc>
      </w:tr>
      <w:tr w14:paraId="21FD4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1" w:hRule="atLeast"/>
        </w:trPr>
        <w:tc>
          <w:tcPr>
            <w:tcW w:w="6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A1E6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21</w:t>
            </w:r>
          </w:p>
        </w:tc>
        <w:tc>
          <w:tcPr>
            <w:tcW w:w="7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55A1382">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auto" w:sz="4" w:space="0"/>
              <w:bottom w:val="single" w:color="auto" w:sz="4" w:space="0"/>
              <w:right w:val="single" w:color="auto" w:sz="4" w:space="0"/>
            </w:tcBorders>
            <w:shd w:val="clear" w:color="auto" w:fill="auto"/>
            <w:vAlign w:val="center"/>
          </w:tcPr>
          <w:p w14:paraId="7085656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演习讲解员</w:t>
            </w:r>
          </w:p>
        </w:tc>
        <w:tc>
          <w:tcPr>
            <w:tcW w:w="3195" w:type="dxa"/>
            <w:tcBorders>
              <w:top w:val="single" w:color="auto" w:sz="4" w:space="0"/>
              <w:left w:val="single" w:color="auto" w:sz="4" w:space="0"/>
              <w:bottom w:val="single" w:color="auto" w:sz="4" w:space="0"/>
              <w:right w:val="single" w:color="auto" w:sz="4" w:space="0"/>
            </w:tcBorders>
            <w:shd w:val="clear" w:color="auto" w:fill="auto"/>
            <w:vAlign w:val="center"/>
          </w:tcPr>
          <w:p w14:paraId="59A0B70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国家级播音员、有大型活动解说、新闻播报或培训讲师经验；了解港口基本运作和保安术语；具备一定的亲和力和控场能力；必要时能进行简单双语（中英）解说</w:t>
            </w:r>
          </w:p>
        </w:tc>
        <w:tc>
          <w:tcPr>
            <w:tcW w:w="8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8848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C55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w:t>
            </w:r>
          </w:p>
        </w:tc>
        <w:tc>
          <w:tcPr>
            <w:tcW w:w="2078" w:type="dxa"/>
            <w:tcBorders>
              <w:top w:val="single" w:color="auto" w:sz="4" w:space="0"/>
              <w:left w:val="single" w:color="auto" w:sz="4" w:space="0"/>
              <w:bottom w:val="single" w:color="auto" w:sz="4" w:space="0"/>
              <w:right w:val="single" w:color="auto" w:sz="4" w:space="0"/>
            </w:tcBorders>
            <w:shd w:val="clear" w:color="auto" w:fill="auto"/>
            <w:vAlign w:val="center"/>
          </w:tcPr>
          <w:p w14:paraId="67CC0F5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含彩排+正式演练</w:t>
            </w:r>
          </w:p>
        </w:tc>
      </w:tr>
      <w:tr w14:paraId="2EE33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4" w:hRule="atLeast"/>
        </w:trPr>
        <w:tc>
          <w:tcPr>
            <w:tcW w:w="624"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01A717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22</w:t>
            </w:r>
          </w:p>
        </w:tc>
        <w:tc>
          <w:tcPr>
            <w:tcW w:w="796" w:type="dxa"/>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14:paraId="48F4B4DF">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auto" w:sz="4" w:space="0"/>
              <w:left w:val="single" w:color="000000" w:sz="4" w:space="0"/>
              <w:bottom w:val="single" w:color="000000" w:sz="4" w:space="0"/>
              <w:right w:val="single" w:color="000000" w:sz="4" w:space="0"/>
            </w:tcBorders>
            <w:shd w:val="clear" w:color="auto" w:fill="auto"/>
            <w:vAlign w:val="center"/>
          </w:tcPr>
          <w:p w14:paraId="7B1A2F9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直播导播师</w:t>
            </w:r>
          </w:p>
        </w:tc>
        <w:tc>
          <w:tcPr>
            <w:tcW w:w="31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49F0C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多机位现场直播/录播导播技术，熟练操作导播台及相关设备；具备大型活动（尤其是动态性强、场地复杂的活动）的直播导播经验；画面感强，节奏把控精准，能预判关键节点；熟悉通讯系统，能与摄影师、导演、讲解员高效协同；具备应对现场技术故障的应急能力</w:t>
            </w:r>
          </w:p>
        </w:tc>
        <w:tc>
          <w:tcPr>
            <w:tcW w:w="848"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0E000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37EE2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w:t>
            </w:r>
          </w:p>
        </w:tc>
        <w:tc>
          <w:tcPr>
            <w:tcW w:w="2078" w:type="dxa"/>
            <w:tcBorders>
              <w:top w:val="single" w:color="auto" w:sz="4" w:space="0"/>
              <w:left w:val="single" w:color="000000" w:sz="4" w:space="0"/>
              <w:bottom w:val="single" w:color="000000" w:sz="4" w:space="0"/>
              <w:right w:val="single" w:color="000000" w:sz="4" w:space="0"/>
            </w:tcBorders>
            <w:shd w:val="clear" w:color="auto" w:fill="auto"/>
            <w:vAlign w:val="center"/>
          </w:tcPr>
          <w:p w14:paraId="22BB4DF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含彩排+正式演练</w:t>
            </w:r>
          </w:p>
        </w:tc>
      </w:tr>
      <w:tr w14:paraId="678CA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AF46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23</w:t>
            </w:r>
          </w:p>
        </w:tc>
        <w:tc>
          <w:tcPr>
            <w:tcW w:w="7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88BCD">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3E23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摄影师</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F0A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熟练操作专业摄像机（广播级或电影级），擅长手持稳定拍摄；良好的体力和耐力，能适应长时间跟拍；敏锐的观察力和抓拍能力；熟悉不同场景的曝光、构图技巧；良好的沟通能力和服从性</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5F9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988A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人</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310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含演习当天30S视频花絮</w:t>
            </w:r>
          </w:p>
        </w:tc>
      </w:tr>
      <w:tr w14:paraId="146C7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C28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24</w:t>
            </w:r>
          </w:p>
        </w:tc>
        <w:tc>
          <w:tcPr>
            <w:tcW w:w="7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8F45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后期工作</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BC11">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后期视频剪辑及制作服务</w:t>
            </w:r>
          </w:p>
        </w:tc>
        <w:tc>
          <w:tcPr>
            <w:tcW w:w="3195" w:type="dxa"/>
            <w:tcBorders>
              <w:top w:val="nil"/>
              <w:left w:val="nil"/>
              <w:bottom w:val="nil"/>
              <w:right w:val="nil"/>
            </w:tcBorders>
            <w:shd w:val="clear" w:color="auto" w:fill="auto"/>
            <w:vAlign w:val="center"/>
          </w:tcPr>
          <w:p w14:paraId="2AA1E31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大型活动/纪录片剪辑经验</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B3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1D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96A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包含全过程记录片、3-5分钟精华剪辑短片等</w:t>
            </w:r>
          </w:p>
        </w:tc>
      </w:tr>
      <w:tr w14:paraId="4A89F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421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sz w:val="24"/>
                <w:szCs w:val="24"/>
                <w:highlight w:val="none"/>
                <w:u w:val="none"/>
                <w:lang w:val="en-US" w:eastAsia="zh-CN"/>
              </w:rPr>
              <w:t>25</w:t>
            </w:r>
          </w:p>
        </w:tc>
        <w:tc>
          <w:tcPr>
            <w:tcW w:w="7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B1FD5">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1F58">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后期配音</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56DB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语速、语气得当，音频清晰</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83F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FF5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237F">
            <w:pPr>
              <w:keepNext w:val="0"/>
              <w:keepLines w:val="0"/>
              <w:pageBreakBefore w:val="0"/>
              <w:widowControl/>
              <w:kinsoku/>
              <w:wordWrap/>
              <w:overflowPunct/>
              <w:topLinePunct w:val="0"/>
              <w:autoSpaceDE/>
              <w:autoSpaceDN/>
              <w:bidi w:val="0"/>
              <w:adjustRightInd/>
              <w:snapToGrid/>
              <w:spacing w:line="400" w:lineRule="exact"/>
              <w:rPr>
                <w:rFonts w:hint="eastAsia" w:ascii="仿宋" w:hAnsi="仿宋" w:eastAsia="仿宋" w:cs="仿宋"/>
                <w:i w:val="0"/>
                <w:iCs w:val="0"/>
                <w:color w:val="000000"/>
                <w:sz w:val="24"/>
                <w:szCs w:val="24"/>
                <w:highlight w:val="none"/>
                <w:u w:val="none"/>
              </w:rPr>
            </w:pPr>
          </w:p>
        </w:tc>
      </w:tr>
      <w:tr w14:paraId="45BDE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C3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26</w:t>
            </w:r>
          </w:p>
        </w:tc>
        <w:tc>
          <w:tcPr>
            <w:tcW w:w="796" w:type="dxa"/>
            <w:vMerge w:val="restart"/>
            <w:tcBorders>
              <w:top w:val="nil"/>
              <w:left w:val="single" w:color="000000" w:sz="4" w:space="0"/>
              <w:bottom w:val="single" w:color="000000" w:sz="4" w:space="0"/>
              <w:right w:val="single" w:color="000000" w:sz="4" w:space="0"/>
            </w:tcBorders>
            <w:shd w:val="clear" w:color="auto" w:fill="auto"/>
            <w:noWrap/>
            <w:vAlign w:val="center"/>
          </w:tcPr>
          <w:p w14:paraId="168C45D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其他物料</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3D7B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演习现场标识横幅制作</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055F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包含交通指示牌10张、各小组指示牌10张、演习横幅2张等</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A6B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E48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86B6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定制印刷</w:t>
            </w:r>
          </w:p>
        </w:tc>
      </w:tr>
      <w:tr w14:paraId="3AE42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1132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27</w:t>
            </w:r>
          </w:p>
        </w:tc>
        <w:tc>
          <w:tcPr>
            <w:tcW w:w="796" w:type="dxa"/>
            <w:vMerge w:val="continue"/>
            <w:tcBorders>
              <w:top w:val="nil"/>
              <w:left w:val="single" w:color="000000" w:sz="4" w:space="0"/>
              <w:bottom w:val="single" w:color="000000" w:sz="4" w:space="0"/>
              <w:right w:val="single" w:color="000000" w:sz="4" w:space="0"/>
            </w:tcBorders>
            <w:shd w:val="clear" w:color="auto" w:fill="auto"/>
            <w:noWrap/>
            <w:vAlign w:val="center"/>
          </w:tcPr>
          <w:p w14:paraId="07D3A600">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A033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演习现场材料印刷制作</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3DA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包含手册、纸笔、文件袋、纪念册等材料</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AD0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100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522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854E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定制印刷</w:t>
            </w:r>
          </w:p>
        </w:tc>
      </w:tr>
      <w:tr w14:paraId="77982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0DB5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28</w:t>
            </w:r>
          </w:p>
        </w:tc>
        <w:tc>
          <w:tcPr>
            <w:tcW w:w="796" w:type="dxa"/>
            <w:vMerge w:val="continue"/>
            <w:tcBorders>
              <w:top w:val="nil"/>
              <w:left w:val="single" w:color="000000" w:sz="4" w:space="0"/>
              <w:bottom w:val="single" w:color="000000" w:sz="4" w:space="0"/>
              <w:right w:val="single" w:color="000000" w:sz="4" w:space="0"/>
            </w:tcBorders>
            <w:shd w:val="clear" w:color="auto" w:fill="auto"/>
            <w:noWrap/>
            <w:vAlign w:val="center"/>
          </w:tcPr>
          <w:p w14:paraId="27066B18">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 w:hAnsi="仿宋" w:eastAsia="仿宋" w:cs="仿宋"/>
                <w:i w:val="0"/>
                <w:iCs w:val="0"/>
                <w:color w:val="000000"/>
                <w:sz w:val="24"/>
                <w:szCs w:val="24"/>
                <w:highlight w:val="none"/>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DDC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瓶装饮用水</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0FAB">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500ml左右/瓶</w:t>
            </w:r>
          </w:p>
        </w:tc>
        <w:tc>
          <w:tcPr>
            <w:tcW w:w="8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F2D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20</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C0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箱</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8EA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含定制水瓶标签</w:t>
            </w:r>
          </w:p>
        </w:tc>
      </w:tr>
    </w:tbl>
    <w:p w14:paraId="11CD94BB">
      <w:pPr>
        <w:pStyle w:val="2"/>
        <w:rPr>
          <w:highlight w:val="none"/>
        </w:rPr>
      </w:pPr>
    </w:p>
    <w:p w14:paraId="67B376D9">
      <w:pPr>
        <w:widowControl/>
        <w:spacing w:line="56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三、质量要求</w:t>
      </w:r>
    </w:p>
    <w:p w14:paraId="54AAD06C">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演习符合《港口设施保安规则》要求，演习达到锻炼队伍的目的，演习成果画面清晰、流程顺畅。</w:t>
      </w:r>
    </w:p>
    <w:p w14:paraId="1ED70E5E">
      <w:pPr>
        <w:widowControl/>
        <w:spacing w:line="56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四、商务要求</w:t>
      </w:r>
    </w:p>
    <w:p w14:paraId="4469AE16">
      <w:pPr>
        <w:widowControl/>
        <w:spacing w:line="560" w:lineRule="exact"/>
        <w:ind w:firstLine="640" w:firstLineChars="200"/>
        <w:rPr>
          <w:rFonts w:ascii="楷体" w:hAnsi="楷体" w:eastAsia="楷体" w:cs="楷体"/>
          <w:sz w:val="32"/>
          <w:szCs w:val="32"/>
          <w:highlight w:val="none"/>
          <w:lang w:bidi="ar"/>
        </w:rPr>
      </w:pPr>
      <w:r>
        <w:rPr>
          <w:rFonts w:hint="eastAsia" w:ascii="楷体" w:hAnsi="楷体" w:eastAsia="楷体" w:cs="楷体"/>
          <w:sz w:val="32"/>
          <w:szCs w:val="32"/>
          <w:highlight w:val="none"/>
          <w:lang w:bidi="ar"/>
        </w:rPr>
        <w:t>（一）报价要求</w:t>
      </w:r>
    </w:p>
    <w:p w14:paraId="4759EBCA">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1.竞标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48E246EB">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2.本次采购采用总价包干，竞标报价包含但不限于资料收集、会议、差旅费、预拍摄费、文印费、设备耗材费、税费及合同包含的所有风险、责任及措施等费用，包含为完成2025年北部湾港钦州港域港口设施保安演习（除拖轮租赁费外）的全部工作以及可能发生的各种费用。本项目合同总价在合同执行过程中是固定的，不因情况变化而调整。</w:t>
      </w:r>
    </w:p>
    <w:p w14:paraId="04EBBC0A">
      <w:pPr>
        <w:widowControl/>
        <w:spacing w:line="560" w:lineRule="exact"/>
        <w:ind w:firstLine="640" w:firstLineChars="200"/>
        <w:rPr>
          <w:rFonts w:ascii="楷体" w:hAnsi="楷体" w:eastAsia="楷体" w:cs="楷体"/>
          <w:sz w:val="32"/>
          <w:szCs w:val="32"/>
          <w:highlight w:val="none"/>
          <w:lang w:bidi="ar"/>
        </w:rPr>
      </w:pPr>
      <w:r>
        <w:rPr>
          <w:rFonts w:hint="eastAsia" w:ascii="楷体" w:hAnsi="楷体" w:eastAsia="楷体" w:cs="楷体"/>
          <w:sz w:val="32"/>
          <w:szCs w:val="32"/>
          <w:highlight w:val="none"/>
          <w:lang w:bidi="ar"/>
        </w:rPr>
        <w:t>（二）进度要求</w:t>
      </w:r>
    </w:p>
    <w:p w14:paraId="2ED685D0">
      <w:pPr>
        <w:widowControl/>
        <w:spacing w:line="560" w:lineRule="exact"/>
        <w:ind w:firstLine="640" w:firstLineChars="200"/>
        <w:rPr>
          <w:rFonts w:ascii="仿宋" w:hAnsi="仿宋" w:eastAsia="仿宋" w:cs="仿宋"/>
          <w:bCs/>
          <w:sz w:val="32"/>
          <w:szCs w:val="32"/>
          <w:highlight w:val="none"/>
        </w:rPr>
      </w:pPr>
      <w:r>
        <w:rPr>
          <w:rFonts w:hint="eastAsia" w:ascii="仿宋" w:hAnsi="仿宋" w:eastAsia="仿宋" w:cs="仿宋"/>
          <w:snapToGrid w:val="0"/>
          <w:kern w:val="0"/>
          <w:sz w:val="32"/>
          <w:szCs w:val="32"/>
          <w:highlight w:val="none"/>
        </w:rPr>
        <w:t>拍摄成果交付时间：演习结束后30日历天，其中快剪应于演习次日提供。</w:t>
      </w:r>
    </w:p>
    <w:p w14:paraId="2ADB95F7">
      <w:pPr>
        <w:pStyle w:val="8"/>
      </w:pPr>
    </w:p>
    <w:p w14:paraId="1965AE6C">
      <w:pPr>
        <w:pStyle w:val="8"/>
      </w:pPr>
    </w:p>
    <w:p w14:paraId="483E931B">
      <w:pPr>
        <w:pStyle w:val="8"/>
      </w:pPr>
    </w:p>
    <w:p w14:paraId="262B9232">
      <w:pPr>
        <w:pStyle w:val="8"/>
      </w:pPr>
    </w:p>
    <w:p w14:paraId="26B05452">
      <w:pPr>
        <w:pStyle w:val="8"/>
      </w:pPr>
    </w:p>
    <w:p w14:paraId="7C007EE0">
      <w:pPr>
        <w:pStyle w:val="8"/>
      </w:pPr>
    </w:p>
    <w:p w14:paraId="0CAD643E">
      <w:pPr>
        <w:pStyle w:val="3"/>
        <w:spacing w:before="0" w:after="0" w:line="560" w:lineRule="exact"/>
        <w:jc w:val="center"/>
        <w:rPr>
          <w:rFonts w:ascii="方正小标宋_GBK" w:hAnsi="方正小标宋_GBK" w:eastAsia="方正小标宋_GBK" w:cs="方正小标宋_GBK"/>
          <w:highlight w:val="none"/>
        </w:rPr>
      </w:pPr>
      <w:bookmarkStart w:id="13" w:name="_Toc23331"/>
      <w:bookmarkStart w:id="14" w:name="_Toc6863"/>
      <w:bookmarkStart w:id="15" w:name="_Toc12517"/>
      <w:r>
        <w:rPr>
          <w:rFonts w:hint="eastAsia" w:ascii="方正小标宋_GBK" w:hAnsi="方正小标宋_GBK" w:eastAsia="方正小标宋_GBK" w:cs="方正小标宋_GBK"/>
          <w:highlight w:val="none"/>
        </w:rPr>
        <w:t>第四章  评审办法</w:t>
      </w:r>
      <w:bookmarkEnd w:id="13"/>
      <w:bookmarkEnd w:id="14"/>
    </w:p>
    <w:p w14:paraId="5831F974">
      <w:pPr>
        <w:spacing w:line="560" w:lineRule="exact"/>
        <w:jc w:val="center"/>
        <w:outlineLvl w:val="1"/>
        <w:rPr>
          <w:rFonts w:ascii="仿宋" w:hAnsi="仿宋" w:eastAsia="仿宋" w:cs="仿宋"/>
          <w:b/>
          <w:sz w:val="32"/>
          <w:szCs w:val="32"/>
          <w:highlight w:val="none"/>
        </w:rPr>
      </w:pPr>
      <w:bookmarkStart w:id="16" w:name="_Toc28533"/>
      <w:bookmarkStart w:id="17" w:name="_Toc17459"/>
    </w:p>
    <w:p w14:paraId="28E3B460">
      <w:pPr>
        <w:spacing w:line="560" w:lineRule="exact"/>
        <w:jc w:val="center"/>
        <w:outlineLvl w:val="1"/>
        <w:rPr>
          <w:rFonts w:ascii="楷体" w:hAnsi="楷体" w:eastAsia="楷体" w:cs="楷体"/>
          <w:b/>
          <w:sz w:val="32"/>
          <w:szCs w:val="32"/>
          <w:highlight w:val="none"/>
        </w:rPr>
      </w:pPr>
      <w:r>
        <w:rPr>
          <w:rFonts w:hint="eastAsia" w:ascii="楷体" w:hAnsi="楷体" w:eastAsia="楷体" w:cs="楷体"/>
          <w:b/>
          <w:sz w:val="32"/>
          <w:szCs w:val="32"/>
          <w:highlight w:val="none"/>
        </w:rPr>
        <w:t>第一节  评审程序和评审方法</w:t>
      </w:r>
      <w:bookmarkEnd w:id="16"/>
      <w:bookmarkEnd w:id="17"/>
    </w:p>
    <w:bookmarkEnd w:id="15"/>
    <w:p w14:paraId="1C2D1A04">
      <w:pPr>
        <w:spacing w:line="560" w:lineRule="exact"/>
        <w:ind w:firstLine="640" w:firstLineChars="200"/>
        <w:rPr>
          <w:rFonts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根据《中华人民共和国民法典》、 《广西壮族自治区港航发展中心自行采购管理办法》 及其他有关规定，采购人组建合议小组（评审小组）按本采购文件规定，对响应文件进行评审。</w:t>
      </w:r>
    </w:p>
    <w:p w14:paraId="1E47E6B9">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一、资格审查</w:t>
      </w:r>
    </w:p>
    <w:p w14:paraId="5119F274">
      <w:pPr>
        <w:snapToGrid w:val="0"/>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（一）评审小组依法对供应商的响应文件中资格证明文件进行审查。</w:t>
      </w:r>
    </w:p>
    <w:p w14:paraId="07C00D85">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1.查询渠道：“信用中国”网站、中国政府采购网。</w:t>
      </w:r>
    </w:p>
    <w:p w14:paraId="7D2B8A32">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2.信用查询截止时点：资格审查结束前</w:t>
      </w:r>
    </w:p>
    <w:p w14:paraId="67E74DCA">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3.查询记录和证据留存方式：将查询网站中的查询记录截图并作为评审资料保存。</w:t>
      </w:r>
    </w:p>
    <w:p w14:paraId="463C3AD2">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4.信用信息使用规则：对在“信用中国”网站、中国政府采购网被列入失信被执行人、重大税收违法案件当事人名单、政府采购严重违法失信行为记录名单及其他不符合《中华人民共和国政府采购法》第二十二条规定条件的供应商，不得参与政府采购活动。</w:t>
      </w:r>
    </w:p>
    <w:p w14:paraId="0842A318">
      <w:pPr>
        <w:snapToGrid w:val="0"/>
        <w:spacing w:line="560" w:lineRule="exact"/>
        <w:ind w:firstLine="640" w:firstLineChars="200"/>
        <w:jc w:val="left"/>
        <w:rPr>
          <w:rFonts w:hint="eastAsia" w:ascii="楷体" w:hAnsi="楷体" w:eastAsia="楷体" w:cs="楷体"/>
          <w:sz w:val="32"/>
          <w:szCs w:val="32"/>
          <w:highlight w:val="none"/>
        </w:rPr>
      </w:pPr>
      <w:r>
        <w:rPr>
          <w:rFonts w:hint="eastAsia" w:ascii="楷体" w:hAnsi="楷体" w:eastAsia="楷体" w:cs="楷体"/>
          <w:sz w:val="32"/>
          <w:szCs w:val="32"/>
          <w:highlight w:val="none"/>
        </w:rPr>
        <w:t>（二)资格审查标准为本采购文件中载明对供应商资格要求的条件。资格审查采用合格制，凡符合采购文件规定的供应商资格要求的响应文件均通过资格审查。</w:t>
      </w:r>
    </w:p>
    <w:p w14:paraId="1666987E">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(三)凡是不满足资格审查中的任意一条，均为不通过资格审查。</w:t>
      </w:r>
    </w:p>
    <w:p w14:paraId="479258C6">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(四)如果通过资格审查的投标供应商不足三家：</w:t>
      </w:r>
    </w:p>
    <w:p w14:paraId="06CE7B53">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1.延长采购公告时间，延期3天。</w:t>
      </w:r>
    </w:p>
    <w:p w14:paraId="28B0264A">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2.延期时间截止，响应供应商为2家或2家以上的，按照正常采购流程开展。</w:t>
      </w:r>
    </w:p>
    <w:p w14:paraId="7BAA9D9F">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3.延期时间截止，响应供应商为1家的，由采购方成立合议小组审核供应商投标文件，确定满足采购方案的条件后，组成谈判小组与供应商谈判。根据采购方内部程序，确定中标人，签订采购合同、支付合同款等。</w:t>
      </w:r>
    </w:p>
    <w:p w14:paraId="696E2562">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二、符合性审查</w:t>
      </w:r>
    </w:p>
    <w:p w14:paraId="101634DB">
      <w:pPr>
        <w:spacing w:line="560" w:lineRule="exact"/>
        <w:ind w:firstLine="640" w:firstLineChars="200"/>
        <w:rPr>
          <w:rFonts w:ascii="楷体" w:hAnsi="楷体" w:eastAsia="楷体" w:cs="楷体"/>
          <w:sz w:val="32"/>
          <w:szCs w:val="32"/>
          <w:highlight w:val="none"/>
        </w:rPr>
      </w:pPr>
      <w:bookmarkStart w:id="18" w:name="_Hlk42528882"/>
      <w:r>
        <w:rPr>
          <w:rFonts w:hint="eastAsia" w:ascii="楷体" w:hAnsi="楷体" w:eastAsia="楷体" w:cs="楷体"/>
          <w:sz w:val="32"/>
          <w:szCs w:val="32"/>
          <w:highlight w:val="none"/>
        </w:rPr>
        <w:t>（一）由评审小组对资格审查的合格供应商的响应文件进行符合性审查，以确定其是否满足采购文件的实质性要求。</w:t>
      </w:r>
    </w:p>
    <w:bookmarkEnd w:id="18"/>
    <w:p w14:paraId="5CDB9283">
      <w:pPr>
        <w:spacing w:line="560" w:lineRule="exact"/>
        <w:ind w:firstLine="640" w:firstLineChars="200"/>
        <w:rPr>
          <w:rFonts w:ascii="楷体" w:hAnsi="楷体" w:eastAsia="楷体" w:cs="楷体"/>
          <w:sz w:val="32"/>
          <w:szCs w:val="32"/>
          <w:highlight w:val="none"/>
        </w:rPr>
      </w:pPr>
      <w:r>
        <w:rPr>
          <w:rFonts w:hint="eastAsia" w:ascii="楷体" w:hAnsi="楷体" w:eastAsia="楷体" w:cs="楷体"/>
          <w:sz w:val="32"/>
          <w:szCs w:val="32"/>
          <w:highlight w:val="none"/>
        </w:rPr>
        <w:t>（二）报价评审</w:t>
      </w:r>
    </w:p>
    <w:p w14:paraId="31E4839C">
      <w:pPr>
        <w:spacing w:line="560" w:lineRule="exact"/>
        <w:ind w:firstLine="640" w:firstLineChars="200"/>
        <w:rPr>
          <w:rFonts w:ascii="楷体" w:hAnsi="楷体" w:eastAsia="楷体" w:cs="楷体"/>
          <w:sz w:val="32"/>
          <w:szCs w:val="32"/>
          <w:highlight w:val="none"/>
        </w:rPr>
      </w:pPr>
      <w:r>
        <w:rPr>
          <w:rFonts w:hint="eastAsia" w:ascii="楷体" w:hAnsi="楷体" w:eastAsia="楷体" w:cs="楷体"/>
          <w:sz w:val="32"/>
          <w:szCs w:val="32"/>
          <w:highlight w:val="none"/>
        </w:rPr>
        <w:t>在评审时，如发现下列情形之一的，将被视为响应文件无效响应处理：</w:t>
      </w:r>
    </w:p>
    <w:p w14:paraId="114BCB4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1.商务技术评审</w:t>
      </w:r>
    </w:p>
    <w:p w14:paraId="3AAF9239">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1）响应文件未按采购文件要求签署、盖章；</w:t>
      </w:r>
    </w:p>
    <w:p w14:paraId="5F32BA5C">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2）委托代理人未能出具有效身份证或者出具的身份证与授权委托书中的信息不符的； </w:t>
      </w:r>
    </w:p>
    <w:p w14:paraId="03FAC6F5">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3）响应文件的实质性内容未使用中文表述、使用计量单位不符合采购文件要求；</w:t>
      </w:r>
    </w:p>
    <w:p w14:paraId="0B90170D">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4）响应文件中的文件资料因填写不齐全或者内容虚假或者出现其他情形而导致被评审小组认定无效；</w:t>
      </w:r>
    </w:p>
    <w:p w14:paraId="20CEAE95">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5）响应文件含有采购人不能接受的附加条件；</w:t>
      </w:r>
    </w:p>
    <w:p w14:paraId="7408BFCC">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6）虚假竞标，或者出现其他情形而导致被评审小组认定无效；</w:t>
      </w:r>
    </w:p>
    <w:p w14:paraId="7DE41434">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7）</w:t>
      </w:r>
      <w:bookmarkStart w:id="19" w:name="_Hlk71704147"/>
      <w:r>
        <w:rPr>
          <w:rFonts w:hint="eastAsia" w:ascii="仿宋" w:hAnsi="仿宋" w:eastAsia="仿宋" w:cs="仿宋"/>
          <w:sz w:val="32"/>
          <w:szCs w:val="32"/>
          <w:highlight w:val="none"/>
        </w:rPr>
        <w:t>采购文件未载明允许提供备选（替代）竞标方案或明确不允许提供备选（替代）竞标方案时，供应商提供了备选（替代）竞标方案的；</w:t>
      </w:r>
      <w:bookmarkEnd w:id="19"/>
    </w:p>
    <w:p w14:paraId="173F7DC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8）响应文件标注的项目名称或者项目编号与采购文件标注的项目名称或者项目编号不一致的；</w:t>
      </w:r>
    </w:p>
    <w:p w14:paraId="61C53468">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9）未响应采购文件实质性要求；</w:t>
      </w:r>
    </w:p>
    <w:p w14:paraId="0170B94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10）法律、法规和采购文件规定的其他无效情形。</w:t>
      </w:r>
    </w:p>
    <w:p w14:paraId="47F07657">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2.报价评审</w:t>
      </w:r>
    </w:p>
    <w:p w14:paraId="60A00C5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 响应文件未提供采购文件中规定的“竞标报价表”；</w:t>
      </w:r>
    </w:p>
    <w:p w14:paraId="4C110975">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2）未采用人民币报价或者未按照采购文件标明的币种报价；</w:t>
      </w:r>
    </w:p>
    <w:p w14:paraId="7DCA7FC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供应商未就所竞标分标进行报价或者存在漏项报价；供应商未就所竞标分标的单项内容作唯一报价；供应商未就所竞标分标的全部内容作完整唯一总价报价；供应商响应文件中存在有选择、有条件报价的（采购文件允许有备选方案或者其他约定的除外）；</w:t>
      </w:r>
    </w:p>
    <w:p w14:paraId="55D9D7EA">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4）报价超过最高限价的（如本项目公布了最高限价）；</w:t>
      </w:r>
      <w:bookmarkStart w:id="20" w:name="_Hlk42596405"/>
      <w:r>
        <w:rPr>
          <w:rFonts w:hint="eastAsia" w:ascii="仿宋" w:hAnsi="仿宋" w:eastAsia="仿宋" w:cs="仿宋"/>
          <w:sz w:val="32"/>
          <w:szCs w:val="32"/>
          <w:highlight w:val="none"/>
        </w:rPr>
        <w:t xml:space="preserve"> </w:t>
      </w:r>
      <w:bookmarkEnd w:id="20"/>
    </w:p>
    <w:p w14:paraId="41F206BD">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5）修正后的报价，供应商不确认的；或者经供应商确认修正后的最后报价超过最高限价（如本项目公布了最高限价）；</w:t>
      </w:r>
    </w:p>
    <w:p w14:paraId="39AD2026">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6）响应文件响应的标的数量及单位与采购文件要求实质性不一致的。</w:t>
      </w:r>
    </w:p>
    <w:p w14:paraId="6F9276CC">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三、比较与评价</w:t>
      </w:r>
    </w:p>
    <w:p w14:paraId="48302B30">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（一）评审方法：综合评分法。</w:t>
      </w:r>
    </w:p>
    <w:p w14:paraId="4CAE4EA0">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（二）由评审小组采用综合评分法对有效响应文件进行综合评分。</w:t>
      </w:r>
    </w:p>
    <w:p w14:paraId="0DA94CB0">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（三）评审时，评审小组各成员应当对每个有效响应的文件进行评价、打分，然后汇总每个供应商每项评分因素的得分。</w:t>
      </w:r>
    </w:p>
    <w:p w14:paraId="5554ECD6">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1.评审小组按照采购文件中规定的评审标准计算各供应商的报价得分。项目评审过程中，不得去掉最后报价中的最高报价和最低报价。</w:t>
      </w:r>
    </w:p>
    <w:p w14:paraId="748F98F6">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2.各供应商的得分为评审小组所有成员的有效评分的算术平均数。</w:t>
      </w:r>
    </w:p>
    <w:p w14:paraId="7D026CCB">
      <w:pPr>
        <w:spacing w:line="560" w:lineRule="exact"/>
        <w:ind w:firstLine="640" w:firstLineChars="200"/>
        <w:rPr>
          <w:rFonts w:hint="eastAsia" w:ascii="楷体" w:hAnsi="楷体" w:eastAsia="楷体" w:cs="楷体"/>
          <w:kern w:val="0"/>
          <w:sz w:val="32"/>
          <w:szCs w:val="32"/>
          <w:highlight w:val="none"/>
        </w:rPr>
      </w:pPr>
      <w:r>
        <w:rPr>
          <w:rFonts w:hint="eastAsia" w:ascii="楷体" w:hAnsi="楷体" w:eastAsia="楷体" w:cs="楷体"/>
          <w:sz w:val="32"/>
          <w:szCs w:val="32"/>
          <w:highlight w:val="none"/>
        </w:rPr>
        <w:t>（四）由评审小组根据综合评分情况，按照评审得分由高到低顺序推荐3名成交候选供应商，并编写评</w:t>
      </w:r>
      <w:r>
        <w:rPr>
          <w:rFonts w:hint="eastAsia" w:ascii="楷体" w:hAnsi="楷体" w:eastAsia="楷体" w:cs="楷体"/>
          <w:kern w:val="0"/>
          <w:sz w:val="32"/>
          <w:szCs w:val="32"/>
          <w:highlight w:val="none"/>
        </w:rPr>
        <w:t>审报告。评审得分相同的，按照最后报价由低到高的顺序推荐。</w:t>
      </w:r>
    </w:p>
    <w:p w14:paraId="25396633">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kern w:val="0"/>
          <w:sz w:val="32"/>
          <w:szCs w:val="32"/>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6A4912D6">
      <w:pPr>
        <w:widowControl/>
        <w:spacing w:line="560" w:lineRule="exact"/>
        <w:jc w:val="center"/>
        <w:outlineLvl w:val="1"/>
        <w:rPr>
          <w:rFonts w:ascii="仿宋" w:hAnsi="仿宋" w:eastAsia="楷体" w:cs="仿宋"/>
          <w:b/>
          <w:sz w:val="32"/>
          <w:szCs w:val="32"/>
          <w:highlight w:val="none"/>
        </w:rPr>
      </w:pPr>
      <w:bookmarkStart w:id="21" w:name="_Toc2435"/>
      <w:bookmarkStart w:id="22" w:name="_Toc8537"/>
      <w:bookmarkStart w:id="23" w:name="_Toc7508"/>
      <w:r>
        <w:rPr>
          <w:rFonts w:hint="eastAsia" w:ascii="楷体" w:hAnsi="楷体" w:eastAsia="楷体" w:cs="楷体"/>
          <w:b/>
          <w:sz w:val="32"/>
          <w:szCs w:val="32"/>
          <w:highlight w:val="none"/>
        </w:rPr>
        <w:t>第二节  评审标准</w:t>
      </w:r>
      <w:bookmarkEnd w:id="21"/>
      <w:bookmarkEnd w:id="22"/>
      <w:bookmarkEnd w:id="23"/>
    </w:p>
    <w:p w14:paraId="18488FFE">
      <w:pPr>
        <w:spacing w:line="560" w:lineRule="exact"/>
        <w:ind w:firstLine="640" w:firstLineChars="200"/>
        <w:rPr>
          <w:rFonts w:ascii="仿宋" w:hAnsi="仿宋" w:eastAsia="仿宋" w:cs="仿宋"/>
          <w:bCs/>
          <w:sz w:val="32"/>
          <w:szCs w:val="32"/>
          <w:highlight w:val="none"/>
        </w:rPr>
      </w:pPr>
      <w:r>
        <w:rPr>
          <w:rFonts w:hint="eastAsia" w:ascii="仿宋" w:hAnsi="仿宋" w:eastAsia="仿宋" w:cs="仿宋"/>
          <w:bCs/>
          <w:sz w:val="32"/>
          <w:szCs w:val="32"/>
          <w:highlight w:val="none"/>
        </w:rPr>
        <w:t>评审小组将以采购文件为评审依据，对供应商的报价、商务等方面内容按百分制打分。（计分方法按四舍五入取至百分位）</w:t>
      </w:r>
    </w:p>
    <w:tbl>
      <w:tblPr>
        <w:tblStyle w:val="19"/>
        <w:tblW w:w="9118" w:type="dxa"/>
        <w:jc w:val="center"/>
        <w:tblLayout w:type="fixed"/>
        <w:tblCellMar>
          <w:top w:w="28" w:type="dxa"/>
          <w:left w:w="28" w:type="dxa"/>
          <w:bottom w:w="28" w:type="dxa"/>
          <w:right w:w="28" w:type="dxa"/>
        </w:tblCellMar>
      </w:tblPr>
      <w:tblGrid>
        <w:gridCol w:w="592"/>
        <w:gridCol w:w="1671"/>
        <w:gridCol w:w="6855"/>
      </w:tblGrid>
      <w:tr w14:paraId="62289FFA">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5B9F0097">
            <w:pPr>
              <w:spacing w:line="560" w:lineRule="exact"/>
              <w:jc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15E817C4">
            <w:pPr>
              <w:widowControl/>
              <w:spacing w:line="560" w:lineRule="exact"/>
              <w:jc w:val="center"/>
              <w:textAlignment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302F6500">
            <w:pPr>
              <w:widowControl/>
              <w:spacing w:line="560" w:lineRule="exact"/>
              <w:jc w:val="center"/>
              <w:textAlignment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评审标准</w:t>
            </w:r>
          </w:p>
        </w:tc>
      </w:tr>
      <w:tr w14:paraId="7EDC9992">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335C86B7">
            <w:pPr>
              <w:spacing w:line="560" w:lineRule="exact"/>
              <w:jc w:val="center"/>
              <w:rPr>
                <w:rFonts w:ascii="仿宋" w:hAnsi="仿宋" w:eastAsia="仿宋" w:cs="仿宋"/>
                <w:sz w:val="32"/>
                <w:szCs w:val="32"/>
                <w:highlight w:val="none"/>
              </w:rPr>
            </w:pPr>
            <w:r>
              <w:rPr>
                <w:rFonts w:hint="eastAsia" w:ascii="黑体" w:hAnsi="黑体" w:eastAsia="黑体" w:cs="黑体"/>
                <w:sz w:val="32"/>
                <w:szCs w:val="32"/>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4B3CAE8C">
            <w:pPr>
              <w:widowControl/>
              <w:spacing w:line="560" w:lineRule="exact"/>
              <w:jc w:val="center"/>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rPr>
              <w:t>价格</w:t>
            </w:r>
          </w:p>
          <w:p w14:paraId="1F88E580">
            <w:pPr>
              <w:widowControl/>
              <w:spacing w:line="560" w:lineRule="exact"/>
              <w:jc w:val="center"/>
              <w:textAlignment w:val="center"/>
              <w:rPr>
                <w:rFonts w:ascii="仿宋" w:hAnsi="仿宋" w:eastAsia="仿宋" w:cs="仿宋"/>
                <w:sz w:val="32"/>
                <w:szCs w:val="32"/>
                <w:highlight w:val="none"/>
              </w:rPr>
            </w:pPr>
            <w:r>
              <w:rPr>
                <w:rFonts w:hint="eastAsia" w:ascii="黑体" w:hAnsi="黑体" w:eastAsia="黑体" w:cs="黑体"/>
                <w:sz w:val="32"/>
                <w:szCs w:val="32"/>
                <w:highlight w:val="none"/>
              </w:rPr>
              <w:t>（满分20分）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3C544956">
            <w:pPr>
              <w:widowControl/>
              <w:spacing w:line="560" w:lineRule="exact"/>
              <w:ind w:firstLine="640" w:firstLineChars="200"/>
              <w:textAlignment w:val="center"/>
              <w:rPr>
                <w:rFonts w:ascii="仿宋" w:hAnsi="仿宋" w:eastAsia="仿宋" w:cs="仿宋"/>
                <w:sz w:val="32"/>
                <w:szCs w:val="32"/>
                <w:highlight w:val="none"/>
              </w:rPr>
            </w:pPr>
            <w:r>
              <w:rPr>
                <w:rFonts w:hint="eastAsia" w:ascii="仿宋" w:hAnsi="仿宋" w:eastAsia="仿宋" w:cs="仿宋"/>
                <w:sz w:val="32"/>
                <w:szCs w:val="32"/>
                <w:highlight w:val="none"/>
              </w:rPr>
              <w:t>以投标人的有效报价的算术平均值为基准价。报价与基准价的差取绝对值。有效报价为：投标人的报价未超过最高控制价，且投标人符合参与条件要求。</w:t>
            </w:r>
          </w:p>
          <w:p w14:paraId="18B7BC90">
            <w:pPr>
              <w:widowControl/>
              <w:spacing w:line="560" w:lineRule="exact"/>
              <w:ind w:firstLine="640" w:firstLineChars="200"/>
              <w:textAlignment w:val="center"/>
              <w:rPr>
                <w:rFonts w:ascii="仿宋" w:hAnsi="仿宋" w:eastAsia="仿宋" w:cs="仿宋"/>
                <w:sz w:val="32"/>
                <w:szCs w:val="32"/>
                <w:highlight w:val="none"/>
              </w:rPr>
            </w:pPr>
            <w:r>
              <w:rPr>
                <w:rFonts w:hint="eastAsia" w:ascii="仿宋" w:hAnsi="仿宋" w:eastAsia="仿宋" w:cs="仿宋"/>
                <w:sz w:val="32"/>
                <w:szCs w:val="32"/>
                <w:highlight w:val="none"/>
              </w:rPr>
              <w:t>偏差率=100%×∣（报价-基准价）∣/基准价。</w:t>
            </w:r>
          </w:p>
          <w:p w14:paraId="5E9FE51E">
            <w:pPr>
              <w:widowControl/>
              <w:spacing w:line="560" w:lineRule="exact"/>
              <w:ind w:firstLine="640" w:firstLineChars="200"/>
              <w:textAlignment w:val="center"/>
              <w:rPr>
                <w:rFonts w:ascii="仿宋" w:hAnsi="仿宋" w:eastAsia="仿宋" w:cs="仿宋"/>
                <w:sz w:val="32"/>
                <w:szCs w:val="32"/>
                <w:highlight w:val="none"/>
              </w:rPr>
            </w:pPr>
            <w:r>
              <w:rPr>
                <w:rFonts w:hint="eastAsia" w:ascii="仿宋" w:hAnsi="仿宋" w:eastAsia="仿宋" w:cs="仿宋"/>
                <w:sz w:val="32"/>
                <w:szCs w:val="32"/>
                <w:highlight w:val="none"/>
              </w:rPr>
              <w:t>若投标人报价&gt;评标基准价，则得分=20-偏差率×100×0.2；</w:t>
            </w:r>
          </w:p>
          <w:p w14:paraId="35F66D08">
            <w:pPr>
              <w:widowControl/>
              <w:spacing w:line="560" w:lineRule="exact"/>
              <w:ind w:firstLine="640" w:firstLineChars="200"/>
              <w:textAlignment w:val="center"/>
              <w:rPr>
                <w:rFonts w:ascii="仿宋" w:hAnsi="仿宋" w:eastAsia="仿宋" w:cs="仿宋"/>
                <w:sz w:val="32"/>
                <w:szCs w:val="32"/>
                <w:highlight w:val="none"/>
              </w:rPr>
            </w:pPr>
            <w:r>
              <w:rPr>
                <w:rFonts w:hint="eastAsia" w:ascii="仿宋" w:hAnsi="仿宋" w:eastAsia="仿宋" w:cs="仿宋"/>
                <w:sz w:val="32"/>
                <w:szCs w:val="32"/>
                <w:highlight w:val="none"/>
              </w:rPr>
              <w:t>若投标人报价≤评标基准价，则得分=20-偏差率×100×0.1。</w:t>
            </w:r>
          </w:p>
          <w:p w14:paraId="1B002520">
            <w:pPr>
              <w:widowControl/>
              <w:spacing w:line="560" w:lineRule="exact"/>
              <w:textAlignment w:val="center"/>
              <w:rPr>
                <w:rFonts w:ascii="仿宋" w:hAnsi="仿宋" w:eastAsia="仿宋" w:cs="仿宋"/>
                <w:sz w:val="32"/>
                <w:szCs w:val="32"/>
                <w:highlight w:val="none"/>
              </w:rPr>
            </w:pPr>
            <w:r>
              <w:rPr>
                <w:rFonts w:hint="eastAsia" w:ascii="仿宋" w:hAnsi="仿宋" w:eastAsia="仿宋" w:cs="仿宋"/>
                <w:sz w:val="32"/>
                <w:szCs w:val="32"/>
                <w:highlight w:val="none"/>
              </w:rPr>
              <w:t>注：分数取小数点后两位。</w:t>
            </w:r>
          </w:p>
        </w:tc>
      </w:tr>
      <w:tr w14:paraId="495F1D6C">
        <w:tblPrEx>
          <w:tblCellMar>
            <w:top w:w="28" w:type="dxa"/>
            <w:left w:w="28" w:type="dxa"/>
            <w:bottom w:w="28" w:type="dxa"/>
            <w:right w:w="28" w:type="dxa"/>
          </w:tblCellMar>
        </w:tblPrEx>
        <w:trPr>
          <w:trHeight w:val="1508"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D33F7F8">
            <w:pPr>
              <w:widowControl/>
              <w:spacing w:line="560" w:lineRule="exact"/>
              <w:jc w:val="center"/>
              <w:textAlignment w:val="center"/>
              <w:rPr>
                <w:rFonts w:ascii="仿宋" w:hAnsi="仿宋" w:eastAsia="仿宋" w:cs="仿宋"/>
                <w:sz w:val="32"/>
                <w:szCs w:val="32"/>
                <w:highlight w:val="none"/>
              </w:rPr>
            </w:pPr>
            <w:r>
              <w:rPr>
                <w:rFonts w:hint="eastAsia" w:ascii="黑体" w:hAnsi="黑体" w:eastAsia="黑体" w:cs="黑体"/>
                <w:sz w:val="32"/>
                <w:szCs w:val="32"/>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45292B71">
            <w:pPr>
              <w:widowControl/>
              <w:spacing w:line="560" w:lineRule="exact"/>
              <w:jc w:val="center"/>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rPr>
              <w:t>资信业绩</w:t>
            </w:r>
          </w:p>
          <w:p w14:paraId="57470455">
            <w:pPr>
              <w:widowControl/>
              <w:spacing w:line="560" w:lineRule="exact"/>
              <w:jc w:val="center"/>
              <w:textAlignment w:val="center"/>
              <w:rPr>
                <w:rFonts w:ascii="仿宋" w:hAnsi="仿宋" w:eastAsia="仿宋" w:cs="仿宋"/>
                <w:sz w:val="32"/>
                <w:szCs w:val="32"/>
                <w:highlight w:val="none"/>
              </w:rPr>
            </w:pPr>
            <w:r>
              <w:rPr>
                <w:rFonts w:hint="eastAsia" w:ascii="黑体" w:hAnsi="黑体" w:eastAsia="黑体" w:cs="黑体"/>
                <w:sz w:val="32"/>
                <w:szCs w:val="32"/>
                <w:highlight w:val="none"/>
              </w:rPr>
              <w:t>（满分30分</w:t>
            </w:r>
            <w:r>
              <w:rPr>
                <w:rFonts w:hint="eastAsia" w:ascii="仿宋" w:hAnsi="仿宋" w:eastAsia="仿宋" w:cs="仿宋"/>
                <w:sz w:val="32"/>
                <w:szCs w:val="32"/>
                <w:highlight w:val="none"/>
              </w:rPr>
              <w:t>）</w:t>
            </w:r>
          </w:p>
        </w:tc>
        <w:tc>
          <w:tcPr>
            <w:tcW w:w="6855" w:type="dxa"/>
            <w:tcBorders>
              <w:top w:val="nil"/>
              <w:left w:val="single" w:color="000000" w:sz="4" w:space="0"/>
              <w:bottom w:val="single" w:color="000000" w:sz="4" w:space="0"/>
              <w:right w:val="single" w:color="000000" w:sz="4" w:space="0"/>
            </w:tcBorders>
            <w:vAlign w:val="center"/>
          </w:tcPr>
          <w:p w14:paraId="103A1E5B">
            <w:pPr>
              <w:pStyle w:val="25"/>
              <w:spacing w:line="560" w:lineRule="exact"/>
              <w:ind w:firstLine="321"/>
              <w:rPr>
                <w:rFonts w:ascii="楷体" w:hAnsi="楷体" w:eastAsia="楷体" w:cs="楷体"/>
                <w:b/>
                <w:kern w:val="2"/>
                <w:sz w:val="32"/>
                <w:szCs w:val="32"/>
                <w:highlight w:val="none"/>
              </w:rPr>
            </w:pPr>
            <w:r>
              <w:rPr>
                <w:rFonts w:hint="eastAsia" w:ascii="楷体" w:hAnsi="楷体" w:eastAsia="楷体" w:cs="楷体"/>
                <w:b/>
                <w:kern w:val="2"/>
                <w:sz w:val="32"/>
                <w:szCs w:val="32"/>
                <w:highlight w:val="none"/>
              </w:rPr>
              <w:t>（一）公司资质（10分）</w:t>
            </w:r>
          </w:p>
          <w:p w14:paraId="443ABC61">
            <w:pPr>
              <w:pStyle w:val="25"/>
              <w:spacing w:line="560" w:lineRule="exact"/>
              <w:ind w:firstLine="640" w:firstLineChars="200"/>
              <w:rPr>
                <w:rFonts w:ascii="仿宋" w:hAnsi="仿宋" w:eastAsia="仿宋" w:cs="仿宋"/>
                <w:kern w:val="2"/>
                <w:sz w:val="32"/>
                <w:szCs w:val="32"/>
                <w:highlight w:val="none"/>
              </w:rPr>
            </w:pPr>
            <w:r>
              <w:rPr>
                <w:rFonts w:hint="eastAsia" w:ascii="仿宋" w:hAnsi="仿宋" w:eastAsia="仿宋" w:cs="仿宋"/>
                <w:sz w:val="32"/>
                <w:szCs w:val="32"/>
                <w:highlight w:val="none"/>
                <w:lang w:bidi="ar"/>
              </w:rPr>
              <w:t>营业执照，提供的营业执照中具备安全咨询服务、安全评价服务、摄像及视频制作服务的相关经营许可或范围，同时满足安全和摄像2项资质的得10分；资质不齐全的，缺一项扣5分；（脚本编制、场地搭建、</w:t>
            </w:r>
            <w:r>
              <w:rPr>
                <w:rFonts w:hint="eastAsia" w:ascii="仿宋" w:hAnsi="仿宋" w:eastAsia="仿宋" w:cs="仿宋"/>
                <w:kern w:val="2"/>
                <w:sz w:val="32"/>
                <w:szCs w:val="32"/>
                <w:highlight w:val="none"/>
              </w:rPr>
              <w:t>摄影及制作等相关业务允许分包，提供分包商资质证明的，同时需要提供合作意向书或授权书</w:t>
            </w:r>
            <w:r>
              <w:rPr>
                <w:rFonts w:hint="eastAsia" w:ascii="仿宋" w:hAnsi="仿宋" w:eastAsia="仿宋" w:cs="仿宋"/>
                <w:sz w:val="32"/>
                <w:szCs w:val="32"/>
                <w:highlight w:val="none"/>
                <w:lang w:bidi="ar"/>
              </w:rPr>
              <w:t>）</w:t>
            </w:r>
          </w:p>
          <w:p w14:paraId="00CA3D65">
            <w:pPr>
              <w:pStyle w:val="25"/>
              <w:spacing w:line="560" w:lineRule="exact"/>
              <w:ind w:firstLine="321"/>
              <w:rPr>
                <w:rFonts w:ascii="楷体" w:hAnsi="楷体" w:eastAsia="楷体" w:cs="楷体"/>
                <w:b/>
                <w:kern w:val="2"/>
                <w:sz w:val="32"/>
                <w:szCs w:val="32"/>
                <w:highlight w:val="none"/>
              </w:rPr>
            </w:pPr>
            <w:r>
              <w:rPr>
                <w:rFonts w:hint="eastAsia" w:ascii="楷体" w:hAnsi="楷体" w:eastAsia="楷体" w:cs="楷体"/>
                <w:b/>
                <w:kern w:val="2"/>
                <w:sz w:val="32"/>
                <w:szCs w:val="32"/>
                <w:highlight w:val="none"/>
              </w:rPr>
              <w:t>（二）同类项目经验（20分）</w:t>
            </w:r>
          </w:p>
          <w:p w14:paraId="623B26D7">
            <w:pPr>
              <w:pStyle w:val="25"/>
              <w:spacing w:line="560" w:lineRule="exact"/>
              <w:ind w:firstLine="640" w:firstLineChars="200"/>
              <w:rPr>
                <w:rFonts w:ascii="仿宋" w:hAnsi="仿宋" w:eastAsia="仿宋" w:cs="仿宋"/>
                <w:color w:val="0000FF"/>
                <w:kern w:val="2"/>
                <w:sz w:val="32"/>
                <w:szCs w:val="32"/>
                <w:highlight w:val="none"/>
              </w:rPr>
            </w:pPr>
            <w:r>
              <w:rPr>
                <w:rFonts w:hint="eastAsia" w:ascii="仿宋" w:hAnsi="仿宋" w:eastAsia="仿宋" w:cs="仿宋"/>
                <w:kern w:val="2"/>
                <w:sz w:val="32"/>
                <w:szCs w:val="32"/>
                <w:highlight w:val="none"/>
              </w:rPr>
              <w:t>近3年成功执行类似规模演习、演练或大型活动，提供服务合同、现场照片/视频等完整案例证明，每项得5分，满分20分，案例证明不齐全酌情扣分</w:t>
            </w:r>
            <w:r>
              <w:rPr>
                <w:rFonts w:hint="eastAsia" w:ascii="仿宋" w:hAnsi="仿宋" w:eastAsia="仿宋" w:cs="仿宋"/>
                <w:color w:val="0000FF"/>
                <w:kern w:val="2"/>
                <w:sz w:val="32"/>
                <w:szCs w:val="32"/>
                <w:highlight w:val="none"/>
              </w:rPr>
              <w:t>。</w:t>
            </w:r>
          </w:p>
          <w:p w14:paraId="60DA1FC3">
            <w:pPr>
              <w:pStyle w:val="25"/>
              <w:spacing w:line="560" w:lineRule="exact"/>
              <w:ind w:firstLine="640" w:firstLineChars="200"/>
              <w:rPr>
                <w:rFonts w:ascii="仿宋" w:hAnsi="仿宋" w:eastAsia="仿宋" w:cs="仿宋"/>
                <w:sz w:val="32"/>
                <w:szCs w:val="32"/>
                <w:highlight w:val="none"/>
              </w:rPr>
            </w:pPr>
            <w:r>
              <w:rPr>
                <w:rFonts w:hint="eastAsia" w:ascii="仿宋" w:hAnsi="仿宋" w:eastAsia="仿宋" w:cs="仿宋"/>
                <w:kern w:val="2"/>
                <w:sz w:val="32"/>
                <w:szCs w:val="32"/>
                <w:highlight w:val="none"/>
              </w:rPr>
              <w:t>（注</w:t>
            </w:r>
            <w:r>
              <w:rPr>
                <w:rFonts w:ascii="仿宋" w:hAnsi="仿宋" w:eastAsia="仿宋" w:cs="仿宋"/>
                <w:kern w:val="2"/>
                <w:sz w:val="32"/>
                <w:szCs w:val="32"/>
                <w:highlight w:val="none"/>
              </w:rPr>
              <w:t>：</w:t>
            </w:r>
            <w:r>
              <w:rPr>
                <w:rFonts w:hint="eastAsia" w:ascii="仿宋" w:hAnsi="仿宋" w:eastAsia="仿宋" w:cs="仿宋"/>
                <w:kern w:val="2"/>
                <w:sz w:val="32"/>
                <w:szCs w:val="32"/>
                <w:highlight w:val="none"/>
              </w:rPr>
              <w:t>含供应商、分包商的相关经验，提供供应商、分包商相关经验佐证的，需要供应商、分包商公章）</w:t>
            </w:r>
          </w:p>
        </w:tc>
      </w:tr>
      <w:tr w14:paraId="73497816">
        <w:tblPrEx>
          <w:tblCellMar>
            <w:top w:w="28" w:type="dxa"/>
            <w:left w:w="28" w:type="dxa"/>
            <w:bottom w:w="28" w:type="dxa"/>
            <w:right w:w="28" w:type="dxa"/>
          </w:tblCellMar>
        </w:tblPrEx>
        <w:trPr>
          <w:trHeight w:val="116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1679605">
            <w:pPr>
              <w:spacing w:line="560" w:lineRule="exact"/>
              <w:jc w:val="center"/>
              <w:rPr>
                <w:rFonts w:ascii="仿宋" w:hAnsi="仿宋" w:eastAsia="仿宋" w:cs="仿宋"/>
                <w:sz w:val="32"/>
                <w:szCs w:val="32"/>
                <w:highlight w:val="none"/>
              </w:rPr>
            </w:pPr>
            <w:r>
              <w:rPr>
                <w:rFonts w:hint="eastAsia" w:ascii="黑体" w:hAnsi="黑体" w:eastAsia="黑体" w:cs="黑体"/>
                <w:sz w:val="32"/>
                <w:szCs w:val="32"/>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5D94BB3A">
            <w:pPr>
              <w:widowControl/>
              <w:spacing w:line="560" w:lineRule="exact"/>
              <w:jc w:val="center"/>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rPr>
              <w:t>服务方案</w:t>
            </w:r>
          </w:p>
          <w:p w14:paraId="3B5A1821">
            <w:pPr>
              <w:widowControl/>
              <w:spacing w:line="560" w:lineRule="exact"/>
              <w:jc w:val="center"/>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rPr>
              <w:t>（满分50分）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4BF04F2">
            <w:pPr>
              <w:pStyle w:val="3"/>
              <w:keepNext w:val="0"/>
              <w:keepLines w:val="0"/>
              <w:spacing w:before="0" w:after="0" w:line="560" w:lineRule="exact"/>
              <w:jc w:val="left"/>
              <w:rPr>
                <w:rFonts w:ascii="楷体" w:hAnsi="楷体" w:eastAsia="楷体" w:cs="楷体"/>
                <w:sz w:val="32"/>
                <w:szCs w:val="32"/>
                <w:highlight w:val="none"/>
              </w:rPr>
            </w:pPr>
            <w:r>
              <w:rPr>
                <w:rFonts w:hint="eastAsia" w:ascii="楷体" w:hAnsi="楷体" w:eastAsia="楷体" w:cs="楷体"/>
                <w:sz w:val="32"/>
                <w:szCs w:val="32"/>
                <w:highlight w:val="none"/>
              </w:rPr>
              <w:t>（</w:t>
            </w:r>
            <w:r>
              <w:rPr>
                <w:rFonts w:hint="eastAsia" w:ascii="楷体" w:hAnsi="楷体" w:eastAsia="楷体" w:cs="楷体"/>
                <w:bCs w:val="0"/>
                <w:kern w:val="2"/>
                <w:sz w:val="32"/>
                <w:szCs w:val="32"/>
                <w:highlight w:val="none"/>
              </w:rPr>
              <w:t>一）人员配置情况（20分）</w:t>
            </w:r>
          </w:p>
          <w:p w14:paraId="566B49F5">
            <w:pPr>
              <w:pStyle w:val="25"/>
              <w:spacing w:line="560" w:lineRule="exact"/>
              <w:ind w:firstLine="640" w:firstLineChars="200"/>
              <w:rPr>
                <w:rFonts w:ascii="仿宋" w:hAnsi="仿宋" w:eastAsia="仿宋" w:cs="仿宋"/>
                <w:kern w:val="2"/>
                <w:sz w:val="32"/>
                <w:szCs w:val="32"/>
                <w:highlight w:val="none"/>
              </w:rPr>
            </w:pPr>
            <w:r>
              <w:rPr>
                <w:rFonts w:hint="eastAsia" w:ascii="仿宋" w:hAnsi="仿宋" w:eastAsia="仿宋" w:cs="仿宋"/>
                <w:kern w:val="2"/>
                <w:sz w:val="32"/>
                <w:szCs w:val="32"/>
                <w:highlight w:val="none"/>
              </w:rPr>
              <w:t>1.拟投入项目团队人员具有高级职称的每人4分，中级职称每人3分，满分20分，不提供不得分。</w:t>
            </w:r>
          </w:p>
          <w:p w14:paraId="6A8C5F93">
            <w:pPr>
              <w:pStyle w:val="25"/>
              <w:spacing w:line="560" w:lineRule="exact"/>
              <w:ind w:firstLine="640" w:firstLineChars="200"/>
              <w:rPr>
                <w:rFonts w:ascii="仿宋" w:hAnsi="仿宋" w:eastAsia="仿宋" w:cs="仿宋"/>
                <w:kern w:val="2"/>
                <w:sz w:val="32"/>
                <w:szCs w:val="32"/>
                <w:highlight w:val="none"/>
              </w:rPr>
            </w:pPr>
            <w:r>
              <w:rPr>
                <w:rFonts w:hint="eastAsia" w:ascii="仿宋" w:hAnsi="仿宋" w:eastAsia="仿宋" w:cs="仿宋"/>
                <w:kern w:val="2"/>
                <w:sz w:val="32"/>
                <w:szCs w:val="32"/>
                <w:highlight w:val="none"/>
              </w:rPr>
              <w:t>（注</w:t>
            </w:r>
            <w:r>
              <w:rPr>
                <w:rFonts w:ascii="仿宋" w:hAnsi="仿宋" w:eastAsia="仿宋" w:cs="仿宋"/>
                <w:kern w:val="2"/>
                <w:sz w:val="32"/>
                <w:szCs w:val="32"/>
                <w:highlight w:val="none"/>
              </w:rPr>
              <w:t>：投入项目人员</w:t>
            </w:r>
            <w:r>
              <w:rPr>
                <w:rFonts w:hint="eastAsia" w:ascii="仿宋" w:hAnsi="仿宋" w:eastAsia="仿宋" w:cs="仿宋"/>
                <w:kern w:val="2"/>
                <w:sz w:val="32"/>
                <w:szCs w:val="32"/>
                <w:highlight w:val="none"/>
              </w:rPr>
              <w:t>为项目经理、脚本</w:t>
            </w:r>
            <w:r>
              <w:rPr>
                <w:rFonts w:ascii="仿宋" w:hAnsi="仿宋" w:eastAsia="仿宋" w:cs="仿宋"/>
                <w:kern w:val="2"/>
                <w:sz w:val="32"/>
                <w:szCs w:val="32"/>
                <w:highlight w:val="none"/>
              </w:rPr>
              <w:t>策划</w:t>
            </w:r>
            <w:r>
              <w:rPr>
                <w:rFonts w:hint="eastAsia" w:ascii="仿宋" w:hAnsi="仿宋" w:eastAsia="仿宋" w:cs="仿宋"/>
                <w:kern w:val="2"/>
                <w:sz w:val="32"/>
                <w:szCs w:val="32"/>
                <w:highlight w:val="none"/>
              </w:rPr>
              <w:t>、导演、摄像、解说员、后期剪辑师、特效师等人员）</w:t>
            </w:r>
          </w:p>
          <w:p w14:paraId="719C79F8">
            <w:pPr>
              <w:pStyle w:val="3"/>
              <w:keepNext w:val="0"/>
              <w:keepLines w:val="0"/>
              <w:spacing w:before="0" w:after="0" w:line="560" w:lineRule="exact"/>
              <w:jc w:val="left"/>
              <w:rPr>
                <w:rFonts w:ascii="楷体" w:hAnsi="楷体" w:eastAsia="楷体" w:cs="楷体"/>
                <w:bCs w:val="0"/>
                <w:kern w:val="2"/>
                <w:sz w:val="32"/>
                <w:szCs w:val="32"/>
                <w:highlight w:val="none"/>
              </w:rPr>
            </w:pPr>
            <w:r>
              <w:rPr>
                <w:rFonts w:hint="eastAsia" w:ascii="楷体" w:hAnsi="楷体" w:eastAsia="楷体" w:cs="楷体"/>
                <w:bCs w:val="0"/>
                <w:kern w:val="2"/>
                <w:sz w:val="32"/>
                <w:szCs w:val="32"/>
                <w:highlight w:val="none"/>
              </w:rPr>
              <w:t>（二）场景设置（15分）</w:t>
            </w:r>
          </w:p>
          <w:p w14:paraId="2B84E565">
            <w:pPr>
              <w:pStyle w:val="25"/>
              <w:spacing w:line="560" w:lineRule="exact"/>
              <w:ind w:firstLine="320"/>
              <w:rPr>
                <w:rFonts w:ascii="仿宋" w:hAnsi="仿宋" w:eastAsia="仿宋" w:cs="仿宋"/>
                <w:kern w:val="2"/>
                <w:sz w:val="32"/>
                <w:szCs w:val="32"/>
                <w:highlight w:val="none"/>
              </w:rPr>
            </w:pPr>
            <w:r>
              <w:rPr>
                <w:rFonts w:ascii="仿宋" w:hAnsi="仿宋" w:eastAsia="仿宋" w:cs="仿宋"/>
                <w:kern w:val="2"/>
                <w:sz w:val="32"/>
                <w:szCs w:val="32"/>
                <w:highlight w:val="none"/>
              </w:rPr>
              <w:t>1.</w:t>
            </w:r>
            <w:r>
              <w:rPr>
                <w:rFonts w:hint="eastAsia" w:ascii="仿宋" w:hAnsi="仿宋" w:eastAsia="仿宋" w:cs="仿宋"/>
                <w:kern w:val="2"/>
                <w:sz w:val="32"/>
                <w:szCs w:val="32"/>
                <w:highlight w:val="none"/>
              </w:rPr>
              <w:t>场景</w:t>
            </w:r>
            <w:r>
              <w:rPr>
                <w:rFonts w:ascii="仿宋" w:hAnsi="仿宋" w:eastAsia="仿宋" w:cs="仿宋"/>
                <w:kern w:val="2"/>
                <w:sz w:val="32"/>
                <w:szCs w:val="32"/>
                <w:highlight w:val="none"/>
              </w:rPr>
              <w:t>设计包含</w:t>
            </w:r>
            <w:r>
              <w:rPr>
                <w:rFonts w:hint="eastAsia" w:ascii="仿宋" w:hAnsi="仿宋" w:eastAsia="仿宋" w:cs="仿宋"/>
                <w:kern w:val="2"/>
                <w:sz w:val="32"/>
                <w:szCs w:val="32"/>
                <w:highlight w:val="none"/>
              </w:rPr>
              <w:t>3个得5分</w:t>
            </w:r>
            <w:r>
              <w:rPr>
                <w:rFonts w:ascii="仿宋" w:hAnsi="仿宋" w:eastAsia="仿宋" w:cs="仿宋"/>
                <w:kern w:val="2"/>
                <w:sz w:val="32"/>
                <w:szCs w:val="32"/>
                <w:highlight w:val="none"/>
              </w:rPr>
              <w:t>，每增加</w:t>
            </w:r>
            <w:r>
              <w:rPr>
                <w:rFonts w:hint="eastAsia" w:ascii="仿宋" w:hAnsi="仿宋" w:eastAsia="仿宋" w:cs="仿宋"/>
                <w:kern w:val="2"/>
                <w:sz w:val="32"/>
                <w:szCs w:val="32"/>
                <w:highlight w:val="none"/>
              </w:rPr>
              <w:t>1个</w:t>
            </w:r>
            <w:r>
              <w:rPr>
                <w:rFonts w:ascii="仿宋" w:hAnsi="仿宋" w:eastAsia="仿宋" w:cs="仿宋"/>
                <w:kern w:val="2"/>
                <w:sz w:val="32"/>
                <w:szCs w:val="32"/>
                <w:highlight w:val="none"/>
              </w:rPr>
              <w:t>得</w:t>
            </w:r>
            <w:r>
              <w:rPr>
                <w:rFonts w:hint="eastAsia" w:ascii="仿宋" w:hAnsi="仿宋" w:eastAsia="仿宋" w:cs="仿宋"/>
                <w:kern w:val="2"/>
                <w:sz w:val="32"/>
                <w:szCs w:val="32"/>
                <w:highlight w:val="none"/>
              </w:rPr>
              <w:t>2分</w:t>
            </w:r>
            <w:r>
              <w:rPr>
                <w:rFonts w:ascii="仿宋" w:hAnsi="仿宋" w:eastAsia="仿宋" w:cs="仿宋"/>
                <w:kern w:val="2"/>
                <w:sz w:val="32"/>
                <w:szCs w:val="32"/>
                <w:highlight w:val="none"/>
              </w:rPr>
              <w:t>，加满</w:t>
            </w:r>
            <w:r>
              <w:rPr>
                <w:rFonts w:hint="eastAsia" w:ascii="仿宋" w:hAnsi="仿宋" w:eastAsia="仿宋" w:cs="仿宋"/>
                <w:kern w:val="2"/>
                <w:sz w:val="32"/>
                <w:szCs w:val="32"/>
                <w:highlight w:val="none"/>
              </w:rPr>
              <w:t>11分</w:t>
            </w:r>
            <w:r>
              <w:rPr>
                <w:rFonts w:ascii="仿宋" w:hAnsi="仿宋" w:eastAsia="仿宋" w:cs="仿宋"/>
                <w:kern w:val="2"/>
                <w:sz w:val="32"/>
                <w:szCs w:val="32"/>
                <w:highlight w:val="none"/>
              </w:rPr>
              <w:t>为止；</w:t>
            </w:r>
          </w:p>
          <w:p w14:paraId="0E91D6BC">
            <w:pPr>
              <w:pStyle w:val="25"/>
              <w:spacing w:line="560" w:lineRule="exact"/>
              <w:ind w:firstLine="320"/>
              <w:rPr>
                <w:rFonts w:ascii="仿宋" w:hAnsi="仿宋" w:eastAsia="仿宋" w:cs="仿宋"/>
                <w:kern w:val="2"/>
                <w:sz w:val="32"/>
                <w:szCs w:val="32"/>
                <w:highlight w:val="none"/>
              </w:rPr>
            </w:pPr>
            <w:r>
              <w:rPr>
                <w:rFonts w:ascii="仿宋" w:hAnsi="仿宋" w:eastAsia="仿宋" w:cs="仿宋"/>
                <w:kern w:val="2"/>
                <w:sz w:val="32"/>
                <w:szCs w:val="32"/>
                <w:highlight w:val="none"/>
              </w:rPr>
              <w:t>2.</w:t>
            </w:r>
            <w:r>
              <w:rPr>
                <w:rFonts w:hint="eastAsia" w:ascii="仿宋" w:hAnsi="仿宋" w:eastAsia="仿宋" w:cs="仿宋"/>
                <w:kern w:val="2"/>
                <w:sz w:val="32"/>
                <w:szCs w:val="32"/>
                <w:highlight w:val="none"/>
              </w:rPr>
              <w:t>场景</w:t>
            </w:r>
            <w:r>
              <w:rPr>
                <w:rFonts w:ascii="仿宋" w:hAnsi="仿宋" w:eastAsia="仿宋" w:cs="仿宋"/>
                <w:kern w:val="2"/>
                <w:sz w:val="32"/>
                <w:szCs w:val="32"/>
                <w:highlight w:val="none"/>
              </w:rPr>
              <w:t>设置逻辑</w:t>
            </w:r>
            <w:r>
              <w:rPr>
                <w:rFonts w:hint="eastAsia" w:ascii="仿宋" w:hAnsi="仿宋" w:eastAsia="仿宋" w:cs="仿宋"/>
                <w:kern w:val="2"/>
                <w:sz w:val="32"/>
                <w:szCs w:val="32"/>
                <w:highlight w:val="none"/>
              </w:rPr>
              <w:t>、条理</w:t>
            </w:r>
            <w:r>
              <w:rPr>
                <w:rFonts w:ascii="仿宋" w:hAnsi="仿宋" w:eastAsia="仿宋" w:cs="仿宋"/>
                <w:kern w:val="2"/>
                <w:sz w:val="32"/>
                <w:szCs w:val="32"/>
                <w:highlight w:val="none"/>
              </w:rPr>
              <w:t>、</w:t>
            </w:r>
            <w:r>
              <w:rPr>
                <w:rFonts w:hint="eastAsia" w:ascii="仿宋" w:hAnsi="仿宋" w:eastAsia="仿宋" w:cs="仿宋"/>
                <w:kern w:val="2"/>
                <w:sz w:val="32"/>
                <w:szCs w:val="32"/>
                <w:highlight w:val="none"/>
              </w:rPr>
              <w:t>合理</w:t>
            </w:r>
            <w:r>
              <w:rPr>
                <w:rFonts w:ascii="仿宋" w:hAnsi="仿宋" w:eastAsia="仿宋" w:cs="仿宋"/>
                <w:kern w:val="2"/>
                <w:sz w:val="32"/>
                <w:szCs w:val="32"/>
                <w:highlight w:val="none"/>
              </w:rPr>
              <w:t>及可操作</w:t>
            </w:r>
            <w:r>
              <w:rPr>
                <w:rFonts w:hint="eastAsia" w:ascii="仿宋" w:hAnsi="仿宋" w:eastAsia="仿宋" w:cs="仿宋"/>
                <w:kern w:val="2"/>
                <w:sz w:val="32"/>
                <w:szCs w:val="32"/>
                <w:highlight w:val="none"/>
              </w:rPr>
              <w:t>性</w:t>
            </w:r>
            <w:r>
              <w:rPr>
                <w:rFonts w:ascii="仿宋" w:hAnsi="仿宋" w:eastAsia="仿宋" w:cs="仿宋"/>
                <w:kern w:val="2"/>
                <w:sz w:val="32"/>
                <w:szCs w:val="32"/>
                <w:highlight w:val="none"/>
              </w:rPr>
              <w:t>非常强可得</w:t>
            </w:r>
            <w:r>
              <w:rPr>
                <w:rFonts w:hint="eastAsia" w:ascii="仿宋" w:hAnsi="仿宋" w:eastAsia="仿宋" w:cs="仿宋"/>
                <w:kern w:val="2"/>
                <w:sz w:val="32"/>
                <w:szCs w:val="32"/>
                <w:highlight w:val="none"/>
              </w:rPr>
              <w:t>4分</w:t>
            </w:r>
            <w:r>
              <w:rPr>
                <w:rFonts w:ascii="仿宋" w:hAnsi="仿宋" w:eastAsia="仿宋" w:cs="仿宋"/>
                <w:kern w:val="2"/>
                <w:sz w:val="32"/>
                <w:szCs w:val="32"/>
                <w:highlight w:val="none"/>
              </w:rPr>
              <w:t>，比较强得</w:t>
            </w:r>
            <w:r>
              <w:rPr>
                <w:rFonts w:hint="eastAsia" w:ascii="仿宋" w:hAnsi="仿宋" w:eastAsia="仿宋" w:cs="仿宋"/>
                <w:kern w:val="2"/>
                <w:sz w:val="32"/>
                <w:szCs w:val="32"/>
                <w:highlight w:val="none"/>
              </w:rPr>
              <w:t>3分</w:t>
            </w:r>
            <w:r>
              <w:rPr>
                <w:rFonts w:ascii="仿宋" w:hAnsi="仿宋" w:eastAsia="仿宋" w:cs="仿宋"/>
                <w:kern w:val="2"/>
                <w:sz w:val="32"/>
                <w:szCs w:val="32"/>
                <w:highlight w:val="none"/>
              </w:rPr>
              <w:t>，基本可行得</w:t>
            </w:r>
            <w:r>
              <w:rPr>
                <w:rFonts w:hint="eastAsia" w:ascii="仿宋" w:hAnsi="仿宋" w:eastAsia="仿宋" w:cs="仿宋"/>
                <w:kern w:val="2"/>
                <w:sz w:val="32"/>
                <w:szCs w:val="32"/>
                <w:highlight w:val="none"/>
              </w:rPr>
              <w:t>2分</w:t>
            </w:r>
            <w:r>
              <w:rPr>
                <w:rFonts w:ascii="仿宋" w:hAnsi="仿宋" w:eastAsia="仿宋" w:cs="仿宋"/>
                <w:kern w:val="2"/>
                <w:sz w:val="32"/>
                <w:szCs w:val="32"/>
                <w:highlight w:val="none"/>
              </w:rPr>
              <w:t>，不可行不得分。</w:t>
            </w:r>
          </w:p>
          <w:p w14:paraId="3E16F7D9">
            <w:pPr>
              <w:pStyle w:val="25"/>
              <w:spacing w:line="560" w:lineRule="exact"/>
              <w:ind w:firstLine="320"/>
              <w:rPr>
                <w:rFonts w:ascii="仿宋" w:hAnsi="仿宋" w:eastAsia="仿宋" w:cs="仿宋"/>
                <w:kern w:val="2"/>
                <w:sz w:val="32"/>
                <w:szCs w:val="32"/>
                <w:highlight w:val="none"/>
              </w:rPr>
            </w:pPr>
            <w:r>
              <w:rPr>
                <w:rFonts w:hint="eastAsia" w:ascii="仿宋" w:hAnsi="仿宋" w:eastAsia="仿宋" w:cs="仿宋"/>
                <w:kern w:val="2"/>
                <w:sz w:val="32"/>
                <w:szCs w:val="32"/>
                <w:highlight w:val="none"/>
              </w:rPr>
              <w:t>（注</w:t>
            </w:r>
            <w:r>
              <w:rPr>
                <w:rFonts w:ascii="仿宋" w:hAnsi="仿宋" w:eastAsia="仿宋" w:cs="仿宋"/>
                <w:kern w:val="2"/>
                <w:sz w:val="32"/>
                <w:szCs w:val="32"/>
                <w:highlight w:val="none"/>
              </w:rPr>
              <w:t>：</w:t>
            </w:r>
            <w:r>
              <w:rPr>
                <w:rFonts w:hint="eastAsia" w:ascii="仿宋" w:hAnsi="仿宋" w:eastAsia="仿宋" w:cs="仿宋"/>
                <w:bCs/>
                <w:sz w:val="32"/>
                <w:szCs w:val="32"/>
                <w:highlight w:val="none"/>
              </w:rPr>
              <w:t>演习场景可选类型</w:t>
            </w:r>
            <w:r>
              <w:rPr>
                <w:rFonts w:ascii="仿宋" w:hAnsi="仿宋" w:eastAsia="仿宋" w:cs="仿宋"/>
                <w:bCs/>
                <w:sz w:val="32"/>
                <w:szCs w:val="32"/>
                <w:highlight w:val="none"/>
              </w:rPr>
              <w:t>共有</w:t>
            </w:r>
            <w:r>
              <w:rPr>
                <w:rFonts w:hint="eastAsia" w:ascii="仿宋" w:hAnsi="仿宋" w:eastAsia="仿宋" w:cs="仿宋"/>
                <w:bCs/>
                <w:sz w:val="32"/>
                <w:szCs w:val="32"/>
                <w:highlight w:val="none"/>
              </w:rPr>
              <w:t>13类，</w:t>
            </w:r>
            <w:r>
              <w:rPr>
                <w:rFonts w:ascii="仿宋" w:hAnsi="仿宋" w:eastAsia="仿宋" w:cs="仿宋"/>
                <w:bCs/>
                <w:sz w:val="32"/>
                <w:szCs w:val="32"/>
                <w:highlight w:val="none"/>
              </w:rPr>
              <w:t>具体</w:t>
            </w:r>
            <w:r>
              <w:rPr>
                <w:rFonts w:hint="eastAsia" w:ascii="仿宋" w:hAnsi="仿宋" w:eastAsia="仿宋" w:cs="仿宋"/>
                <w:bCs/>
                <w:sz w:val="32"/>
                <w:szCs w:val="32"/>
                <w:highlight w:val="none"/>
              </w:rPr>
              <w:t>包括：纵火破坏、变配电系统遭到破坏、恶意</w:t>
            </w:r>
            <w:r>
              <w:rPr>
                <w:rFonts w:ascii="仿宋" w:hAnsi="仿宋" w:eastAsia="仿宋" w:cs="仿宋"/>
                <w:bCs/>
                <w:sz w:val="32"/>
                <w:szCs w:val="32"/>
                <w:highlight w:val="none"/>
              </w:rPr>
              <w:t>攻击计算机控制系统、</w:t>
            </w:r>
            <w:r>
              <w:rPr>
                <w:rFonts w:hint="eastAsia" w:ascii="仿宋" w:hAnsi="仿宋" w:eastAsia="仿宋" w:cs="仿宋"/>
                <w:bCs/>
                <w:sz w:val="32"/>
                <w:szCs w:val="32"/>
                <w:highlight w:val="none"/>
              </w:rPr>
              <w:t>偷渡走私或贩毒、蓄意</w:t>
            </w:r>
            <w:r>
              <w:rPr>
                <w:rFonts w:ascii="仿宋" w:hAnsi="仿宋" w:eastAsia="仿宋" w:cs="仿宋"/>
                <w:bCs/>
                <w:sz w:val="32"/>
                <w:szCs w:val="32"/>
                <w:highlight w:val="none"/>
              </w:rPr>
              <w:t>破坏港口设备、可疑人员和车辆识别、爆炸装置、绑架和劫持、恐怖威胁</w:t>
            </w:r>
            <w:r>
              <w:rPr>
                <w:rFonts w:hint="eastAsia" w:ascii="仿宋" w:hAnsi="仿宋" w:eastAsia="仿宋" w:cs="仿宋"/>
                <w:bCs/>
                <w:sz w:val="32"/>
                <w:szCs w:val="32"/>
                <w:highlight w:val="none"/>
              </w:rPr>
              <w:t>、人员</w:t>
            </w:r>
            <w:r>
              <w:rPr>
                <w:rFonts w:ascii="仿宋" w:hAnsi="仿宋" w:eastAsia="仿宋" w:cs="仿宋"/>
                <w:bCs/>
                <w:sz w:val="32"/>
                <w:szCs w:val="32"/>
                <w:highlight w:val="none"/>
              </w:rPr>
              <w:t>撤离</w:t>
            </w:r>
            <w:r>
              <w:rPr>
                <w:rFonts w:hint="eastAsia" w:ascii="仿宋" w:hAnsi="仿宋" w:eastAsia="仿宋" w:cs="仿宋"/>
                <w:kern w:val="2"/>
                <w:sz w:val="32"/>
                <w:szCs w:val="32"/>
                <w:highlight w:val="none"/>
              </w:rPr>
              <w:t>）</w:t>
            </w:r>
          </w:p>
          <w:p w14:paraId="45589638">
            <w:pPr>
              <w:rPr>
                <w:rFonts w:ascii="楷体" w:hAnsi="楷体" w:eastAsia="楷体" w:cs="楷体"/>
                <w:b/>
                <w:sz w:val="32"/>
                <w:szCs w:val="32"/>
                <w:highlight w:val="none"/>
              </w:rPr>
            </w:pPr>
            <w:r>
              <w:rPr>
                <w:rFonts w:hint="eastAsia" w:ascii="楷体" w:hAnsi="楷体" w:eastAsia="楷体" w:cs="楷体"/>
                <w:b/>
                <w:sz w:val="32"/>
                <w:szCs w:val="32"/>
                <w:highlight w:val="none"/>
              </w:rPr>
              <w:t>（三）拟投入设备情况（10分）</w:t>
            </w:r>
          </w:p>
          <w:p w14:paraId="146DCD11">
            <w:pPr>
              <w:spacing w:line="560" w:lineRule="exact"/>
              <w:ind w:firstLine="640" w:firstLineChars="200"/>
              <w:rPr>
                <w:rFonts w:ascii="仿宋" w:hAnsi="仿宋" w:eastAsia="仿宋" w:cs="仿宋"/>
                <w:sz w:val="32"/>
                <w:szCs w:val="32"/>
                <w:highlight w:val="none"/>
              </w:rPr>
            </w:pPr>
            <w:r>
              <w:rPr>
                <w:rFonts w:ascii="仿宋" w:hAnsi="仿宋" w:eastAsia="仿宋" w:cs="仿宋"/>
                <w:sz w:val="32"/>
                <w:szCs w:val="32"/>
                <w:highlight w:val="none"/>
              </w:rPr>
              <w:t>8-</w:t>
            </w:r>
            <w:r>
              <w:rPr>
                <w:rFonts w:hint="eastAsia" w:ascii="仿宋" w:hAnsi="仿宋" w:eastAsia="仿宋" w:cs="仿宋"/>
                <w:sz w:val="32"/>
                <w:szCs w:val="32"/>
                <w:highlight w:val="none"/>
              </w:rPr>
              <w:t>10分：拟投入设备齐全，满足演习需求；</w:t>
            </w:r>
          </w:p>
          <w:p w14:paraId="4BB623E8">
            <w:pPr>
              <w:spacing w:line="560" w:lineRule="exact"/>
              <w:ind w:firstLine="640" w:firstLineChars="200"/>
              <w:rPr>
                <w:rFonts w:ascii="仿宋" w:hAnsi="仿宋" w:eastAsia="仿宋" w:cs="仿宋"/>
                <w:sz w:val="32"/>
                <w:szCs w:val="32"/>
                <w:highlight w:val="none"/>
              </w:rPr>
            </w:pPr>
            <w:r>
              <w:rPr>
                <w:rFonts w:ascii="仿宋" w:hAnsi="仿宋" w:eastAsia="仿宋" w:cs="仿宋"/>
                <w:sz w:val="32"/>
                <w:szCs w:val="32"/>
                <w:highlight w:val="none"/>
              </w:rPr>
              <w:t>5-7</w:t>
            </w:r>
            <w:r>
              <w:rPr>
                <w:rFonts w:hint="eastAsia" w:ascii="仿宋" w:hAnsi="仿宋" w:eastAsia="仿宋" w:cs="仿宋"/>
                <w:sz w:val="32"/>
                <w:szCs w:val="32"/>
                <w:highlight w:val="none"/>
              </w:rPr>
              <w:t>分：拟投入设备比较齐全，较好满足演习需求；</w:t>
            </w:r>
          </w:p>
          <w:p w14:paraId="48E52A59">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w:t>
            </w:r>
            <w:r>
              <w:rPr>
                <w:rFonts w:ascii="仿宋" w:hAnsi="仿宋" w:eastAsia="仿宋" w:cs="仿宋"/>
                <w:sz w:val="32"/>
                <w:szCs w:val="32"/>
                <w:highlight w:val="none"/>
              </w:rPr>
              <w:t>4</w:t>
            </w:r>
            <w:r>
              <w:rPr>
                <w:rFonts w:hint="eastAsia" w:ascii="仿宋" w:hAnsi="仿宋" w:eastAsia="仿宋" w:cs="仿宋"/>
                <w:sz w:val="32"/>
                <w:szCs w:val="32"/>
                <w:highlight w:val="none"/>
              </w:rPr>
              <w:t>分：拟投入设备基本齐全，基本满足演习需求。</w:t>
            </w:r>
          </w:p>
          <w:p w14:paraId="66AA7E72">
            <w:pPr>
              <w:pStyle w:val="2"/>
              <w:rPr>
                <w:highlight w:val="none"/>
              </w:rPr>
            </w:pPr>
            <w:r>
              <w:rPr>
                <w:rFonts w:hint="eastAsia" w:ascii="仿宋" w:hAnsi="仿宋" w:eastAsia="仿宋" w:cs="仿宋"/>
                <w:color w:val="auto"/>
                <w:kern w:val="2"/>
                <w:sz w:val="32"/>
                <w:szCs w:val="32"/>
                <w:highlight w:val="none"/>
              </w:rPr>
              <w:t>（注</w:t>
            </w:r>
            <w:r>
              <w:rPr>
                <w:rFonts w:ascii="仿宋" w:hAnsi="仿宋" w:eastAsia="仿宋" w:cs="仿宋"/>
                <w:color w:val="auto"/>
                <w:kern w:val="2"/>
                <w:sz w:val="32"/>
                <w:szCs w:val="32"/>
                <w:highlight w:val="none"/>
              </w:rPr>
              <w:t>：</w:t>
            </w:r>
            <w:r>
              <w:rPr>
                <w:rFonts w:hint="eastAsia" w:ascii="仿宋" w:hAnsi="仿宋" w:eastAsia="仿宋" w:cs="仿宋"/>
                <w:color w:val="auto"/>
                <w:kern w:val="2"/>
                <w:sz w:val="32"/>
                <w:szCs w:val="32"/>
                <w:highlight w:val="none"/>
              </w:rPr>
              <w:t>设</w:t>
            </w:r>
            <w:r>
              <w:rPr>
                <w:rFonts w:hint="eastAsia" w:ascii="仿宋" w:hAnsi="仿宋" w:eastAsia="仿宋" w:cs="仿宋"/>
                <w:sz w:val="32"/>
                <w:szCs w:val="32"/>
                <w:highlight w:val="none"/>
              </w:rPr>
              <w:t>备</w:t>
            </w:r>
            <w:r>
              <w:rPr>
                <w:rFonts w:ascii="仿宋" w:hAnsi="仿宋" w:eastAsia="仿宋" w:cs="仿宋"/>
                <w:sz w:val="32"/>
                <w:szCs w:val="32"/>
                <w:highlight w:val="none"/>
              </w:rPr>
              <w:t>清单</w:t>
            </w:r>
            <w:r>
              <w:rPr>
                <w:rFonts w:hint="eastAsia" w:ascii="仿宋" w:hAnsi="仿宋" w:eastAsia="仿宋" w:cs="仿宋"/>
                <w:sz w:val="32"/>
                <w:szCs w:val="32"/>
                <w:highlight w:val="none"/>
              </w:rPr>
              <w:t>应列明</w:t>
            </w:r>
            <w:r>
              <w:rPr>
                <w:rFonts w:ascii="仿宋" w:hAnsi="仿宋" w:eastAsia="仿宋" w:cs="仿宋"/>
                <w:sz w:val="32"/>
                <w:szCs w:val="32"/>
                <w:highlight w:val="none"/>
              </w:rPr>
              <w:t>设备型号</w:t>
            </w:r>
            <w:r>
              <w:rPr>
                <w:rFonts w:hint="eastAsia" w:ascii="仿宋" w:hAnsi="仿宋" w:eastAsia="仿宋" w:cs="仿宋"/>
                <w:sz w:val="32"/>
                <w:szCs w:val="32"/>
                <w:highlight w:val="none"/>
              </w:rPr>
              <w:t>/尺寸</w:t>
            </w:r>
            <w:r>
              <w:rPr>
                <w:rFonts w:ascii="仿宋" w:hAnsi="仿宋" w:eastAsia="仿宋" w:cs="仿宋"/>
                <w:sz w:val="32"/>
                <w:szCs w:val="32"/>
                <w:highlight w:val="none"/>
              </w:rPr>
              <w:t>、数量</w:t>
            </w:r>
            <w:r>
              <w:rPr>
                <w:rFonts w:hint="eastAsia" w:ascii="仿宋" w:hAnsi="仿宋" w:eastAsia="仿宋" w:cs="仿宋"/>
                <w:sz w:val="32"/>
                <w:szCs w:val="32"/>
                <w:highlight w:val="none"/>
              </w:rPr>
              <w:t>、</w:t>
            </w:r>
            <w:r>
              <w:rPr>
                <w:rFonts w:ascii="仿宋" w:hAnsi="仿宋" w:eastAsia="仿宋" w:cs="仿宋"/>
                <w:sz w:val="32"/>
                <w:szCs w:val="32"/>
                <w:highlight w:val="none"/>
              </w:rPr>
              <w:t>主要用途等</w:t>
            </w:r>
            <w:r>
              <w:rPr>
                <w:rFonts w:hint="eastAsia" w:ascii="仿宋" w:hAnsi="仿宋" w:eastAsia="仿宋" w:cs="仿宋"/>
                <w:sz w:val="32"/>
                <w:szCs w:val="32"/>
                <w:highlight w:val="none"/>
              </w:rPr>
              <w:t>内容。设备</w:t>
            </w:r>
            <w:r>
              <w:rPr>
                <w:rFonts w:ascii="仿宋" w:hAnsi="仿宋" w:eastAsia="仿宋" w:cs="仿宋"/>
                <w:sz w:val="32"/>
                <w:szCs w:val="32"/>
                <w:highlight w:val="none"/>
              </w:rPr>
              <w:t>包括</w:t>
            </w:r>
            <w:r>
              <w:rPr>
                <w:rFonts w:hint="eastAsia" w:ascii="仿宋" w:hAnsi="仿宋" w:eastAsia="仿宋" w:cs="仿宋"/>
                <w:sz w:val="32"/>
                <w:szCs w:val="32"/>
                <w:highlight w:val="none"/>
              </w:rPr>
              <w:t>但</w:t>
            </w:r>
            <w:r>
              <w:rPr>
                <w:rFonts w:ascii="仿宋" w:hAnsi="仿宋" w:eastAsia="仿宋" w:cs="仿宋"/>
                <w:sz w:val="32"/>
                <w:szCs w:val="32"/>
                <w:highlight w:val="none"/>
              </w:rPr>
              <w:t>不限于：</w:t>
            </w:r>
            <w:r>
              <w:rPr>
                <w:rFonts w:hint="eastAsia" w:ascii="仿宋" w:hAnsi="仿宋" w:eastAsia="仿宋" w:cs="仿宋"/>
                <w:sz w:val="32"/>
                <w:szCs w:val="32"/>
                <w:highlight w:val="none"/>
              </w:rPr>
              <w:t>户外</w:t>
            </w:r>
            <w:r>
              <w:rPr>
                <w:rFonts w:ascii="仿宋" w:hAnsi="仿宋" w:eastAsia="仿宋" w:cs="仿宋"/>
                <w:sz w:val="32"/>
                <w:szCs w:val="32"/>
                <w:highlight w:val="none"/>
              </w:rPr>
              <w:t>显示屏、音响设备、导播设备、拍摄设备、话筒</w:t>
            </w:r>
            <w:r>
              <w:rPr>
                <w:rFonts w:hint="eastAsia" w:ascii="仿宋" w:hAnsi="仿宋" w:eastAsia="仿宋" w:cs="仿宋"/>
                <w:sz w:val="32"/>
                <w:szCs w:val="32"/>
                <w:highlight w:val="none"/>
              </w:rPr>
              <w:t>、对讲机</w:t>
            </w:r>
            <w:r>
              <w:rPr>
                <w:rFonts w:ascii="仿宋" w:hAnsi="仿宋" w:eastAsia="仿宋" w:cs="仿宋"/>
                <w:sz w:val="32"/>
                <w:szCs w:val="32"/>
                <w:highlight w:val="none"/>
              </w:rPr>
              <w:t>、</w:t>
            </w:r>
            <w:r>
              <w:rPr>
                <w:rFonts w:hint="eastAsia" w:ascii="仿宋" w:hAnsi="仿宋" w:eastAsia="仿宋" w:cs="仿宋"/>
                <w:sz w:val="32"/>
                <w:szCs w:val="32"/>
                <w:highlight w:val="none"/>
              </w:rPr>
              <w:t>遮阳棚</w:t>
            </w:r>
            <w:r>
              <w:rPr>
                <w:rFonts w:ascii="仿宋" w:hAnsi="仿宋" w:eastAsia="仿宋" w:cs="仿宋"/>
                <w:sz w:val="32"/>
                <w:szCs w:val="32"/>
                <w:highlight w:val="none"/>
              </w:rPr>
              <w:t>、</w:t>
            </w:r>
            <w:r>
              <w:rPr>
                <w:rFonts w:hint="eastAsia" w:ascii="仿宋" w:hAnsi="仿宋" w:eastAsia="仿宋" w:cs="仿宋"/>
                <w:sz w:val="32"/>
                <w:szCs w:val="32"/>
                <w:highlight w:val="none"/>
              </w:rPr>
              <w:t>桌椅</w:t>
            </w:r>
            <w:r>
              <w:rPr>
                <w:rFonts w:ascii="仿宋" w:hAnsi="仿宋" w:eastAsia="仿宋" w:cs="仿宋"/>
                <w:sz w:val="32"/>
                <w:szCs w:val="32"/>
                <w:highlight w:val="none"/>
              </w:rPr>
              <w:t>、</w:t>
            </w:r>
            <w:r>
              <w:rPr>
                <w:rFonts w:hint="eastAsia" w:ascii="仿宋" w:hAnsi="仿宋" w:eastAsia="仿宋" w:cs="仿宋"/>
                <w:sz w:val="32"/>
                <w:szCs w:val="32"/>
                <w:highlight w:val="none"/>
              </w:rPr>
              <w:t>海报</w:t>
            </w:r>
            <w:r>
              <w:rPr>
                <w:rFonts w:ascii="仿宋" w:hAnsi="仿宋" w:eastAsia="仿宋" w:cs="仿宋"/>
                <w:sz w:val="32"/>
                <w:szCs w:val="32"/>
                <w:highlight w:val="none"/>
              </w:rPr>
              <w:t>、横幅、</w:t>
            </w:r>
            <w:r>
              <w:rPr>
                <w:rFonts w:hint="eastAsia" w:ascii="仿宋" w:hAnsi="仿宋" w:eastAsia="仿宋" w:cs="仿宋"/>
                <w:sz w:val="32"/>
                <w:szCs w:val="32"/>
                <w:highlight w:val="none"/>
              </w:rPr>
              <w:t>标识</w:t>
            </w:r>
            <w:r>
              <w:rPr>
                <w:rFonts w:ascii="仿宋" w:hAnsi="仿宋" w:eastAsia="仿宋" w:cs="仿宋"/>
                <w:sz w:val="32"/>
                <w:szCs w:val="32"/>
                <w:highlight w:val="none"/>
              </w:rPr>
              <w:t>标牌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高温汛期应急用品</w:t>
            </w:r>
            <w:r>
              <w:rPr>
                <w:rFonts w:hint="eastAsia" w:ascii="仿宋" w:hAnsi="仿宋" w:eastAsia="仿宋" w:cs="仿宋"/>
                <w:sz w:val="32"/>
                <w:szCs w:val="32"/>
                <w:highlight w:val="none"/>
              </w:rPr>
              <w:t>等</w:t>
            </w:r>
            <w:r>
              <w:rPr>
                <w:rFonts w:ascii="仿宋" w:hAnsi="仿宋" w:eastAsia="仿宋" w:cs="仿宋"/>
                <w:sz w:val="32"/>
                <w:szCs w:val="32"/>
                <w:highlight w:val="none"/>
              </w:rPr>
              <w:t>，</w:t>
            </w:r>
            <w:r>
              <w:rPr>
                <w:rFonts w:hint="eastAsia" w:ascii="仿宋" w:hAnsi="仿宋" w:eastAsia="仿宋" w:cs="仿宋"/>
                <w:sz w:val="32"/>
                <w:szCs w:val="32"/>
                <w:highlight w:val="none"/>
              </w:rPr>
              <w:t>可</w:t>
            </w:r>
            <w:r>
              <w:rPr>
                <w:rFonts w:ascii="仿宋" w:hAnsi="仿宋" w:eastAsia="仿宋" w:cs="仿宋"/>
                <w:sz w:val="32"/>
                <w:szCs w:val="32"/>
                <w:highlight w:val="none"/>
              </w:rPr>
              <w:t>根据实际</w:t>
            </w:r>
            <w:r>
              <w:rPr>
                <w:rFonts w:hint="eastAsia" w:ascii="仿宋" w:hAnsi="仿宋" w:eastAsia="仿宋" w:cs="仿宋"/>
                <w:sz w:val="32"/>
                <w:szCs w:val="32"/>
                <w:highlight w:val="none"/>
              </w:rPr>
              <w:t>增加</w:t>
            </w:r>
            <w:r>
              <w:rPr>
                <w:rFonts w:hint="eastAsia"/>
                <w:highlight w:val="none"/>
              </w:rPr>
              <w:t>）</w:t>
            </w:r>
          </w:p>
          <w:p w14:paraId="3E0F74A8">
            <w:pPr>
              <w:pStyle w:val="3"/>
              <w:keepNext w:val="0"/>
              <w:keepLines w:val="0"/>
              <w:spacing w:before="0" w:after="0" w:line="560" w:lineRule="exact"/>
              <w:jc w:val="left"/>
              <w:rPr>
                <w:rFonts w:ascii="楷体" w:hAnsi="楷体" w:eastAsia="楷体" w:cs="楷体"/>
                <w:bCs w:val="0"/>
                <w:kern w:val="2"/>
                <w:sz w:val="32"/>
                <w:szCs w:val="32"/>
                <w:highlight w:val="none"/>
              </w:rPr>
            </w:pPr>
            <w:r>
              <w:rPr>
                <w:rFonts w:hint="eastAsia" w:ascii="楷体" w:hAnsi="楷体" w:eastAsia="楷体" w:cs="楷体"/>
                <w:bCs w:val="0"/>
                <w:kern w:val="2"/>
                <w:sz w:val="32"/>
                <w:szCs w:val="32"/>
                <w:highlight w:val="none"/>
              </w:rPr>
              <w:t>（四）售后服务（5分）</w:t>
            </w:r>
          </w:p>
          <w:p w14:paraId="43FE4D58">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5分：售后服务全面周到、内容详细完善，服务流程、环节、职责清晰明确，能够为采购人提供优质的售后服务的；</w:t>
            </w:r>
          </w:p>
          <w:p w14:paraId="1D03A1F4">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3-4分：售后服务较为全面，内容完整，能满足售后服务要求；</w:t>
            </w:r>
          </w:p>
          <w:p w14:paraId="63D8C165">
            <w:pPr>
              <w:spacing w:line="560" w:lineRule="exact"/>
              <w:ind w:firstLine="640" w:firstLineChars="200"/>
              <w:rPr>
                <w:rFonts w:ascii="仿宋" w:hAnsi="仿宋" w:eastAsia="仿宋" w:cs="仿宋"/>
                <w:b/>
                <w:sz w:val="32"/>
                <w:szCs w:val="32"/>
                <w:highlight w:val="none"/>
              </w:rPr>
            </w:pPr>
            <w:r>
              <w:rPr>
                <w:rFonts w:hint="eastAsia" w:ascii="仿宋" w:hAnsi="仿宋" w:eastAsia="仿宋" w:cs="仿宋"/>
                <w:sz w:val="32"/>
                <w:szCs w:val="32"/>
                <w:highlight w:val="none"/>
              </w:rPr>
              <w:t>1-2分：售后服务一般，可行性不高，基本满足；</w:t>
            </w:r>
          </w:p>
        </w:tc>
      </w:tr>
      <w:tr w14:paraId="600803F1">
        <w:tblPrEx>
          <w:tblCellMar>
            <w:top w:w="28" w:type="dxa"/>
            <w:left w:w="28" w:type="dxa"/>
            <w:bottom w:w="28" w:type="dxa"/>
            <w:right w:w="28" w:type="dxa"/>
          </w:tblCellMar>
        </w:tblPrEx>
        <w:trPr>
          <w:trHeight w:val="777"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7EC2259">
            <w:pPr>
              <w:widowControl/>
              <w:spacing w:line="560" w:lineRule="exact"/>
              <w:jc w:val="center"/>
              <w:textAlignment w:val="center"/>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四</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2736A7DE">
            <w:pPr>
              <w:widowControl/>
              <w:spacing w:line="560" w:lineRule="exact"/>
              <w:jc w:val="both"/>
              <w:textAlignment w:val="center"/>
              <w:rPr>
                <w:rFonts w:hint="eastAsia" w:ascii="黑体" w:hAnsi="黑体" w:eastAsia="黑体" w:cs="黑体"/>
                <w:sz w:val="32"/>
                <w:szCs w:val="32"/>
                <w:highlight w:val="none"/>
              </w:rPr>
            </w:pPr>
            <w:r>
              <w:rPr>
                <w:rFonts w:hint="eastAsia" w:ascii="黑体" w:hAnsi="黑体" w:eastAsia="黑体" w:cs="黑体"/>
                <w:sz w:val="32"/>
                <w:szCs w:val="32"/>
                <w:highlight w:val="none"/>
              </w:rPr>
              <w:t>总分=价格分+资信业绩分+服务方案分</w:t>
            </w:r>
          </w:p>
        </w:tc>
      </w:tr>
    </w:tbl>
    <w:p w14:paraId="04E6153F">
      <w:pPr>
        <w:spacing w:line="560" w:lineRule="exact"/>
        <w:ind w:firstLine="640" w:firstLineChars="200"/>
        <w:rPr>
          <w:rFonts w:ascii="仿宋" w:hAnsi="仿宋" w:eastAsia="仿宋" w:cs="仿宋"/>
          <w:bCs/>
          <w:sz w:val="32"/>
          <w:szCs w:val="32"/>
          <w:highlight w:val="none"/>
        </w:rPr>
      </w:pPr>
    </w:p>
    <w:p w14:paraId="04001300">
      <w:pPr>
        <w:pStyle w:val="7"/>
        <w:spacing w:line="560" w:lineRule="exact"/>
        <w:rPr>
          <w:highlight w:val="none"/>
        </w:rPr>
      </w:pPr>
    </w:p>
    <w:p w14:paraId="038445E8">
      <w:pPr>
        <w:pStyle w:val="8"/>
        <w:rPr>
          <w:highlight w:val="none"/>
        </w:rPr>
      </w:pPr>
    </w:p>
    <w:p w14:paraId="0E6E77D8">
      <w:pPr>
        <w:pStyle w:val="8"/>
        <w:rPr>
          <w:highlight w:val="none"/>
        </w:rPr>
      </w:pPr>
    </w:p>
    <w:p w14:paraId="3F847B5E">
      <w:pPr>
        <w:pStyle w:val="8"/>
        <w:rPr>
          <w:highlight w:val="none"/>
        </w:rPr>
      </w:pPr>
    </w:p>
    <w:p w14:paraId="28D146EB">
      <w:pPr>
        <w:pStyle w:val="8"/>
        <w:rPr>
          <w:highlight w:val="none"/>
        </w:rPr>
      </w:pPr>
    </w:p>
    <w:p w14:paraId="6E8AE23B">
      <w:pPr>
        <w:pStyle w:val="8"/>
        <w:rPr>
          <w:highlight w:val="none"/>
        </w:rPr>
      </w:pPr>
    </w:p>
    <w:p w14:paraId="48A76142">
      <w:pPr>
        <w:pStyle w:val="8"/>
        <w:rPr>
          <w:highlight w:val="none"/>
        </w:rPr>
      </w:pPr>
    </w:p>
    <w:p w14:paraId="0E4EE9EE">
      <w:pPr>
        <w:pStyle w:val="8"/>
        <w:rPr>
          <w:highlight w:val="none"/>
        </w:rPr>
      </w:pPr>
    </w:p>
    <w:p w14:paraId="3B0E6C65">
      <w:pPr>
        <w:pStyle w:val="8"/>
        <w:rPr>
          <w:highlight w:val="none"/>
        </w:rPr>
      </w:pPr>
    </w:p>
    <w:p w14:paraId="26DF3AC4">
      <w:pPr>
        <w:pStyle w:val="8"/>
        <w:rPr>
          <w:highlight w:val="none"/>
        </w:rPr>
      </w:pPr>
    </w:p>
    <w:p w14:paraId="76F23216">
      <w:pPr>
        <w:pStyle w:val="8"/>
        <w:rPr>
          <w:highlight w:val="none"/>
        </w:rPr>
      </w:pPr>
    </w:p>
    <w:p w14:paraId="3ABB1A54">
      <w:pPr>
        <w:pStyle w:val="8"/>
        <w:rPr>
          <w:highlight w:val="none"/>
        </w:rPr>
      </w:pPr>
    </w:p>
    <w:p w14:paraId="1965A5A6">
      <w:pPr>
        <w:pStyle w:val="8"/>
        <w:rPr>
          <w:highlight w:val="none"/>
        </w:rPr>
      </w:pPr>
    </w:p>
    <w:p w14:paraId="36962DAF">
      <w:pPr>
        <w:pStyle w:val="8"/>
        <w:rPr>
          <w:highlight w:val="none"/>
        </w:rPr>
      </w:pPr>
    </w:p>
    <w:p w14:paraId="0054366F">
      <w:pPr>
        <w:pStyle w:val="8"/>
        <w:rPr>
          <w:highlight w:val="none"/>
        </w:rPr>
      </w:pPr>
    </w:p>
    <w:p w14:paraId="2FC7F792">
      <w:pPr>
        <w:pStyle w:val="8"/>
        <w:rPr>
          <w:highlight w:val="none"/>
        </w:rPr>
      </w:pPr>
    </w:p>
    <w:p w14:paraId="6F7E5292">
      <w:pPr>
        <w:pStyle w:val="8"/>
        <w:rPr>
          <w:highlight w:val="none"/>
        </w:rPr>
      </w:pPr>
    </w:p>
    <w:p w14:paraId="4178CA68">
      <w:pPr>
        <w:pStyle w:val="3"/>
        <w:spacing w:before="0" w:after="0" w:line="560" w:lineRule="exact"/>
        <w:jc w:val="center"/>
        <w:rPr>
          <w:rFonts w:ascii="方正小标宋_GBK" w:hAnsi="方正小标宋_GBK" w:eastAsia="方正小标宋_GBK" w:cs="方正小标宋_GBK"/>
          <w:highlight w:val="none"/>
        </w:rPr>
      </w:pPr>
      <w:bookmarkStart w:id="24" w:name="_Toc5116"/>
      <w:bookmarkStart w:id="25" w:name="_Toc29925"/>
      <w:r>
        <w:rPr>
          <w:rFonts w:hint="eastAsia" w:ascii="方正小标宋_GBK" w:hAnsi="方正小标宋_GBK" w:eastAsia="方正小标宋_GBK" w:cs="方正小标宋_GBK"/>
          <w:highlight w:val="none"/>
        </w:rPr>
        <w:t>第五章 响应文件格式</w:t>
      </w:r>
      <w:bookmarkEnd w:id="24"/>
      <w:bookmarkEnd w:id="25"/>
    </w:p>
    <w:p w14:paraId="0EF3CC41">
      <w:pPr>
        <w:snapToGrid w:val="0"/>
        <w:spacing w:before="156" w:beforeLines="50" w:after="50" w:line="560" w:lineRule="exact"/>
        <w:rPr>
          <w:rFonts w:ascii="宋体" w:hAnsi="宋体"/>
          <w:bCs/>
          <w:sz w:val="32"/>
          <w:szCs w:val="20"/>
          <w:highlight w:val="none"/>
        </w:rPr>
      </w:pPr>
      <w:r>
        <w:rPr>
          <w:rFonts w:hint="eastAsia" w:ascii="宋体" w:hAnsi="宋体"/>
          <w:sz w:val="24"/>
          <w:highlight w:val="none"/>
        </w:rPr>
        <w:t xml:space="preserve">                                                    </w:t>
      </w:r>
    </w:p>
    <w:p w14:paraId="2BE3D78A">
      <w:pPr>
        <w:snapToGrid w:val="0"/>
        <w:spacing w:before="156" w:beforeLines="50" w:after="50" w:line="560" w:lineRule="exact"/>
        <w:rPr>
          <w:rFonts w:ascii="宋体" w:hAnsi="宋体"/>
          <w:sz w:val="24"/>
          <w:szCs w:val="20"/>
          <w:highlight w:val="none"/>
        </w:rPr>
      </w:pPr>
    </w:p>
    <w:p w14:paraId="624F1B49">
      <w:pPr>
        <w:adjustRightInd w:val="0"/>
        <w:snapToGrid w:val="0"/>
        <w:spacing w:line="560" w:lineRule="exact"/>
        <w:jc w:val="center"/>
        <w:rPr>
          <w:rFonts w:ascii="宋体" w:hAnsi="宋体" w:cs="宋体"/>
          <w:sz w:val="36"/>
          <w:szCs w:val="36"/>
          <w:highlight w:val="none"/>
        </w:rPr>
      </w:pPr>
      <w:r>
        <w:rPr>
          <w:rFonts w:hint="eastAsia" w:ascii="方正小标宋_GBK" w:hAnsi="方正小标宋_GBK" w:eastAsia="方正小标宋_GBK" w:cs="方正小标宋_GBK"/>
          <w:b/>
          <w:bCs/>
          <w:color w:val="000000"/>
          <w:kern w:val="0"/>
          <w:sz w:val="44"/>
          <w:szCs w:val="44"/>
          <w:highlight w:val="none"/>
        </w:rPr>
        <w:t>2025年北部湾港钦州港域港口设施保安演习</w:t>
      </w:r>
    </w:p>
    <w:p w14:paraId="1E550832">
      <w:pPr>
        <w:snapToGrid w:val="0"/>
        <w:spacing w:before="156" w:beforeLines="50" w:after="50" w:line="560" w:lineRule="exact"/>
        <w:jc w:val="center"/>
        <w:rPr>
          <w:rFonts w:ascii="宋体" w:hAnsi="宋体" w:cs="宋体"/>
          <w:bCs/>
          <w:sz w:val="36"/>
          <w:szCs w:val="36"/>
          <w:highlight w:val="none"/>
        </w:rPr>
      </w:pPr>
    </w:p>
    <w:p w14:paraId="1771554B">
      <w:pPr>
        <w:snapToGrid w:val="0"/>
        <w:spacing w:before="156" w:beforeLines="50" w:after="50" w:line="780" w:lineRule="exact"/>
        <w:jc w:val="center"/>
        <w:rPr>
          <w:rFonts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2E5A9B72">
      <w:pPr>
        <w:snapToGrid w:val="0"/>
        <w:spacing w:before="156" w:beforeLines="50" w:after="50" w:line="560" w:lineRule="exact"/>
        <w:jc w:val="center"/>
        <w:rPr>
          <w:rFonts w:ascii="方正小标宋简体" w:hAnsi="方正小标宋简体" w:eastAsia="方正小标宋简体" w:cs="方正小标宋简体"/>
          <w:bCs/>
          <w:sz w:val="44"/>
          <w:szCs w:val="44"/>
          <w:highlight w:val="none"/>
        </w:rPr>
      </w:pPr>
    </w:p>
    <w:p w14:paraId="0FED49EE">
      <w:pPr>
        <w:snapToGrid w:val="0"/>
        <w:spacing w:before="156" w:beforeLines="50" w:after="50" w:line="560" w:lineRule="exact"/>
        <w:jc w:val="center"/>
        <w:rPr>
          <w:rFonts w:ascii="方正小标宋简体" w:hAnsi="方正小标宋简体" w:eastAsia="方正小标宋简体" w:cs="方正小标宋简体"/>
          <w:bCs/>
          <w:sz w:val="32"/>
          <w:szCs w:val="32"/>
          <w:highlight w:val="none"/>
        </w:rPr>
      </w:pPr>
    </w:p>
    <w:p w14:paraId="5A329F4D">
      <w:pPr>
        <w:snapToGrid w:val="0"/>
        <w:spacing w:before="156" w:beforeLines="50" w:after="50" w:line="560" w:lineRule="exact"/>
        <w:rPr>
          <w:rFonts w:ascii="宋体" w:hAnsi="宋体"/>
          <w:bCs/>
          <w:sz w:val="24"/>
          <w:szCs w:val="20"/>
          <w:highlight w:val="none"/>
        </w:rPr>
      </w:pPr>
    </w:p>
    <w:p w14:paraId="42363389">
      <w:pPr>
        <w:snapToGrid w:val="0"/>
        <w:spacing w:before="156" w:beforeLines="50" w:after="50" w:line="560" w:lineRule="exact"/>
        <w:rPr>
          <w:rFonts w:ascii="宋体" w:hAnsi="宋体"/>
          <w:bCs/>
          <w:sz w:val="24"/>
          <w:szCs w:val="20"/>
          <w:highlight w:val="none"/>
        </w:rPr>
      </w:pPr>
    </w:p>
    <w:p w14:paraId="45A44AC5">
      <w:pPr>
        <w:snapToGrid w:val="0"/>
        <w:spacing w:before="156" w:beforeLines="50" w:after="50" w:line="560" w:lineRule="exact"/>
        <w:rPr>
          <w:rFonts w:ascii="宋体" w:hAnsi="宋体"/>
          <w:bCs/>
          <w:sz w:val="24"/>
          <w:szCs w:val="20"/>
          <w:highlight w:val="none"/>
        </w:rPr>
      </w:pPr>
    </w:p>
    <w:p w14:paraId="2294189C">
      <w:pPr>
        <w:snapToGrid w:val="0"/>
        <w:spacing w:before="156" w:beforeLines="50" w:after="50" w:line="560" w:lineRule="exact"/>
        <w:ind w:firstLine="640" w:firstLineChars="200"/>
        <w:rPr>
          <w:rFonts w:ascii="宋体" w:hAnsi="宋体" w:cs="仿宋_GB2312"/>
          <w:bCs/>
          <w:sz w:val="32"/>
          <w:szCs w:val="32"/>
          <w:highlight w:val="none"/>
        </w:rPr>
      </w:pPr>
    </w:p>
    <w:p w14:paraId="1E46BAB7">
      <w:pPr>
        <w:snapToGrid w:val="0"/>
        <w:spacing w:before="156" w:beforeLines="50" w:after="50" w:line="560" w:lineRule="exact"/>
        <w:ind w:firstLine="720" w:firstLineChars="225"/>
        <w:rPr>
          <w:rFonts w:ascii="宋体" w:hAnsi="宋体" w:cs="仿宋_GB2312"/>
          <w:bCs/>
          <w:sz w:val="32"/>
          <w:szCs w:val="32"/>
          <w:highlight w:val="none"/>
        </w:rPr>
      </w:pPr>
    </w:p>
    <w:p w14:paraId="1992722D">
      <w:pPr>
        <w:snapToGrid w:val="0"/>
        <w:spacing w:before="156" w:beforeLines="50" w:after="50" w:line="560" w:lineRule="exact"/>
        <w:ind w:firstLine="720" w:firstLineChars="225"/>
        <w:rPr>
          <w:rFonts w:ascii="仿宋" w:hAnsi="仿宋" w:eastAsia="仿宋" w:cs="仿宋"/>
          <w:bCs/>
          <w:sz w:val="32"/>
          <w:szCs w:val="32"/>
          <w:highlight w:val="none"/>
        </w:rPr>
      </w:pPr>
      <w:r>
        <w:rPr>
          <w:rFonts w:hint="eastAsia" w:ascii="仿宋" w:hAnsi="仿宋" w:eastAsia="仿宋" w:cs="仿宋"/>
          <w:bCs/>
          <w:sz w:val="32"/>
          <w:szCs w:val="32"/>
          <w:highlight w:val="none"/>
        </w:rPr>
        <w:t>供应商名称：</w:t>
      </w:r>
      <w:r>
        <w:rPr>
          <w:rFonts w:hint="eastAsia" w:ascii="仿宋" w:hAnsi="仿宋" w:eastAsia="仿宋" w:cs="仿宋"/>
          <w:bCs/>
          <w:sz w:val="32"/>
          <w:szCs w:val="32"/>
          <w:highlight w:val="none"/>
          <w:u w:val="single"/>
        </w:rPr>
        <w:t xml:space="preserve">                         </w:t>
      </w:r>
      <w:r>
        <w:rPr>
          <w:rFonts w:hint="eastAsia" w:ascii="仿宋" w:hAnsi="仿宋" w:eastAsia="仿宋" w:cs="仿宋"/>
          <w:bCs/>
          <w:sz w:val="32"/>
          <w:szCs w:val="32"/>
          <w:highlight w:val="none"/>
        </w:rPr>
        <w:t>（盖单位公章）</w:t>
      </w:r>
    </w:p>
    <w:p w14:paraId="1D655D62">
      <w:pPr>
        <w:snapToGrid w:val="0"/>
        <w:spacing w:before="156" w:beforeLines="50" w:after="50" w:line="560" w:lineRule="exact"/>
        <w:ind w:firstLine="720" w:firstLineChars="225"/>
        <w:rPr>
          <w:rFonts w:ascii="仿宋" w:hAnsi="仿宋" w:eastAsia="仿宋" w:cs="仿宋"/>
          <w:bCs/>
          <w:sz w:val="32"/>
          <w:szCs w:val="32"/>
          <w:highlight w:val="none"/>
        </w:rPr>
      </w:pPr>
      <w:r>
        <w:rPr>
          <w:rFonts w:hint="eastAsia" w:ascii="仿宋" w:hAnsi="仿宋" w:eastAsia="仿宋" w:cs="仿宋"/>
          <w:bCs/>
          <w:sz w:val="32"/>
          <w:szCs w:val="32"/>
          <w:highlight w:val="none"/>
        </w:rPr>
        <w:t>法定代表人或其委托代理人：</w:t>
      </w:r>
      <w:r>
        <w:rPr>
          <w:rFonts w:hint="eastAsia" w:ascii="仿宋" w:hAnsi="仿宋" w:eastAsia="仿宋" w:cs="仿宋"/>
          <w:bCs/>
          <w:sz w:val="32"/>
          <w:szCs w:val="32"/>
          <w:highlight w:val="none"/>
          <w:u w:val="single"/>
        </w:rPr>
        <w:t xml:space="preserve">           </w:t>
      </w:r>
      <w:r>
        <w:rPr>
          <w:rFonts w:hint="eastAsia" w:ascii="仿宋" w:hAnsi="仿宋" w:eastAsia="仿宋" w:cs="仿宋"/>
          <w:bCs/>
          <w:sz w:val="32"/>
          <w:szCs w:val="32"/>
          <w:highlight w:val="none"/>
        </w:rPr>
        <w:t>（签字）</w:t>
      </w:r>
    </w:p>
    <w:p w14:paraId="25CC8F3F">
      <w:pPr>
        <w:snapToGrid w:val="0"/>
        <w:spacing w:before="156" w:beforeLines="50" w:after="50" w:line="560" w:lineRule="exact"/>
        <w:ind w:firstLine="720" w:firstLineChars="225"/>
        <w:rPr>
          <w:rFonts w:ascii="仿宋" w:hAnsi="仿宋" w:eastAsia="仿宋" w:cs="仿宋"/>
          <w:bCs/>
          <w:sz w:val="32"/>
          <w:szCs w:val="32"/>
          <w:highlight w:val="none"/>
        </w:rPr>
      </w:pPr>
    </w:p>
    <w:p w14:paraId="3B8685ED">
      <w:pPr>
        <w:pStyle w:val="5"/>
        <w:snapToGrid w:val="0"/>
        <w:spacing w:before="50" w:after="50" w:line="560" w:lineRule="exact"/>
        <w:ind w:firstLine="1280" w:firstLineChars="400"/>
        <w:rPr>
          <w:rFonts w:ascii="仿宋" w:hAnsi="仿宋" w:eastAsia="仿宋" w:cs="仿宋"/>
          <w:bCs/>
          <w:sz w:val="32"/>
          <w:szCs w:val="32"/>
          <w:highlight w:val="none"/>
        </w:rPr>
      </w:pPr>
    </w:p>
    <w:p w14:paraId="493F2BCC">
      <w:pPr>
        <w:snapToGrid w:val="0"/>
        <w:spacing w:before="156" w:beforeLines="50" w:after="50" w:line="560" w:lineRule="exact"/>
        <w:jc w:val="center"/>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6C0A1CBC">
      <w:pPr>
        <w:snapToGrid w:val="0"/>
        <w:spacing w:before="156" w:beforeLines="50" w:after="50" w:line="560" w:lineRule="exact"/>
        <w:jc w:val="center"/>
        <w:outlineLvl w:val="1"/>
        <w:rPr>
          <w:rFonts w:ascii="黑体" w:hAnsi="黑体" w:eastAsia="黑体" w:cs="黑体"/>
          <w:b/>
          <w:bCs/>
          <w:sz w:val="44"/>
          <w:szCs w:val="44"/>
          <w:highlight w:val="none"/>
        </w:rPr>
      </w:pPr>
      <w:r>
        <w:rPr>
          <w:rFonts w:ascii="宋体" w:hAnsi="宋体"/>
          <w:sz w:val="24"/>
          <w:highlight w:val="none"/>
        </w:rPr>
        <w:br w:type="page"/>
      </w:r>
      <w:bookmarkStart w:id="26" w:name="_Toc5241"/>
      <w:bookmarkStart w:id="27" w:name="_Toc14424"/>
      <w:r>
        <w:rPr>
          <w:rFonts w:hint="eastAsia" w:ascii="黑体" w:hAnsi="黑体" w:eastAsia="黑体" w:cs="黑体"/>
          <w:b/>
          <w:bCs/>
          <w:sz w:val="44"/>
          <w:szCs w:val="44"/>
          <w:highlight w:val="none"/>
        </w:rPr>
        <w:t>目录</w:t>
      </w:r>
      <w:bookmarkEnd w:id="26"/>
      <w:bookmarkEnd w:id="27"/>
    </w:p>
    <w:p w14:paraId="1CAEDA5A">
      <w:pPr>
        <w:snapToGrid w:val="0"/>
        <w:spacing w:before="156" w:beforeLines="50" w:after="50" w:line="560" w:lineRule="exact"/>
        <w:rPr>
          <w:rFonts w:ascii="宋体" w:hAnsi="宋体"/>
          <w:sz w:val="24"/>
          <w:szCs w:val="20"/>
          <w:highlight w:val="none"/>
        </w:rPr>
      </w:pPr>
    </w:p>
    <w:p w14:paraId="65DFE921">
      <w:pPr>
        <w:snapToGrid w:val="0"/>
        <w:spacing w:before="156" w:beforeLines="50" w:after="50"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一、竞标函</w:t>
      </w:r>
    </w:p>
    <w:p w14:paraId="2B6D366F">
      <w:pPr>
        <w:snapToGrid w:val="0"/>
        <w:spacing w:before="156" w:beforeLines="50" w:after="50"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二、法定代表人身份证明或授权委托书</w:t>
      </w:r>
    </w:p>
    <w:p w14:paraId="59046557">
      <w:pPr>
        <w:snapToGrid w:val="0"/>
        <w:spacing w:before="156" w:beforeLines="50" w:after="50"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三、业绩资料</w:t>
      </w:r>
    </w:p>
    <w:p w14:paraId="3377EEE9">
      <w:pPr>
        <w:snapToGrid w:val="0"/>
        <w:spacing w:before="156" w:beforeLines="50" w:after="50"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四、服务方案</w:t>
      </w:r>
    </w:p>
    <w:p w14:paraId="3B839310">
      <w:pPr>
        <w:spacing w:line="560" w:lineRule="exact"/>
        <w:rPr>
          <w:rFonts w:ascii="宋体" w:hAnsi="宋体"/>
          <w:szCs w:val="21"/>
          <w:highlight w:val="none"/>
        </w:rPr>
      </w:pPr>
    </w:p>
    <w:p w14:paraId="6976EDDA">
      <w:pPr>
        <w:spacing w:line="560" w:lineRule="exact"/>
        <w:rPr>
          <w:rFonts w:ascii="宋体" w:hAnsi="宋体"/>
          <w:szCs w:val="21"/>
          <w:highlight w:val="none"/>
        </w:rPr>
      </w:pPr>
    </w:p>
    <w:p w14:paraId="5E255A38">
      <w:pPr>
        <w:spacing w:line="560" w:lineRule="exact"/>
        <w:rPr>
          <w:rFonts w:ascii="宋体" w:hAnsi="宋体"/>
          <w:szCs w:val="21"/>
          <w:highlight w:val="none"/>
        </w:rPr>
      </w:pPr>
    </w:p>
    <w:p w14:paraId="128979E0">
      <w:pPr>
        <w:spacing w:line="560" w:lineRule="exact"/>
        <w:rPr>
          <w:rFonts w:ascii="宋体" w:hAnsi="宋体"/>
          <w:szCs w:val="21"/>
          <w:highlight w:val="none"/>
        </w:rPr>
      </w:pPr>
    </w:p>
    <w:p w14:paraId="65E6AEDF">
      <w:pPr>
        <w:spacing w:line="560" w:lineRule="exact"/>
        <w:jc w:val="center"/>
        <w:outlineLvl w:val="1"/>
        <w:rPr>
          <w:rFonts w:ascii="黑体" w:hAnsi="黑体" w:eastAsia="黑体" w:cs="黑体"/>
          <w:sz w:val="36"/>
          <w:szCs w:val="36"/>
          <w:highlight w:val="none"/>
        </w:rPr>
      </w:pPr>
      <w:r>
        <w:rPr>
          <w:rFonts w:ascii="宋体" w:hAnsi="宋体"/>
          <w:szCs w:val="21"/>
          <w:highlight w:val="none"/>
        </w:rPr>
        <w:br w:type="page"/>
      </w:r>
      <w:bookmarkStart w:id="28" w:name="_Toc5505"/>
      <w:bookmarkStart w:id="29" w:name="_Toc30651"/>
      <w:r>
        <w:rPr>
          <w:rFonts w:hint="eastAsia" w:ascii="黑体" w:hAnsi="黑体" w:eastAsia="黑体" w:cs="黑体"/>
          <w:sz w:val="36"/>
          <w:szCs w:val="36"/>
          <w:highlight w:val="none"/>
        </w:rPr>
        <w:t>一、竞标函</w:t>
      </w:r>
      <w:bookmarkEnd w:id="28"/>
      <w:bookmarkEnd w:id="29"/>
    </w:p>
    <w:p w14:paraId="32A4AEC0">
      <w:pPr>
        <w:spacing w:line="560" w:lineRule="exact"/>
        <w:jc w:val="center"/>
        <w:rPr>
          <w:rFonts w:ascii="宋体" w:hAnsi="宋体"/>
          <w:b/>
          <w:sz w:val="32"/>
          <w:szCs w:val="32"/>
          <w:highlight w:val="none"/>
        </w:rPr>
      </w:pPr>
    </w:p>
    <w:p w14:paraId="4FF59869">
      <w:pPr>
        <w:spacing w:line="560" w:lineRule="exact"/>
        <w:jc w:val="center"/>
        <w:rPr>
          <w:rFonts w:ascii="方正小标宋_GBK" w:hAnsi="方正小标宋_GBK" w:eastAsia="方正小标宋_GBK" w:cs="方正小标宋_GBK"/>
          <w:b/>
          <w:sz w:val="44"/>
          <w:szCs w:val="44"/>
          <w:highlight w:val="none"/>
        </w:rPr>
      </w:pPr>
      <w:r>
        <w:rPr>
          <w:rFonts w:hint="eastAsia" w:ascii="方正小标宋_GBK" w:hAnsi="方正小标宋_GBK" w:eastAsia="方正小标宋_GBK" w:cs="方正小标宋_GBK"/>
          <w:b/>
          <w:sz w:val="44"/>
          <w:szCs w:val="44"/>
          <w:highlight w:val="none"/>
        </w:rPr>
        <w:t>竞标函</w:t>
      </w:r>
    </w:p>
    <w:p w14:paraId="215F93DF">
      <w:pPr>
        <w:spacing w:line="560" w:lineRule="exact"/>
        <w:jc w:val="center"/>
        <w:rPr>
          <w:rFonts w:ascii="宋体" w:hAnsi="宋体"/>
          <w:sz w:val="24"/>
          <w:szCs w:val="20"/>
          <w:highlight w:val="none"/>
        </w:rPr>
      </w:pPr>
    </w:p>
    <w:p w14:paraId="4512E2E9">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广西壮族自治区北部湾港港口管理局钦州分局 </w:t>
      </w:r>
      <w:r>
        <w:rPr>
          <w:rFonts w:hint="eastAsia" w:ascii="仿宋" w:hAnsi="仿宋" w:eastAsia="仿宋" w:cs="仿宋"/>
          <w:sz w:val="32"/>
          <w:szCs w:val="32"/>
          <w:highlight w:val="none"/>
        </w:rPr>
        <w:t>：</w:t>
      </w:r>
    </w:p>
    <w:p w14:paraId="44EF990E">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1.我方已仔细研究了</w:t>
      </w:r>
      <w:r>
        <w:rPr>
          <w:rFonts w:hint="eastAsia" w:ascii="仿宋" w:hAnsi="仿宋" w:eastAsia="仿宋" w:cs="仿宋"/>
          <w:sz w:val="32"/>
          <w:szCs w:val="32"/>
          <w:highlight w:val="none"/>
          <w:u w:val="single"/>
        </w:rPr>
        <w:t xml:space="preserve"> 2025年北部湾港钦州港域港口设施保安演习委托业务服务</w:t>
      </w:r>
      <w:r>
        <w:rPr>
          <w:rFonts w:hint="eastAsia" w:ascii="仿宋" w:hAnsi="仿宋" w:eastAsia="仿宋" w:cs="仿宋"/>
          <w:sz w:val="32"/>
          <w:szCs w:val="32"/>
          <w:highlight w:val="none"/>
        </w:rPr>
        <w:t>采购文件的全部内容，愿意以人民币（大写）</w:t>
      </w:r>
      <w:r>
        <w:rPr>
          <w:rFonts w:hint="eastAsia" w:ascii="仿宋" w:hAnsi="仿宋" w:eastAsia="仿宋" w:cs="仿宋"/>
          <w:sz w:val="32"/>
          <w:szCs w:val="32"/>
          <w:highlight w:val="none"/>
          <w:u w:val="single"/>
        </w:rPr>
        <w:t xml:space="preserve">             （¥               ）</w:t>
      </w:r>
      <w:r>
        <w:rPr>
          <w:rFonts w:hint="eastAsia" w:ascii="仿宋" w:hAnsi="仿宋" w:eastAsia="仿宋" w:cs="仿宋"/>
          <w:sz w:val="32"/>
          <w:szCs w:val="32"/>
          <w:highlight w:val="none"/>
        </w:rPr>
        <w:t>的竞标总报价，按合同约定完成2025年北部湾港钦州港域港口设施保安演习工作。</w:t>
      </w:r>
    </w:p>
    <w:p w14:paraId="3416CFA4">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2.我方的响应文件包括下列内容：：</w:t>
      </w:r>
    </w:p>
    <w:p w14:paraId="5EB41E2A">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（1）竞标函；</w:t>
      </w:r>
    </w:p>
    <w:p w14:paraId="388F047F">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（2）法定代表人身份证明或授权委托书；</w:t>
      </w:r>
    </w:p>
    <w:p w14:paraId="3F46570C">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（3）业绩资料；</w:t>
      </w:r>
    </w:p>
    <w:p w14:paraId="58CDEC41">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（4）服务方案。</w:t>
      </w:r>
    </w:p>
    <w:p w14:paraId="268579FC">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响应文件的上述组成部分如存在内容不一致的，以竞标函为准。</w:t>
      </w:r>
    </w:p>
    <w:p w14:paraId="3B0B1CC3">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3.项目负责人姓名：</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现任职务：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w:t>
      </w:r>
    </w:p>
    <w:p w14:paraId="12571BF5">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4.我方承诺在采购文件规定的竞标有效期内不撤销响应文件。</w:t>
      </w:r>
    </w:p>
    <w:p w14:paraId="2D5B61FC">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5.如我方中标，我方承诺：</w:t>
      </w:r>
    </w:p>
    <w:p w14:paraId="12C9BEAD">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（1）在收到中标通知书后，在中标通知书规定的期限内与你方签订合同；</w:t>
      </w:r>
    </w:p>
    <w:p w14:paraId="231054BF">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（2）在签订合同时不向你方提出附加条件；</w:t>
      </w:r>
    </w:p>
    <w:p w14:paraId="4ABF4CF9">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（3）在合同约定的期限内完成合同规定的全部义务。</w:t>
      </w:r>
    </w:p>
    <w:p w14:paraId="086B7F5E">
      <w:pPr>
        <w:spacing w:line="56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6.我方在此声明，所递交的响应文件及有关资料内容完整、真实和准确。</w:t>
      </w:r>
    </w:p>
    <w:p w14:paraId="7E1B66ED">
      <w:pPr>
        <w:pStyle w:val="10"/>
        <w:tabs>
          <w:tab w:val="left" w:pos="939"/>
        </w:tabs>
        <w:spacing w:line="560" w:lineRule="exact"/>
        <w:ind w:left="0" w:leftChars="0" w:firstLine="640" w:firstLineChars="200"/>
        <w:rPr>
          <w:rFonts w:ascii="仿宋" w:hAnsi="仿宋" w:eastAsia="仿宋" w:cs="仿宋"/>
          <w:sz w:val="32"/>
          <w:szCs w:val="32"/>
          <w:highlight w:val="none"/>
        </w:rPr>
      </w:pPr>
    </w:p>
    <w:p w14:paraId="533298D9">
      <w:pPr>
        <w:pStyle w:val="5"/>
        <w:overflowPunct w:val="0"/>
        <w:spacing w:line="56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2A804014">
      <w:pPr>
        <w:pStyle w:val="5"/>
        <w:overflowPunct w:val="0"/>
        <w:spacing w:line="560" w:lineRule="exact"/>
        <w:ind w:firstLine="1971" w:firstLineChars="616"/>
        <w:rPr>
          <w:rFonts w:ascii="仿宋" w:hAnsi="仿宋" w:eastAsia="仿宋" w:cs="仿宋"/>
          <w:sz w:val="32"/>
          <w:szCs w:val="32"/>
          <w:highlight w:val="none"/>
        </w:rPr>
      </w:pPr>
      <w:r>
        <w:rPr>
          <w:rFonts w:hint="eastAsia" w:ascii="仿宋" w:hAnsi="仿宋" w:eastAsia="仿宋" w:cs="仿宋"/>
          <w:sz w:val="32"/>
          <w:szCs w:val="32"/>
          <w:highlight w:val="none"/>
        </w:rPr>
        <w:t>法定代表人或其委托代理人：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1B7584EA">
      <w:pPr>
        <w:pStyle w:val="5"/>
        <w:overflowPunct w:val="0"/>
        <w:spacing w:line="560" w:lineRule="exact"/>
        <w:ind w:firstLine="5331" w:firstLineChars="1666"/>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24651AB8">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30553999">
      <w:pPr>
        <w:snapToGrid w:val="0"/>
        <w:spacing w:line="560" w:lineRule="exact"/>
        <w:jc w:val="center"/>
        <w:outlineLvl w:val="1"/>
        <w:rPr>
          <w:rFonts w:ascii="黑体" w:hAnsi="黑体" w:eastAsia="黑体" w:cs="黑体"/>
          <w:sz w:val="36"/>
          <w:szCs w:val="36"/>
          <w:highlight w:val="none"/>
        </w:rPr>
      </w:pPr>
      <w:bookmarkStart w:id="30" w:name="_Toc10185"/>
      <w:bookmarkStart w:id="31" w:name="_Toc9179"/>
      <w:r>
        <w:rPr>
          <w:rFonts w:hint="eastAsia" w:ascii="黑体" w:hAnsi="黑体" w:eastAsia="黑体" w:cs="黑体"/>
          <w:sz w:val="36"/>
          <w:szCs w:val="36"/>
          <w:highlight w:val="none"/>
        </w:rPr>
        <w:t>二、法定代表人身份证明</w:t>
      </w:r>
      <w:bookmarkEnd w:id="30"/>
      <w:bookmarkEnd w:id="31"/>
    </w:p>
    <w:p w14:paraId="4CA39280">
      <w:pPr>
        <w:snapToGrid w:val="0"/>
        <w:spacing w:line="560" w:lineRule="exact"/>
        <w:ind w:firstLine="480" w:firstLineChars="200"/>
        <w:rPr>
          <w:rFonts w:ascii="宋体" w:hAnsi="宋体" w:cs="仿宋_GB2312"/>
          <w:sz w:val="24"/>
          <w:highlight w:val="none"/>
        </w:rPr>
      </w:pPr>
    </w:p>
    <w:p w14:paraId="45C9DE01">
      <w:pPr>
        <w:pStyle w:val="26"/>
        <w:spacing w:line="560" w:lineRule="exact"/>
        <w:jc w:val="center"/>
        <w:rPr>
          <w:rFonts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b/>
          <w:sz w:val="44"/>
          <w:szCs w:val="44"/>
          <w:highlight w:val="none"/>
        </w:rPr>
        <w:t>法定代表人身份证明</w:t>
      </w:r>
    </w:p>
    <w:p w14:paraId="71111885">
      <w:pPr>
        <w:pStyle w:val="26"/>
        <w:spacing w:line="560" w:lineRule="exact"/>
        <w:rPr>
          <w:rFonts w:ascii="宋体" w:hAnsi="宋体" w:cs="仿宋_GB2312"/>
          <w:highlight w:val="none"/>
        </w:rPr>
      </w:pPr>
    </w:p>
    <w:p w14:paraId="114B90A3">
      <w:pPr>
        <w:pStyle w:val="7"/>
        <w:spacing w:line="560" w:lineRule="exact"/>
        <w:rPr>
          <w:highlight w:val="none"/>
        </w:rPr>
      </w:pPr>
    </w:p>
    <w:p w14:paraId="2594C547">
      <w:pPr>
        <w:snapToGrid w:val="0"/>
        <w:spacing w:line="56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供应商名称：</w:t>
      </w:r>
      <w:r>
        <w:rPr>
          <w:rFonts w:hint="eastAsia" w:ascii="仿宋" w:hAnsi="仿宋" w:eastAsia="仿宋" w:cs="仿宋"/>
          <w:sz w:val="32"/>
          <w:szCs w:val="32"/>
          <w:highlight w:val="none"/>
          <w:u w:val="single"/>
        </w:rPr>
        <w:t xml:space="preserve">                                 </w:t>
      </w:r>
    </w:p>
    <w:p w14:paraId="31E375EC">
      <w:pPr>
        <w:snapToGrid w:val="0"/>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姓名：</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性别：</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职务：</w:t>
      </w:r>
      <w:r>
        <w:rPr>
          <w:rFonts w:hint="eastAsia" w:ascii="仿宋" w:hAnsi="仿宋" w:eastAsia="仿宋" w:cs="仿宋"/>
          <w:sz w:val="32"/>
          <w:szCs w:val="32"/>
          <w:highlight w:val="none"/>
          <w:u w:val="single"/>
        </w:rPr>
        <w:t xml:space="preserve">         </w:t>
      </w:r>
    </w:p>
    <w:p w14:paraId="534664E0">
      <w:pPr>
        <w:snapToGrid w:val="0"/>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（供应商名称）的法定代表人。</w:t>
      </w:r>
    </w:p>
    <w:p w14:paraId="095E8C6B">
      <w:pPr>
        <w:pStyle w:val="7"/>
        <w:spacing w:line="560" w:lineRule="exact"/>
        <w:ind w:firstLine="1600" w:firstLineChars="500"/>
        <w:rPr>
          <w:rFonts w:ascii="仿宋" w:hAnsi="仿宋" w:eastAsia="仿宋" w:cs="仿宋"/>
          <w:sz w:val="32"/>
          <w:szCs w:val="32"/>
          <w:highlight w:val="none"/>
        </w:rPr>
      </w:pPr>
      <w:r>
        <w:rPr>
          <w:rFonts w:hint="eastAsia" w:ascii="仿宋" w:hAnsi="仿宋" w:eastAsia="仿宋" w:cs="仿宋"/>
          <w:sz w:val="32"/>
          <w:szCs w:val="32"/>
          <w:highlight w:val="none"/>
        </w:rPr>
        <w:t>特此证明。</w:t>
      </w:r>
    </w:p>
    <w:p w14:paraId="4B779C99">
      <w:pPr>
        <w:snapToGrid w:val="0"/>
        <w:spacing w:line="560" w:lineRule="exact"/>
        <w:ind w:firstLine="640" w:firstLineChars="200"/>
        <w:rPr>
          <w:rFonts w:ascii="仿宋" w:hAnsi="仿宋" w:eastAsia="仿宋" w:cs="仿宋"/>
          <w:sz w:val="32"/>
          <w:szCs w:val="32"/>
          <w:highlight w:val="none"/>
        </w:rPr>
      </w:pPr>
    </w:p>
    <w:p w14:paraId="4B617B4A">
      <w:pPr>
        <w:snapToGrid w:val="0"/>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附：法定代表人身份证复印件</w:t>
      </w:r>
    </w:p>
    <w:p w14:paraId="364D036E">
      <w:pPr>
        <w:pStyle w:val="7"/>
        <w:spacing w:line="560" w:lineRule="exact"/>
        <w:rPr>
          <w:rFonts w:ascii="仿宋" w:hAnsi="仿宋" w:eastAsia="仿宋" w:cs="仿宋"/>
          <w:sz w:val="32"/>
          <w:szCs w:val="32"/>
          <w:highlight w:val="none"/>
        </w:rPr>
      </w:pPr>
    </w:p>
    <w:p w14:paraId="392CACFD">
      <w:pPr>
        <w:pStyle w:val="7"/>
        <w:spacing w:line="560" w:lineRule="exact"/>
        <w:rPr>
          <w:rFonts w:ascii="仿宋" w:hAnsi="仿宋" w:eastAsia="仿宋" w:cs="仿宋"/>
          <w:sz w:val="32"/>
          <w:szCs w:val="32"/>
          <w:highlight w:val="none"/>
        </w:rPr>
      </w:pPr>
    </w:p>
    <w:p w14:paraId="58066CAE">
      <w:pPr>
        <w:pStyle w:val="7"/>
        <w:spacing w:line="560" w:lineRule="exact"/>
        <w:rPr>
          <w:rFonts w:ascii="仿宋" w:hAnsi="仿宋" w:eastAsia="仿宋" w:cs="仿宋"/>
          <w:sz w:val="32"/>
          <w:szCs w:val="32"/>
          <w:highlight w:val="none"/>
        </w:rPr>
      </w:pPr>
    </w:p>
    <w:p w14:paraId="357CD428">
      <w:pPr>
        <w:pStyle w:val="5"/>
        <w:overflowPunct w:val="0"/>
        <w:spacing w:line="56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 xml:space="preserve">             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4B4B2DE5">
      <w:pPr>
        <w:pStyle w:val="5"/>
        <w:overflowPunct w:val="0"/>
        <w:spacing w:line="560" w:lineRule="exact"/>
        <w:ind w:firstLine="3840" w:firstLineChars="1200"/>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4651994D">
      <w:pPr>
        <w:pStyle w:val="7"/>
        <w:spacing w:line="560" w:lineRule="exact"/>
        <w:rPr>
          <w:rFonts w:ascii="仿宋" w:hAnsi="仿宋" w:eastAsia="仿宋" w:cs="仿宋"/>
          <w:sz w:val="32"/>
          <w:szCs w:val="32"/>
          <w:highlight w:val="none"/>
        </w:rPr>
      </w:pPr>
    </w:p>
    <w:p w14:paraId="1F48DA12">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768CE6C8">
      <w:pPr>
        <w:snapToGrid w:val="0"/>
        <w:spacing w:line="560" w:lineRule="exact"/>
        <w:jc w:val="center"/>
        <w:outlineLvl w:val="1"/>
        <w:rPr>
          <w:rFonts w:ascii="黑体" w:hAnsi="黑体" w:eastAsia="黑体" w:cs="黑体"/>
          <w:sz w:val="36"/>
          <w:szCs w:val="36"/>
          <w:highlight w:val="none"/>
        </w:rPr>
      </w:pPr>
      <w:bookmarkStart w:id="32" w:name="_Toc21187"/>
      <w:bookmarkStart w:id="33" w:name="_Toc20885"/>
      <w:r>
        <w:rPr>
          <w:rFonts w:hint="eastAsia" w:ascii="黑体" w:hAnsi="黑体" w:eastAsia="黑体" w:cs="黑体"/>
          <w:sz w:val="36"/>
          <w:szCs w:val="36"/>
          <w:highlight w:val="none"/>
        </w:rPr>
        <w:t>二、授权委托书</w:t>
      </w:r>
      <w:bookmarkEnd w:id="32"/>
      <w:bookmarkEnd w:id="33"/>
    </w:p>
    <w:p w14:paraId="0B9C6139">
      <w:pPr>
        <w:snapToGrid w:val="0"/>
        <w:spacing w:line="560" w:lineRule="exact"/>
        <w:ind w:firstLine="480" w:firstLineChars="200"/>
        <w:rPr>
          <w:rFonts w:ascii="宋体" w:hAnsi="宋体" w:cs="仿宋_GB2312"/>
          <w:sz w:val="24"/>
          <w:highlight w:val="none"/>
        </w:rPr>
      </w:pPr>
    </w:p>
    <w:p w14:paraId="470AD5A2">
      <w:pPr>
        <w:pStyle w:val="26"/>
        <w:spacing w:line="560" w:lineRule="exact"/>
        <w:jc w:val="center"/>
        <w:rPr>
          <w:rFonts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b/>
          <w:sz w:val="44"/>
          <w:szCs w:val="44"/>
          <w:highlight w:val="none"/>
        </w:rPr>
        <w:t>授权委托书</w:t>
      </w:r>
    </w:p>
    <w:p w14:paraId="5C94129B">
      <w:pPr>
        <w:pStyle w:val="7"/>
        <w:spacing w:line="560" w:lineRule="exact"/>
        <w:rPr>
          <w:highlight w:val="none"/>
        </w:rPr>
      </w:pPr>
    </w:p>
    <w:p w14:paraId="68666DCD">
      <w:pPr>
        <w:spacing w:line="560" w:lineRule="exact"/>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本人</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(姓名)系</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(供应商名称)的法定代表人，现委托</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 xml:space="preserve"> (姓名)为我方代理人。代理人根据授权，以我方名义签署、澄清确认、递交、撤回、修改响应文件和处理有关事宜，其法律后果由我方承担。</w:t>
      </w:r>
    </w:p>
    <w:p w14:paraId="38AD831A">
      <w:pPr>
        <w:spacing w:line="560" w:lineRule="exact"/>
        <w:ind w:firstLine="480"/>
        <w:rPr>
          <w:rFonts w:ascii="仿宋" w:hAnsi="仿宋" w:eastAsia="仿宋" w:cs="仿宋"/>
          <w:sz w:val="30"/>
          <w:szCs w:val="30"/>
          <w:highlight w:val="none"/>
        </w:rPr>
      </w:pPr>
      <w:r>
        <w:rPr>
          <w:rFonts w:hint="eastAsia" w:ascii="仿宋" w:hAnsi="仿宋" w:eastAsia="仿宋" w:cs="仿宋"/>
          <w:sz w:val="30"/>
          <w:szCs w:val="30"/>
          <w:highlight w:val="none"/>
        </w:rPr>
        <w:t>委托期限：自</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年</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月</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日起至</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年</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月</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日止。</w:t>
      </w:r>
    </w:p>
    <w:p w14:paraId="351627EF">
      <w:pPr>
        <w:spacing w:line="560" w:lineRule="exact"/>
        <w:ind w:firstLine="480"/>
        <w:rPr>
          <w:rFonts w:ascii="仿宋" w:hAnsi="仿宋" w:eastAsia="仿宋" w:cs="仿宋"/>
          <w:sz w:val="30"/>
          <w:szCs w:val="30"/>
          <w:highlight w:val="none"/>
        </w:rPr>
      </w:pPr>
      <w:r>
        <w:rPr>
          <w:rFonts w:hint="eastAsia" w:ascii="仿宋" w:hAnsi="仿宋" w:eastAsia="仿宋" w:cs="仿宋"/>
          <w:sz w:val="30"/>
          <w:szCs w:val="30"/>
          <w:highlight w:val="none"/>
        </w:rPr>
        <w:t>代理人无转委托权。</w:t>
      </w:r>
    </w:p>
    <w:p w14:paraId="70F8CE51">
      <w:pPr>
        <w:spacing w:line="560" w:lineRule="exact"/>
        <w:rPr>
          <w:rFonts w:ascii="仿宋" w:hAnsi="仿宋" w:eastAsia="仿宋" w:cs="仿宋"/>
          <w:sz w:val="30"/>
          <w:szCs w:val="30"/>
          <w:highlight w:val="none"/>
        </w:rPr>
      </w:pPr>
    </w:p>
    <w:p w14:paraId="5F5060A9">
      <w:pPr>
        <w:spacing w:line="560" w:lineRule="exact"/>
        <w:ind w:firstLine="750" w:firstLineChars="250"/>
        <w:rPr>
          <w:rFonts w:ascii="仿宋" w:hAnsi="仿宋" w:eastAsia="仿宋" w:cs="仿宋"/>
          <w:sz w:val="30"/>
          <w:szCs w:val="30"/>
          <w:highlight w:val="none"/>
        </w:rPr>
      </w:pPr>
      <w:r>
        <w:rPr>
          <w:rFonts w:hint="eastAsia" w:ascii="仿宋" w:hAnsi="仿宋" w:eastAsia="仿宋" w:cs="仿宋"/>
          <w:sz w:val="30"/>
          <w:szCs w:val="30"/>
          <w:highlight w:val="none"/>
        </w:rPr>
        <w:t>附：法定代表人身份证复印件及</w:t>
      </w:r>
      <w:r>
        <w:rPr>
          <w:rFonts w:hint="eastAsia" w:ascii="仿宋" w:hAnsi="仿宋" w:eastAsia="仿宋" w:cs="仿宋"/>
          <w:snapToGrid w:val="0"/>
          <w:kern w:val="0"/>
          <w:sz w:val="30"/>
          <w:szCs w:val="30"/>
          <w:highlight w:val="none"/>
        </w:rPr>
        <w:t>委托代理人身份证复印件</w:t>
      </w:r>
    </w:p>
    <w:p w14:paraId="20CB36B0">
      <w:pPr>
        <w:spacing w:line="560" w:lineRule="exact"/>
        <w:ind w:firstLine="480"/>
        <w:rPr>
          <w:rFonts w:ascii="仿宋" w:hAnsi="仿宋" w:eastAsia="仿宋" w:cs="仿宋"/>
          <w:sz w:val="30"/>
          <w:szCs w:val="30"/>
          <w:highlight w:val="none"/>
        </w:rPr>
      </w:pPr>
    </w:p>
    <w:p w14:paraId="01E0C860">
      <w:pPr>
        <w:spacing w:line="560" w:lineRule="exact"/>
        <w:rPr>
          <w:rFonts w:ascii="仿宋" w:hAnsi="仿宋" w:eastAsia="仿宋" w:cs="仿宋"/>
          <w:sz w:val="30"/>
          <w:szCs w:val="30"/>
          <w:highlight w:val="none"/>
        </w:rPr>
      </w:pPr>
    </w:p>
    <w:p w14:paraId="75DDDEA5">
      <w:pPr>
        <w:spacing w:line="560" w:lineRule="exact"/>
        <w:ind w:firstLine="300" w:firstLineChars="100"/>
        <w:jc w:val="right"/>
        <w:rPr>
          <w:rFonts w:ascii="仿宋" w:hAnsi="仿宋" w:eastAsia="仿宋" w:cs="仿宋"/>
          <w:sz w:val="30"/>
          <w:szCs w:val="30"/>
          <w:highlight w:val="none"/>
        </w:rPr>
      </w:pPr>
      <w:r>
        <w:rPr>
          <w:rFonts w:hint="eastAsia" w:ascii="仿宋" w:hAnsi="仿宋" w:eastAsia="仿宋" w:cs="仿宋"/>
          <w:sz w:val="30"/>
          <w:szCs w:val="30"/>
          <w:highlight w:val="none"/>
        </w:rPr>
        <w:t>供应商：</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（盖单位公章）</w:t>
      </w:r>
    </w:p>
    <w:p w14:paraId="2A46A804">
      <w:pPr>
        <w:spacing w:line="560" w:lineRule="exact"/>
        <w:jc w:val="right"/>
        <w:rPr>
          <w:rFonts w:ascii="仿宋" w:hAnsi="仿宋" w:eastAsia="仿宋" w:cs="仿宋"/>
          <w:sz w:val="30"/>
          <w:szCs w:val="30"/>
          <w:highlight w:val="none"/>
        </w:rPr>
      </w:pPr>
      <w:r>
        <w:rPr>
          <w:rFonts w:hint="eastAsia" w:ascii="仿宋" w:hAnsi="仿宋" w:eastAsia="仿宋" w:cs="仿宋"/>
          <w:sz w:val="30"/>
          <w:szCs w:val="30"/>
          <w:highlight w:val="none"/>
        </w:rPr>
        <w:t>法定代表人：</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（签字）</w:t>
      </w:r>
    </w:p>
    <w:p w14:paraId="21F0BEFA">
      <w:pPr>
        <w:spacing w:line="560" w:lineRule="exact"/>
        <w:ind w:firstLine="2400" w:firstLineChars="800"/>
        <w:rPr>
          <w:rFonts w:ascii="仿宋" w:hAnsi="仿宋" w:eastAsia="仿宋" w:cs="仿宋"/>
          <w:sz w:val="30"/>
          <w:szCs w:val="30"/>
          <w:highlight w:val="none"/>
        </w:rPr>
      </w:pPr>
      <w:r>
        <w:rPr>
          <w:rFonts w:hint="eastAsia" w:ascii="仿宋" w:hAnsi="仿宋" w:eastAsia="仿宋" w:cs="仿宋"/>
          <w:sz w:val="30"/>
          <w:szCs w:val="30"/>
          <w:highlight w:val="none"/>
        </w:rPr>
        <w:t>身份证号码：</w:t>
      </w:r>
      <w:r>
        <w:rPr>
          <w:rFonts w:hint="eastAsia" w:ascii="仿宋" w:hAnsi="仿宋" w:eastAsia="仿宋" w:cs="仿宋"/>
          <w:sz w:val="30"/>
          <w:szCs w:val="30"/>
          <w:highlight w:val="none"/>
          <w:u w:val="single"/>
        </w:rPr>
        <w:t xml:space="preserve">                            </w:t>
      </w:r>
    </w:p>
    <w:p w14:paraId="4201D548">
      <w:pPr>
        <w:spacing w:line="560" w:lineRule="exact"/>
        <w:jc w:val="right"/>
        <w:rPr>
          <w:rFonts w:ascii="仿宋" w:hAnsi="仿宋" w:eastAsia="仿宋" w:cs="仿宋"/>
          <w:sz w:val="30"/>
          <w:szCs w:val="30"/>
          <w:highlight w:val="none"/>
        </w:rPr>
      </w:pPr>
      <w:r>
        <w:rPr>
          <w:rFonts w:hint="eastAsia" w:ascii="仿宋" w:hAnsi="仿宋" w:eastAsia="仿宋" w:cs="仿宋"/>
          <w:sz w:val="30"/>
          <w:szCs w:val="30"/>
          <w:highlight w:val="none"/>
        </w:rPr>
        <w:t>委托代理人：</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（签字）</w:t>
      </w:r>
    </w:p>
    <w:p w14:paraId="3463685C">
      <w:pPr>
        <w:spacing w:line="560" w:lineRule="exact"/>
        <w:ind w:firstLine="2319" w:firstLineChars="773"/>
        <w:rPr>
          <w:rFonts w:ascii="仿宋" w:hAnsi="仿宋" w:eastAsia="仿宋" w:cs="仿宋"/>
          <w:sz w:val="30"/>
          <w:szCs w:val="30"/>
          <w:highlight w:val="none"/>
        </w:rPr>
      </w:pPr>
      <w:r>
        <w:rPr>
          <w:rFonts w:hint="eastAsia" w:ascii="仿宋" w:hAnsi="仿宋" w:eastAsia="仿宋" w:cs="仿宋"/>
          <w:sz w:val="30"/>
          <w:szCs w:val="30"/>
          <w:highlight w:val="none"/>
        </w:rPr>
        <w:t>身份证号码：</w:t>
      </w:r>
      <w:r>
        <w:rPr>
          <w:rFonts w:hint="eastAsia" w:ascii="仿宋" w:hAnsi="仿宋" w:eastAsia="仿宋" w:cs="仿宋"/>
          <w:sz w:val="30"/>
          <w:szCs w:val="30"/>
          <w:highlight w:val="none"/>
          <w:u w:val="single"/>
        </w:rPr>
        <w:t xml:space="preserve">                             </w:t>
      </w:r>
    </w:p>
    <w:p w14:paraId="33DB624A">
      <w:pPr>
        <w:spacing w:line="560" w:lineRule="exact"/>
        <w:jc w:val="right"/>
        <w:rPr>
          <w:rFonts w:ascii="仿宋" w:hAnsi="仿宋" w:eastAsia="仿宋" w:cs="仿宋"/>
          <w:sz w:val="30"/>
          <w:szCs w:val="30"/>
          <w:highlight w:val="none"/>
        </w:rPr>
      </w:pP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年</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月</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日</w:t>
      </w:r>
    </w:p>
    <w:p w14:paraId="493D3A84">
      <w:pPr>
        <w:pStyle w:val="7"/>
        <w:tabs>
          <w:tab w:val="left" w:leader="dot" w:pos="480"/>
        </w:tabs>
        <w:spacing w:line="560" w:lineRule="exact"/>
        <w:jc w:val="right"/>
        <w:rPr>
          <w:bCs/>
          <w:highlight w:val="none"/>
        </w:rPr>
      </w:pPr>
    </w:p>
    <w:p w14:paraId="48D92CEC">
      <w:pPr>
        <w:spacing w:line="560" w:lineRule="exact"/>
        <w:rPr>
          <w:bCs/>
          <w:highlight w:val="none"/>
        </w:rPr>
      </w:pPr>
      <w:r>
        <w:rPr>
          <w:bCs/>
          <w:highlight w:val="none"/>
        </w:rPr>
        <w:br w:type="page"/>
      </w:r>
    </w:p>
    <w:p w14:paraId="5D7E9F17">
      <w:pPr>
        <w:snapToGrid w:val="0"/>
        <w:spacing w:line="560" w:lineRule="exact"/>
        <w:jc w:val="center"/>
        <w:outlineLvl w:val="1"/>
        <w:rPr>
          <w:rFonts w:ascii="黑体" w:hAnsi="黑体" w:eastAsia="黑体" w:cs="黑体"/>
          <w:sz w:val="36"/>
          <w:szCs w:val="36"/>
          <w:highlight w:val="none"/>
        </w:rPr>
      </w:pPr>
      <w:bookmarkStart w:id="34" w:name="_Toc1684"/>
      <w:bookmarkStart w:id="35" w:name="_Toc8009"/>
      <w:r>
        <w:rPr>
          <w:rFonts w:hint="eastAsia" w:ascii="黑体" w:hAnsi="黑体" w:eastAsia="黑体" w:cs="黑体"/>
          <w:sz w:val="36"/>
          <w:szCs w:val="36"/>
          <w:highlight w:val="none"/>
        </w:rPr>
        <w:t>三、报价清单</w:t>
      </w:r>
      <w:bookmarkEnd w:id="34"/>
      <w:bookmarkEnd w:id="35"/>
    </w:p>
    <w:p w14:paraId="7DA4389F">
      <w:pPr>
        <w:spacing w:line="560" w:lineRule="exact"/>
        <w:jc w:val="center"/>
        <w:outlineLvl w:val="2"/>
        <w:rPr>
          <w:rFonts w:ascii="方正小标宋_GBK" w:hAnsi="方正小标宋_GBK" w:eastAsia="方正小标宋_GBK" w:cs="方正小标宋_GBK"/>
          <w:sz w:val="44"/>
          <w:szCs w:val="44"/>
          <w:highlight w:val="none"/>
        </w:rPr>
      </w:pPr>
      <w:bookmarkStart w:id="36" w:name="_Toc10738"/>
      <w:bookmarkStart w:id="37" w:name="_Toc32344"/>
      <w:r>
        <w:rPr>
          <w:rFonts w:hint="eastAsia" w:ascii="方正小标宋_GBK" w:hAnsi="方正小标宋_GBK" w:eastAsia="方正小标宋_GBK" w:cs="方正小标宋_GBK"/>
          <w:b/>
          <w:sz w:val="44"/>
          <w:szCs w:val="44"/>
          <w:highlight w:val="none"/>
        </w:rPr>
        <w:t>（一）报价文件说明</w:t>
      </w:r>
      <w:bookmarkEnd w:id="36"/>
      <w:bookmarkEnd w:id="37"/>
    </w:p>
    <w:p w14:paraId="3AD45901">
      <w:pPr>
        <w:spacing w:line="560" w:lineRule="exact"/>
        <w:rPr>
          <w:rFonts w:ascii="黑体" w:hAnsi="宋体" w:eastAsia="黑体"/>
          <w:sz w:val="24"/>
          <w:highlight w:val="none"/>
        </w:rPr>
      </w:pPr>
    </w:p>
    <w:p w14:paraId="5A9F0665">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1.“报价清单”应与“供应商须知”“采购内容及要求”“合同条款”等一起使用。</w:t>
      </w:r>
    </w:p>
    <w:p w14:paraId="3CE81D3A">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rPr>
        <w:t>2.本次采购采用总价包干，报价为完成本项目全过程的所有费用，</w:t>
      </w:r>
      <w:r>
        <w:rPr>
          <w:rFonts w:hint="eastAsia" w:ascii="仿宋" w:hAnsi="仿宋" w:eastAsia="仿宋" w:cs="仿宋"/>
          <w:sz w:val="32"/>
          <w:szCs w:val="32"/>
          <w:highlight w:val="none"/>
          <w:lang w:bidi="ar"/>
        </w:rPr>
        <w:t>包含但不限于资料收集、会议、差旅费、预拍摄费、文印费、设备耗材费、税费及合同包含的所有风险、责任及措施等费用，包含为完成2025年北部湾港钦州港域港口设施保安演习（除拖轮租赁费外）的全部工作以及可能发生的各种费用。本项目合同总价在合同执行过程中是固定的，不因情况变化而调整。</w:t>
      </w:r>
    </w:p>
    <w:p w14:paraId="5B432DBC">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3.竞标报价为一次报价，此次报价即最终报价，不再就价格问题另行协商。</w:t>
      </w:r>
    </w:p>
    <w:p w14:paraId="26F43630">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4.“报价清单”中报价应以人民币为单位。</w:t>
      </w:r>
    </w:p>
    <w:p w14:paraId="0E9377DB">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5.报价应为含税价格，并且能够提供增值税发票。</w:t>
      </w:r>
    </w:p>
    <w:p w14:paraId="427666FA">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6.供应商应在“报价清单”后附计算说明，包括计算方法、取费依据等，以便采购人对供应商报价的合理性作出判断。</w:t>
      </w:r>
    </w:p>
    <w:p w14:paraId="6826231D">
      <w:pPr>
        <w:widowControl/>
        <w:spacing w:line="560" w:lineRule="exact"/>
        <w:ind w:firstLine="640" w:firstLineChars="200"/>
        <w:rPr>
          <w:rFonts w:ascii="仿宋" w:hAnsi="仿宋" w:eastAsia="仿宋" w:cs="仿宋"/>
          <w:sz w:val="32"/>
          <w:szCs w:val="32"/>
          <w:highlight w:val="none"/>
          <w:lang w:bidi="ar"/>
        </w:rPr>
      </w:pPr>
    </w:p>
    <w:p w14:paraId="3A585249">
      <w:pPr>
        <w:widowControl/>
        <w:spacing w:line="560" w:lineRule="exact"/>
        <w:ind w:firstLine="480" w:firstLineChars="200"/>
        <w:rPr>
          <w:rFonts w:ascii="宋体" w:hAnsi="宋体" w:cs="宋体"/>
          <w:sz w:val="24"/>
          <w:highlight w:val="none"/>
          <w:lang w:bidi="ar"/>
        </w:rPr>
      </w:pPr>
    </w:p>
    <w:p w14:paraId="72D8E306">
      <w:pPr>
        <w:widowControl/>
        <w:spacing w:line="560" w:lineRule="exact"/>
        <w:ind w:firstLine="480" w:firstLineChars="200"/>
        <w:rPr>
          <w:rFonts w:ascii="宋体" w:hAnsi="宋体" w:cs="宋体"/>
          <w:sz w:val="24"/>
          <w:highlight w:val="none"/>
          <w:lang w:bidi="ar"/>
        </w:rPr>
      </w:pPr>
    </w:p>
    <w:p w14:paraId="71E04A8D">
      <w:pPr>
        <w:widowControl/>
        <w:spacing w:line="560" w:lineRule="exact"/>
        <w:ind w:firstLine="480" w:firstLineChars="200"/>
        <w:rPr>
          <w:rFonts w:ascii="宋体" w:hAnsi="宋体" w:cs="宋体"/>
          <w:sz w:val="24"/>
          <w:highlight w:val="none"/>
          <w:lang w:bidi="ar"/>
        </w:rPr>
      </w:pPr>
    </w:p>
    <w:p w14:paraId="3BB16F3A">
      <w:pPr>
        <w:widowControl/>
        <w:spacing w:line="560" w:lineRule="exact"/>
        <w:ind w:firstLine="480" w:firstLineChars="200"/>
        <w:rPr>
          <w:rFonts w:ascii="宋体" w:hAnsi="宋体" w:cs="宋体"/>
          <w:sz w:val="24"/>
          <w:highlight w:val="none"/>
          <w:lang w:bidi="ar"/>
        </w:rPr>
      </w:pPr>
    </w:p>
    <w:p w14:paraId="2A3DE924">
      <w:pPr>
        <w:pStyle w:val="7"/>
        <w:spacing w:line="560" w:lineRule="exact"/>
        <w:jc w:val="center"/>
        <w:outlineLvl w:val="2"/>
        <w:rPr>
          <w:b/>
          <w:bCs/>
          <w:sz w:val="32"/>
          <w:szCs w:val="32"/>
          <w:highlight w:val="none"/>
        </w:rPr>
      </w:pPr>
      <w:bookmarkStart w:id="38" w:name="_Toc1367"/>
      <w:bookmarkStart w:id="39" w:name="_Toc2327"/>
      <w:r>
        <w:rPr>
          <w:rFonts w:hint="eastAsia"/>
          <w:b/>
          <w:bCs/>
          <w:sz w:val="32"/>
          <w:szCs w:val="32"/>
          <w:highlight w:val="none"/>
        </w:rPr>
        <w:t>（二）竞标报价表</w:t>
      </w:r>
      <w:bookmarkEnd w:id="38"/>
      <w:bookmarkEnd w:id="39"/>
    </w:p>
    <w:p w14:paraId="1AD9E41F">
      <w:pPr>
        <w:pStyle w:val="7"/>
        <w:spacing w:line="560" w:lineRule="exact"/>
        <w:rPr>
          <w:highlight w:val="none"/>
        </w:rPr>
      </w:pPr>
    </w:p>
    <w:p w14:paraId="33190DE4">
      <w:pPr>
        <w:spacing w:line="560" w:lineRule="exact"/>
        <w:jc w:val="center"/>
        <w:rPr>
          <w:rFonts w:ascii="方正小标宋_GBK" w:hAnsi="方正小标宋_GBK" w:eastAsia="方正小标宋_GBK" w:cs="方正小标宋_GBK"/>
          <w:b/>
          <w:sz w:val="44"/>
          <w:szCs w:val="44"/>
          <w:highlight w:val="none"/>
        </w:rPr>
      </w:pPr>
      <w:r>
        <w:rPr>
          <w:rFonts w:hint="eastAsia" w:ascii="方正小标宋_GBK" w:hAnsi="方正小标宋_GBK" w:eastAsia="方正小标宋_GBK" w:cs="方正小标宋_GBK"/>
          <w:b/>
          <w:sz w:val="44"/>
          <w:szCs w:val="44"/>
          <w:highlight w:val="none"/>
        </w:rPr>
        <w:t>竞标报价表</w:t>
      </w:r>
    </w:p>
    <w:p w14:paraId="53F34BAB">
      <w:pPr>
        <w:spacing w:line="560" w:lineRule="exact"/>
        <w:jc w:val="center"/>
        <w:rPr>
          <w:rFonts w:ascii="方正小标宋简体" w:hAnsi="方正小标宋简体" w:eastAsia="方正小标宋简体" w:cs="方正小标宋简体"/>
          <w:bCs/>
          <w:sz w:val="32"/>
          <w:szCs w:val="32"/>
          <w:highlight w:val="none"/>
        </w:rPr>
      </w:pPr>
    </w:p>
    <w:p w14:paraId="6E5F6FCE">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采购项目名称：</w:t>
      </w:r>
      <w:r>
        <w:rPr>
          <w:rFonts w:hint="eastAsia" w:ascii="仿宋" w:hAnsi="仿宋" w:eastAsia="仿宋" w:cs="仿宋"/>
          <w:sz w:val="32"/>
          <w:szCs w:val="32"/>
          <w:highlight w:val="none"/>
          <w:u w:val="single"/>
        </w:rPr>
        <w:t xml:space="preserve"> 2025年北部湾港钦州港域港口设施保安演习</w:t>
      </w:r>
      <w:r>
        <w:rPr>
          <w:rFonts w:hint="eastAsia" w:ascii="仿宋" w:hAnsi="仿宋" w:eastAsia="仿宋" w:cs="仿宋"/>
          <w:sz w:val="32"/>
          <w:szCs w:val="32"/>
          <w:highlight w:val="none"/>
        </w:rPr>
        <w:t xml:space="preserve"> 单位：人民币元</w:t>
      </w:r>
    </w:p>
    <w:tbl>
      <w:tblPr>
        <w:tblStyle w:val="19"/>
        <w:tblW w:w="499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634"/>
        <w:gridCol w:w="2802"/>
        <w:gridCol w:w="885"/>
        <w:gridCol w:w="1899"/>
        <w:gridCol w:w="1073"/>
      </w:tblGrid>
      <w:tr w14:paraId="043C0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63" w:type="pct"/>
            <w:tcBorders>
              <w:top w:val="single" w:color="auto" w:sz="4" w:space="0"/>
              <w:left w:val="single" w:color="auto" w:sz="4" w:space="0"/>
              <w:bottom w:val="single" w:color="auto" w:sz="4" w:space="0"/>
              <w:right w:val="single" w:color="auto" w:sz="4" w:space="0"/>
            </w:tcBorders>
            <w:vAlign w:val="center"/>
          </w:tcPr>
          <w:p w14:paraId="53F41518">
            <w:pPr>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序号</w:t>
            </w:r>
          </w:p>
        </w:tc>
        <w:tc>
          <w:tcPr>
            <w:tcW w:w="913" w:type="pct"/>
            <w:tcBorders>
              <w:top w:val="single" w:color="auto" w:sz="4" w:space="0"/>
              <w:left w:val="single" w:color="auto" w:sz="4" w:space="0"/>
              <w:bottom w:val="single" w:color="auto" w:sz="4" w:space="0"/>
              <w:right w:val="single" w:color="auto" w:sz="4" w:space="0"/>
            </w:tcBorders>
            <w:vAlign w:val="center"/>
          </w:tcPr>
          <w:p w14:paraId="11C4A690">
            <w:pPr>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服务名称</w:t>
            </w:r>
          </w:p>
        </w:tc>
        <w:tc>
          <w:tcPr>
            <w:tcW w:w="1565" w:type="pct"/>
            <w:tcBorders>
              <w:top w:val="single" w:color="auto" w:sz="4" w:space="0"/>
              <w:left w:val="single" w:color="auto" w:sz="4" w:space="0"/>
              <w:bottom w:val="single" w:color="auto" w:sz="4" w:space="0"/>
              <w:right w:val="single" w:color="auto" w:sz="4" w:space="0"/>
            </w:tcBorders>
            <w:vAlign w:val="center"/>
          </w:tcPr>
          <w:p w14:paraId="0B5B9E37">
            <w:pPr>
              <w:spacing w:line="560" w:lineRule="exact"/>
              <w:contextualSpacing/>
              <w:jc w:val="center"/>
              <w:rPr>
                <w:rFonts w:ascii="仿宋" w:hAnsi="仿宋" w:eastAsia="仿宋" w:cs="仿宋"/>
                <w:sz w:val="32"/>
                <w:szCs w:val="32"/>
                <w:highlight w:val="none"/>
              </w:rPr>
            </w:pPr>
            <w:r>
              <w:rPr>
                <w:rFonts w:hint="eastAsia" w:ascii="仿宋" w:hAnsi="仿宋" w:eastAsia="仿宋" w:cs="仿宋"/>
                <w:color w:val="000000"/>
                <w:kern w:val="0"/>
                <w:sz w:val="32"/>
                <w:szCs w:val="32"/>
                <w:highlight w:val="none"/>
              </w:rPr>
              <w:t>具体内容</w:t>
            </w:r>
          </w:p>
        </w:tc>
        <w:tc>
          <w:tcPr>
            <w:tcW w:w="494" w:type="pct"/>
            <w:tcBorders>
              <w:top w:val="single" w:color="auto" w:sz="4" w:space="0"/>
              <w:left w:val="single" w:color="auto" w:sz="4" w:space="0"/>
              <w:bottom w:val="single" w:color="auto" w:sz="4" w:space="0"/>
              <w:right w:val="single" w:color="auto" w:sz="4" w:space="0"/>
            </w:tcBorders>
            <w:vAlign w:val="center"/>
          </w:tcPr>
          <w:p w14:paraId="0225A573">
            <w:pPr>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数量</w:t>
            </w:r>
          </w:p>
        </w:tc>
        <w:tc>
          <w:tcPr>
            <w:tcW w:w="1062" w:type="pct"/>
            <w:tcBorders>
              <w:top w:val="single" w:color="auto" w:sz="4" w:space="0"/>
              <w:left w:val="single" w:color="auto" w:sz="4" w:space="0"/>
              <w:bottom w:val="single" w:color="auto" w:sz="4" w:space="0"/>
              <w:right w:val="single" w:color="auto" w:sz="4" w:space="0"/>
            </w:tcBorders>
            <w:vAlign w:val="center"/>
          </w:tcPr>
          <w:p w14:paraId="72918717">
            <w:pPr>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金额</w:t>
            </w:r>
          </w:p>
        </w:tc>
        <w:tc>
          <w:tcPr>
            <w:tcW w:w="600" w:type="pct"/>
            <w:tcBorders>
              <w:top w:val="single" w:color="auto" w:sz="4" w:space="0"/>
              <w:left w:val="single" w:color="auto" w:sz="4" w:space="0"/>
              <w:bottom w:val="single" w:color="auto" w:sz="4" w:space="0"/>
              <w:right w:val="single" w:color="auto" w:sz="4" w:space="0"/>
            </w:tcBorders>
            <w:vAlign w:val="center"/>
          </w:tcPr>
          <w:p w14:paraId="68431688">
            <w:pPr>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备注</w:t>
            </w:r>
          </w:p>
        </w:tc>
      </w:tr>
      <w:tr w14:paraId="469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63" w:type="pct"/>
            <w:tcBorders>
              <w:top w:val="single" w:color="auto" w:sz="4" w:space="0"/>
              <w:left w:val="single" w:color="auto" w:sz="4" w:space="0"/>
              <w:bottom w:val="single" w:color="auto" w:sz="4" w:space="0"/>
              <w:right w:val="single" w:color="auto" w:sz="4" w:space="0"/>
            </w:tcBorders>
            <w:vAlign w:val="center"/>
          </w:tcPr>
          <w:p w14:paraId="426BB3F0">
            <w:pPr>
              <w:adjustRightInd w:val="0"/>
              <w:snapToGrid w:val="0"/>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1</w:t>
            </w:r>
          </w:p>
        </w:tc>
        <w:tc>
          <w:tcPr>
            <w:tcW w:w="913" w:type="pct"/>
            <w:tcBorders>
              <w:top w:val="single" w:color="auto" w:sz="4" w:space="0"/>
              <w:left w:val="single" w:color="auto" w:sz="4" w:space="0"/>
              <w:bottom w:val="single" w:color="auto" w:sz="4" w:space="0"/>
              <w:right w:val="single" w:color="auto" w:sz="4" w:space="0"/>
            </w:tcBorders>
            <w:vAlign w:val="center"/>
          </w:tcPr>
          <w:p w14:paraId="5110E645">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脚本的策划编写</w:t>
            </w:r>
          </w:p>
        </w:tc>
        <w:tc>
          <w:tcPr>
            <w:tcW w:w="1565" w:type="pct"/>
            <w:tcBorders>
              <w:top w:val="single" w:color="auto" w:sz="4" w:space="0"/>
              <w:left w:val="single" w:color="auto" w:sz="4" w:space="0"/>
              <w:bottom w:val="single" w:color="auto" w:sz="4" w:space="0"/>
              <w:right w:val="single" w:color="auto" w:sz="4" w:space="0"/>
            </w:tcBorders>
            <w:vAlign w:val="center"/>
          </w:tcPr>
          <w:p w14:paraId="750E7218">
            <w:pPr>
              <w:widowControl/>
              <w:spacing w:line="560" w:lineRule="exact"/>
              <w:jc w:val="left"/>
              <w:rPr>
                <w:rFonts w:ascii="仿宋" w:hAnsi="仿宋" w:eastAsia="仿宋" w:cs="仿宋"/>
                <w:sz w:val="32"/>
                <w:szCs w:val="32"/>
                <w:highlight w:val="none"/>
              </w:rPr>
            </w:pPr>
          </w:p>
        </w:tc>
        <w:tc>
          <w:tcPr>
            <w:tcW w:w="494" w:type="pct"/>
            <w:tcBorders>
              <w:top w:val="single" w:color="auto" w:sz="4" w:space="0"/>
              <w:left w:val="single" w:color="auto" w:sz="4" w:space="0"/>
              <w:bottom w:val="single" w:color="auto" w:sz="4" w:space="0"/>
              <w:right w:val="single" w:color="auto" w:sz="4" w:space="0"/>
            </w:tcBorders>
            <w:vAlign w:val="center"/>
          </w:tcPr>
          <w:p w14:paraId="03CF70DB">
            <w:pPr>
              <w:widowControl/>
              <w:spacing w:line="560" w:lineRule="exact"/>
              <w:jc w:val="center"/>
              <w:rPr>
                <w:rFonts w:ascii="仿宋" w:hAnsi="仿宋" w:eastAsia="仿宋" w:cs="仿宋"/>
                <w:sz w:val="32"/>
                <w:szCs w:val="32"/>
                <w:highlight w:val="none"/>
              </w:rPr>
            </w:pPr>
          </w:p>
        </w:tc>
        <w:tc>
          <w:tcPr>
            <w:tcW w:w="1062" w:type="pct"/>
            <w:tcBorders>
              <w:top w:val="single" w:color="auto" w:sz="4" w:space="0"/>
              <w:left w:val="single" w:color="auto" w:sz="4" w:space="0"/>
              <w:bottom w:val="single" w:color="auto" w:sz="4" w:space="0"/>
              <w:right w:val="single" w:color="auto" w:sz="4" w:space="0"/>
            </w:tcBorders>
            <w:vAlign w:val="center"/>
          </w:tcPr>
          <w:p w14:paraId="13030D18">
            <w:pPr>
              <w:adjustRightInd w:val="0"/>
              <w:snapToGrid w:val="0"/>
              <w:spacing w:line="560" w:lineRule="exact"/>
              <w:contextualSpacing/>
              <w:jc w:val="center"/>
              <w:rPr>
                <w:rFonts w:ascii="仿宋" w:hAnsi="仿宋" w:eastAsia="仿宋" w:cs="仿宋"/>
                <w:sz w:val="32"/>
                <w:szCs w:val="32"/>
                <w:highlight w:val="none"/>
              </w:rPr>
            </w:pPr>
          </w:p>
        </w:tc>
        <w:tc>
          <w:tcPr>
            <w:tcW w:w="600" w:type="pct"/>
            <w:tcBorders>
              <w:top w:val="single" w:color="auto" w:sz="4" w:space="0"/>
              <w:left w:val="single" w:color="auto" w:sz="4" w:space="0"/>
              <w:bottom w:val="single" w:color="auto" w:sz="4" w:space="0"/>
              <w:right w:val="single" w:color="auto" w:sz="4" w:space="0"/>
            </w:tcBorders>
            <w:vAlign w:val="center"/>
          </w:tcPr>
          <w:p w14:paraId="73455BFA">
            <w:pPr>
              <w:adjustRightInd w:val="0"/>
              <w:snapToGrid w:val="0"/>
              <w:spacing w:line="560" w:lineRule="exact"/>
              <w:contextualSpacing/>
              <w:jc w:val="center"/>
              <w:rPr>
                <w:rFonts w:ascii="仿宋" w:hAnsi="仿宋" w:eastAsia="仿宋" w:cs="仿宋"/>
                <w:sz w:val="32"/>
                <w:szCs w:val="32"/>
                <w:highlight w:val="none"/>
              </w:rPr>
            </w:pPr>
          </w:p>
        </w:tc>
      </w:tr>
      <w:tr w14:paraId="450CD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63" w:type="pct"/>
            <w:tcBorders>
              <w:top w:val="single" w:color="auto" w:sz="4" w:space="0"/>
              <w:left w:val="single" w:color="auto" w:sz="4" w:space="0"/>
              <w:bottom w:val="single" w:color="auto" w:sz="4" w:space="0"/>
              <w:right w:val="single" w:color="auto" w:sz="4" w:space="0"/>
            </w:tcBorders>
            <w:vAlign w:val="center"/>
          </w:tcPr>
          <w:p w14:paraId="7164A195">
            <w:pPr>
              <w:adjustRightInd w:val="0"/>
              <w:snapToGrid w:val="0"/>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2</w:t>
            </w:r>
          </w:p>
        </w:tc>
        <w:tc>
          <w:tcPr>
            <w:tcW w:w="913" w:type="pct"/>
            <w:tcBorders>
              <w:top w:val="single" w:color="auto" w:sz="4" w:space="0"/>
              <w:left w:val="single" w:color="auto" w:sz="4" w:space="0"/>
              <w:bottom w:val="single" w:color="auto" w:sz="4" w:space="0"/>
              <w:right w:val="single" w:color="auto" w:sz="4" w:space="0"/>
            </w:tcBorders>
            <w:vAlign w:val="center"/>
          </w:tcPr>
          <w:p w14:paraId="732881B3">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演习场地布置</w:t>
            </w:r>
          </w:p>
        </w:tc>
        <w:tc>
          <w:tcPr>
            <w:tcW w:w="1565" w:type="pct"/>
            <w:tcBorders>
              <w:top w:val="single" w:color="auto" w:sz="4" w:space="0"/>
              <w:left w:val="single" w:color="auto" w:sz="4" w:space="0"/>
              <w:bottom w:val="single" w:color="auto" w:sz="4" w:space="0"/>
              <w:right w:val="single" w:color="auto" w:sz="4" w:space="0"/>
            </w:tcBorders>
            <w:vAlign w:val="center"/>
          </w:tcPr>
          <w:p w14:paraId="5AA23F5C">
            <w:pPr>
              <w:widowControl/>
              <w:spacing w:line="560" w:lineRule="exact"/>
              <w:jc w:val="left"/>
              <w:rPr>
                <w:rFonts w:ascii="仿宋" w:hAnsi="仿宋" w:eastAsia="仿宋" w:cs="仿宋"/>
                <w:sz w:val="32"/>
                <w:szCs w:val="32"/>
                <w:highlight w:val="none"/>
              </w:rPr>
            </w:pPr>
          </w:p>
        </w:tc>
        <w:tc>
          <w:tcPr>
            <w:tcW w:w="494" w:type="pct"/>
            <w:tcBorders>
              <w:top w:val="single" w:color="auto" w:sz="4" w:space="0"/>
              <w:left w:val="single" w:color="auto" w:sz="4" w:space="0"/>
              <w:bottom w:val="single" w:color="auto" w:sz="4" w:space="0"/>
              <w:right w:val="single" w:color="auto" w:sz="4" w:space="0"/>
            </w:tcBorders>
            <w:vAlign w:val="center"/>
          </w:tcPr>
          <w:p w14:paraId="3F4C8F9E">
            <w:pPr>
              <w:widowControl/>
              <w:spacing w:line="560" w:lineRule="exact"/>
              <w:jc w:val="center"/>
              <w:rPr>
                <w:rFonts w:ascii="仿宋" w:hAnsi="仿宋" w:eastAsia="仿宋" w:cs="仿宋"/>
                <w:sz w:val="32"/>
                <w:szCs w:val="32"/>
                <w:highlight w:val="none"/>
              </w:rPr>
            </w:pPr>
          </w:p>
        </w:tc>
        <w:tc>
          <w:tcPr>
            <w:tcW w:w="1062" w:type="pct"/>
            <w:tcBorders>
              <w:top w:val="single" w:color="auto" w:sz="4" w:space="0"/>
              <w:left w:val="single" w:color="auto" w:sz="4" w:space="0"/>
              <w:bottom w:val="single" w:color="auto" w:sz="4" w:space="0"/>
              <w:right w:val="single" w:color="auto" w:sz="4" w:space="0"/>
            </w:tcBorders>
            <w:vAlign w:val="center"/>
          </w:tcPr>
          <w:p w14:paraId="3F534EF1">
            <w:pPr>
              <w:adjustRightInd w:val="0"/>
              <w:snapToGrid w:val="0"/>
              <w:spacing w:line="560" w:lineRule="exact"/>
              <w:contextualSpacing/>
              <w:jc w:val="center"/>
              <w:rPr>
                <w:rFonts w:ascii="仿宋" w:hAnsi="仿宋" w:eastAsia="仿宋" w:cs="仿宋"/>
                <w:sz w:val="32"/>
                <w:szCs w:val="32"/>
                <w:highlight w:val="none"/>
              </w:rPr>
            </w:pPr>
          </w:p>
        </w:tc>
        <w:tc>
          <w:tcPr>
            <w:tcW w:w="600" w:type="pct"/>
            <w:tcBorders>
              <w:top w:val="single" w:color="auto" w:sz="4" w:space="0"/>
              <w:left w:val="single" w:color="auto" w:sz="4" w:space="0"/>
              <w:bottom w:val="single" w:color="auto" w:sz="4" w:space="0"/>
              <w:right w:val="single" w:color="auto" w:sz="4" w:space="0"/>
            </w:tcBorders>
            <w:vAlign w:val="center"/>
          </w:tcPr>
          <w:p w14:paraId="4EC3D0A8">
            <w:pPr>
              <w:adjustRightInd w:val="0"/>
              <w:snapToGrid w:val="0"/>
              <w:spacing w:line="560" w:lineRule="exact"/>
              <w:contextualSpacing/>
              <w:jc w:val="center"/>
              <w:rPr>
                <w:rFonts w:ascii="仿宋" w:hAnsi="仿宋" w:eastAsia="仿宋" w:cs="仿宋"/>
                <w:sz w:val="32"/>
                <w:szCs w:val="32"/>
                <w:highlight w:val="none"/>
              </w:rPr>
            </w:pPr>
          </w:p>
        </w:tc>
      </w:tr>
      <w:tr w14:paraId="3E040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63" w:type="pct"/>
            <w:tcBorders>
              <w:top w:val="single" w:color="auto" w:sz="4" w:space="0"/>
              <w:left w:val="single" w:color="auto" w:sz="4" w:space="0"/>
              <w:bottom w:val="single" w:color="auto" w:sz="4" w:space="0"/>
              <w:right w:val="single" w:color="auto" w:sz="4" w:space="0"/>
            </w:tcBorders>
            <w:vAlign w:val="center"/>
          </w:tcPr>
          <w:p w14:paraId="3900C6DB">
            <w:pPr>
              <w:adjustRightInd w:val="0"/>
              <w:snapToGrid w:val="0"/>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3</w:t>
            </w:r>
          </w:p>
        </w:tc>
        <w:tc>
          <w:tcPr>
            <w:tcW w:w="913" w:type="pct"/>
            <w:tcBorders>
              <w:top w:val="single" w:color="auto" w:sz="4" w:space="0"/>
              <w:left w:val="single" w:color="auto" w:sz="4" w:space="0"/>
              <w:bottom w:val="single" w:color="auto" w:sz="4" w:space="0"/>
              <w:right w:val="single" w:color="auto" w:sz="4" w:space="0"/>
            </w:tcBorders>
            <w:vAlign w:val="center"/>
          </w:tcPr>
          <w:p w14:paraId="7A258FFD">
            <w:pPr>
              <w:spacing w:line="56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rPr>
              <w:t>拍摄制作</w:t>
            </w:r>
          </w:p>
        </w:tc>
        <w:tc>
          <w:tcPr>
            <w:tcW w:w="1565" w:type="pct"/>
            <w:tcBorders>
              <w:top w:val="single" w:color="auto" w:sz="4" w:space="0"/>
              <w:left w:val="single" w:color="auto" w:sz="4" w:space="0"/>
              <w:bottom w:val="single" w:color="auto" w:sz="4" w:space="0"/>
              <w:right w:val="single" w:color="auto" w:sz="4" w:space="0"/>
            </w:tcBorders>
            <w:vAlign w:val="center"/>
          </w:tcPr>
          <w:p w14:paraId="398D3CE2">
            <w:pPr>
              <w:widowControl/>
              <w:spacing w:line="560" w:lineRule="exact"/>
              <w:jc w:val="left"/>
              <w:rPr>
                <w:rFonts w:ascii="仿宋" w:hAnsi="仿宋" w:eastAsia="仿宋" w:cs="仿宋"/>
                <w:sz w:val="32"/>
                <w:szCs w:val="32"/>
                <w:highlight w:val="none"/>
              </w:rPr>
            </w:pPr>
          </w:p>
        </w:tc>
        <w:tc>
          <w:tcPr>
            <w:tcW w:w="494" w:type="pct"/>
            <w:tcBorders>
              <w:top w:val="single" w:color="auto" w:sz="4" w:space="0"/>
              <w:left w:val="single" w:color="auto" w:sz="4" w:space="0"/>
              <w:bottom w:val="single" w:color="auto" w:sz="4" w:space="0"/>
              <w:right w:val="single" w:color="auto" w:sz="4" w:space="0"/>
            </w:tcBorders>
            <w:vAlign w:val="center"/>
          </w:tcPr>
          <w:p w14:paraId="47AE3C13">
            <w:pPr>
              <w:widowControl/>
              <w:spacing w:line="560" w:lineRule="exact"/>
              <w:jc w:val="center"/>
              <w:rPr>
                <w:rFonts w:ascii="仿宋" w:hAnsi="仿宋" w:eastAsia="仿宋" w:cs="仿宋"/>
                <w:sz w:val="32"/>
                <w:szCs w:val="32"/>
                <w:highlight w:val="none"/>
              </w:rPr>
            </w:pPr>
          </w:p>
        </w:tc>
        <w:tc>
          <w:tcPr>
            <w:tcW w:w="1062" w:type="pct"/>
            <w:tcBorders>
              <w:top w:val="single" w:color="auto" w:sz="4" w:space="0"/>
              <w:left w:val="single" w:color="auto" w:sz="4" w:space="0"/>
              <w:bottom w:val="single" w:color="auto" w:sz="4" w:space="0"/>
              <w:right w:val="single" w:color="auto" w:sz="4" w:space="0"/>
            </w:tcBorders>
            <w:vAlign w:val="center"/>
          </w:tcPr>
          <w:p w14:paraId="4599AFB4">
            <w:pPr>
              <w:adjustRightInd w:val="0"/>
              <w:snapToGrid w:val="0"/>
              <w:spacing w:line="560" w:lineRule="exact"/>
              <w:contextualSpacing/>
              <w:jc w:val="center"/>
              <w:rPr>
                <w:rFonts w:ascii="仿宋" w:hAnsi="仿宋" w:eastAsia="仿宋" w:cs="仿宋"/>
                <w:sz w:val="32"/>
                <w:szCs w:val="32"/>
                <w:highlight w:val="none"/>
              </w:rPr>
            </w:pPr>
          </w:p>
        </w:tc>
        <w:tc>
          <w:tcPr>
            <w:tcW w:w="600" w:type="pct"/>
            <w:tcBorders>
              <w:top w:val="single" w:color="auto" w:sz="4" w:space="0"/>
              <w:left w:val="single" w:color="auto" w:sz="4" w:space="0"/>
              <w:bottom w:val="single" w:color="auto" w:sz="4" w:space="0"/>
              <w:right w:val="single" w:color="auto" w:sz="4" w:space="0"/>
            </w:tcBorders>
            <w:vAlign w:val="center"/>
          </w:tcPr>
          <w:p w14:paraId="2F7CE2E8">
            <w:pPr>
              <w:adjustRightInd w:val="0"/>
              <w:snapToGrid w:val="0"/>
              <w:spacing w:line="560" w:lineRule="exact"/>
              <w:contextualSpacing/>
              <w:jc w:val="center"/>
              <w:rPr>
                <w:rFonts w:ascii="仿宋" w:hAnsi="仿宋" w:eastAsia="仿宋" w:cs="仿宋"/>
                <w:sz w:val="32"/>
                <w:szCs w:val="32"/>
                <w:highlight w:val="none"/>
              </w:rPr>
            </w:pPr>
          </w:p>
        </w:tc>
      </w:tr>
      <w:tr w14:paraId="2C483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336"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E1B81CF">
            <w:pPr>
              <w:adjustRightInd w:val="0"/>
              <w:snapToGrid w:val="0"/>
              <w:spacing w:line="560" w:lineRule="exact"/>
              <w:contextualSpacing/>
              <w:jc w:val="center"/>
              <w:rPr>
                <w:rFonts w:ascii="仿宋" w:hAnsi="仿宋" w:eastAsia="仿宋" w:cs="仿宋"/>
                <w:sz w:val="32"/>
                <w:szCs w:val="32"/>
                <w:highlight w:val="none"/>
              </w:rPr>
            </w:pPr>
            <w:r>
              <w:rPr>
                <w:rFonts w:hint="eastAsia" w:ascii="仿宋" w:hAnsi="仿宋" w:eastAsia="仿宋" w:cs="仿宋"/>
                <w:sz w:val="32"/>
                <w:szCs w:val="32"/>
                <w:highlight w:val="none"/>
              </w:rPr>
              <w:t>合计报价</w:t>
            </w:r>
          </w:p>
        </w:tc>
        <w:tc>
          <w:tcPr>
            <w:tcW w:w="1062" w:type="pct"/>
            <w:tcBorders>
              <w:top w:val="single" w:color="auto" w:sz="4" w:space="0"/>
              <w:left w:val="single" w:color="auto" w:sz="4" w:space="0"/>
              <w:bottom w:val="single" w:color="auto" w:sz="4" w:space="0"/>
              <w:right w:val="single" w:color="auto" w:sz="4" w:space="0"/>
            </w:tcBorders>
            <w:vAlign w:val="center"/>
          </w:tcPr>
          <w:p w14:paraId="020C7A21">
            <w:pPr>
              <w:adjustRightInd w:val="0"/>
              <w:snapToGrid w:val="0"/>
              <w:spacing w:line="560" w:lineRule="exact"/>
              <w:contextualSpacing/>
              <w:jc w:val="center"/>
              <w:rPr>
                <w:rFonts w:ascii="仿宋" w:hAnsi="仿宋" w:eastAsia="仿宋" w:cs="仿宋"/>
                <w:sz w:val="32"/>
                <w:szCs w:val="32"/>
                <w:highlight w:val="none"/>
              </w:rPr>
            </w:pPr>
          </w:p>
        </w:tc>
        <w:tc>
          <w:tcPr>
            <w:tcW w:w="600" w:type="pct"/>
            <w:tcBorders>
              <w:top w:val="single" w:color="auto" w:sz="4" w:space="0"/>
              <w:left w:val="single" w:color="auto" w:sz="4" w:space="0"/>
              <w:bottom w:val="single" w:color="auto" w:sz="4" w:space="0"/>
              <w:right w:val="single" w:color="auto" w:sz="4" w:space="0"/>
            </w:tcBorders>
            <w:vAlign w:val="center"/>
          </w:tcPr>
          <w:p w14:paraId="21C5342B">
            <w:pPr>
              <w:adjustRightInd w:val="0"/>
              <w:snapToGrid w:val="0"/>
              <w:spacing w:line="560" w:lineRule="exact"/>
              <w:contextualSpacing/>
              <w:jc w:val="center"/>
              <w:rPr>
                <w:rFonts w:ascii="仿宋" w:hAnsi="仿宋" w:eastAsia="仿宋" w:cs="仿宋"/>
                <w:sz w:val="32"/>
                <w:szCs w:val="32"/>
                <w:highlight w:val="none"/>
              </w:rPr>
            </w:pPr>
          </w:p>
        </w:tc>
      </w:tr>
    </w:tbl>
    <w:p w14:paraId="3F4D1709">
      <w:pPr>
        <w:spacing w:line="560" w:lineRule="exact"/>
        <w:contextualSpacing/>
        <w:jc w:val="left"/>
        <w:rPr>
          <w:rFonts w:ascii="仿宋" w:hAnsi="仿宋" w:eastAsia="仿宋" w:cs="仿宋"/>
          <w:sz w:val="32"/>
          <w:szCs w:val="32"/>
          <w:highlight w:val="none"/>
        </w:rPr>
      </w:pPr>
      <w:r>
        <w:rPr>
          <w:rFonts w:hint="eastAsia" w:ascii="仿宋" w:hAnsi="仿宋" w:eastAsia="仿宋" w:cs="仿宋"/>
          <w:sz w:val="32"/>
          <w:szCs w:val="32"/>
          <w:highlight w:val="none"/>
        </w:rPr>
        <w:t xml:space="preserve">注: </w:t>
      </w:r>
    </w:p>
    <w:p w14:paraId="375BD720">
      <w:pPr>
        <w:spacing w:line="560" w:lineRule="exact"/>
        <w:ind w:firstLine="640" w:firstLineChars="200"/>
        <w:contextualSpacing/>
        <w:jc w:val="left"/>
        <w:rPr>
          <w:rFonts w:ascii="仿宋" w:hAnsi="仿宋" w:eastAsia="仿宋" w:cs="仿宋"/>
          <w:sz w:val="32"/>
          <w:szCs w:val="32"/>
          <w:highlight w:val="none"/>
        </w:rPr>
      </w:pPr>
      <w:r>
        <w:rPr>
          <w:rFonts w:hint="eastAsia" w:ascii="仿宋" w:hAnsi="仿宋" w:eastAsia="仿宋" w:cs="仿宋"/>
          <w:sz w:val="32"/>
          <w:szCs w:val="32"/>
          <w:highlight w:val="none"/>
        </w:rPr>
        <w:t>1.供应商的报价表必须加盖供应商公章并由法定代表人或者委托代理人签字，</w:t>
      </w:r>
      <w:r>
        <w:rPr>
          <w:rFonts w:hint="eastAsia" w:ascii="仿宋" w:hAnsi="仿宋" w:eastAsia="仿宋" w:cs="仿宋"/>
          <w:b/>
          <w:sz w:val="32"/>
          <w:szCs w:val="32"/>
          <w:highlight w:val="none"/>
        </w:rPr>
        <w:t>否则其响应文件按无效响应处理</w:t>
      </w:r>
      <w:r>
        <w:rPr>
          <w:rFonts w:hint="eastAsia" w:ascii="仿宋" w:hAnsi="仿宋" w:eastAsia="仿宋" w:cs="仿宋"/>
          <w:sz w:val="32"/>
          <w:szCs w:val="32"/>
          <w:highlight w:val="none"/>
        </w:rPr>
        <w:t>。</w:t>
      </w:r>
    </w:p>
    <w:p w14:paraId="1E1E78D9">
      <w:pPr>
        <w:spacing w:line="560" w:lineRule="exact"/>
        <w:ind w:firstLine="640" w:firstLineChars="200"/>
        <w:contextualSpacing/>
        <w:jc w:val="left"/>
        <w:rPr>
          <w:rFonts w:ascii="仿宋" w:hAnsi="仿宋" w:eastAsia="仿宋" w:cs="仿宋"/>
          <w:b/>
          <w:sz w:val="32"/>
          <w:szCs w:val="32"/>
          <w:highlight w:val="none"/>
        </w:rPr>
      </w:pPr>
      <w:r>
        <w:rPr>
          <w:rFonts w:hint="eastAsia" w:ascii="仿宋" w:hAnsi="仿宋" w:eastAsia="仿宋" w:cs="仿宋"/>
          <w:bCs/>
          <w:sz w:val="32"/>
          <w:szCs w:val="32"/>
          <w:highlight w:val="none"/>
        </w:rPr>
        <w:t>2.</w:t>
      </w:r>
      <w:r>
        <w:rPr>
          <w:rFonts w:hint="eastAsia" w:ascii="仿宋" w:hAnsi="仿宋" w:eastAsia="仿宋" w:cs="仿宋"/>
          <w:sz w:val="32"/>
          <w:szCs w:val="32"/>
          <w:highlight w:val="none"/>
        </w:rPr>
        <w:t>报价一经涂改，应在涂改处加盖供应商公章或者由法定代表人或者委托代理人签字或者盖章</w:t>
      </w:r>
      <w:r>
        <w:rPr>
          <w:rFonts w:hint="eastAsia" w:ascii="仿宋" w:hAnsi="仿宋" w:eastAsia="仿宋" w:cs="仿宋"/>
          <w:b/>
          <w:sz w:val="32"/>
          <w:szCs w:val="32"/>
          <w:highlight w:val="none"/>
        </w:rPr>
        <w:t>，否则其响应文件按无效响应处理。</w:t>
      </w:r>
    </w:p>
    <w:p w14:paraId="3EF817E4">
      <w:pPr>
        <w:spacing w:line="560" w:lineRule="exact"/>
        <w:ind w:right="-817" w:rightChars="-389" w:firstLine="3520" w:firstLineChars="1100"/>
        <w:contextualSpacing/>
        <w:rPr>
          <w:rFonts w:ascii="仿宋" w:hAnsi="仿宋" w:eastAsia="仿宋" w:cs="仿宋"/>
          <w:sz w:val="32"/>
          <w:szCs w:val="32"/>
          <w:highlight w:val="none"/>
        </w:rPr>
      </w:pPr>
    </w:p>
    <w:p w14:paraId="5D5FFC53">
      <w:pPr>
        <w:pStyle w:val="5"/>
        <w:overflowPunct w:val="0"/>
        <w:spacing w:line="56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 xml:space="preserve">     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13AC8F6A">
      <w:pPr>
        <w:pStyle w:val="5"/>
        <w:overflowPunct w:val="0"/>
        <w:spacing w:line="560" w:lineRule="exact"/>
        <w:ind w:firstLine="1971" w:firstLineChars="616"/>
        <w:rPr>
          <w:rFonts w:ascii="仿宋" w:hAnsi="仿宋" w:eastAsia="仿宋" w:cs="仿宋"/>
          <w:sz w:val="32"/>
          <w:szCs w:val="32"/>
          <w:highlight w:val="none"/>
        </w:rPr>
      </w:pPr>
      <w:r>
        <w:rPr>
          <w:rFonts w:hint="eastAsia" w:ascii="仿宋" w:hAnsi="仿宋" w:eastAsia="仿宋" w:cs="仿宋"/>
          <w:sz w:val="32"/>
          <w:szCs w:val="32"/>
          <w:highlight w:val="none"/>
        </w:rPr>
        <w:t>法定代表人或其委托代理人：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36E3339D">
      <w:pPr>
        <w:pStyle w:val="5"/>
        <w:overflowPunct w:val="0"/>
        <w:spacing w:line="560" w:lineRule="exact"/>
        <w:ind w:firstLine="4160" w:firstLineChars="1300"/>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58296E23">
      <w:pPr>
        <w:spacing w:line="560" w:lineRule="exact"/>
        <w:ind w:firstLine="643" w:firstLineChars="200"/>
        <w:rPr>
          <w:rFonts w:ascii="仿宋" w:hAnsi="仿宋" w:eastAsia="仿宋" w:cs="仿宋"/>
          <w:snapToGrid w:val="0"/>
          <w:kern w:val="0"/>
          <w:sz w:val="32"/>
          <w:szCs w:val="32"/>
          <w:highlight w:val="none"/>
        </w:rPr>
      </w:pPr>
      <w:r>
        <w:rPr>
          <w:rFonts w:hint="eastAsia" w:ascii="仿宋" w:hAnsi="仿宋" w:eastAsia="仿宋" w:cs="仿宋"/>
          <w:b/>
          <w:sz w:val="32"/>
          <w:szCs w:val="32"/>
          <w:highlight w:val="none"/>
        </w:rPr>
        <w:br w:type="page"/>
      </w:r>
    </w:p>
    <w:p w14:paraId="2302254D">
      <w:pPr>
        <w:snapToGrid w:val="0"/>
        <w:spacing w:line="560" w:lineRule="exact"/>
        <w:jc w:val="center"/>
        <w:outlineLvl w:val="1"/>
        <w:rPr>
          <w:rFonts w:ascii="黑体" w:hAnsi="黑体" w:eastAsia="黑体" w:cs="黑体"/>
          <w:sz w:val="36"/>
          <w:szCs w:val="36"/>
          <w:highlight w:val="none"/>
        </w:rPr>
      </w:pPr>
      <w:bookmarkStart w:id="40" w:name="_Toc15587"/>
      <w:bookmarkStart w:id="41" w:name="_Toc29645"/>
      <w:r>
        <w:rPr>
          <w:rFonts w:hint="eastAsia" w:ascii="黑体" w:hAnsi="黑体" w:eastAsia="黑体" w:cs="黑体"/>
          <w:sz w:val="36"/>
          <w:szCs w:val="36"/>
          <w:highlight w:val="none"/>
        </w:rPr>
        <w:t>四、业绩资料</w:t>
      </w:r>
    </w:p>
    <w:p w14:paraId="47EBAB42">
      <w:pPr>
        <w:snapToGrid w:val="0"/>
        <w:spacing w:before="156" w:beforeLines="50" w:after="50" w:line="560" w:lineRule="exact"/>
        <w:jc w:val="center"/>
        <w:outlineLvl w:val="2"/>
        <w:rPr>
          <w:rFonts w:ascii="黑体" w:hAnsi="黑体" w:eastAsia="黑体" w:cs="黑体"/>
          <w:b/>
          <w:sz w:val="44"/>
          <w:szCs w:val="44"/>
          <w:highlight w:val="none"/>
        </w:rPr>
      </w:pPr>
      <w:r>
        <w:rPr>
          <w:rFonts w:hint="eastAsia" w:ascii="黑体" w:hAnsi="黑体" w:eastAsia="黑体" w:cs="黑体"/>
          <w:b/>
          <w:sz w:val="44"/>
          <w:szCs w:val="44"/>
          <w:highlight w:val="none"/>
        </w:rPr>
        <w:t>（一）近年开展的业绩证明文件</w:t>
      </w:r>
      <w:bookmarkEnd w:id="40"/>
      <w:bookmarkEnd w:id="41"/>
    </w:p>
    <w:p w14:paraId="7EDCD6C5">
      <w:pPr>
        <w:pStyle w:val="15"/>
        <w:snapToGrid w:val="0"/>
        <w:spacing w:line="560" w:lineRule="exact"/>
        <w:ind w:left="482" w:hanging="482"/>
        <w:rPr>
          <w:rFonts w:ascii="宋体" w:hAnsi="宋体"/>
          <w:b/>
          <w:bCs/>
          <w:sz w:val="24"/>
          <w:highlight w:val="none"/>
        </w:rPr>
      </w:pPr>
    </w:p>
    <w:p w14:paraId="7E1F0825">
      <w:pPr>
        <w:spacing w:line="560" w:lineRule="exact"/>
        <w:jc w:val="center"/>
        <w:outlineLvl w:val="3"/>
        <w:rPr>
          <w:rFonts w:ascii="楷体" w:hAnsi="楷体" w:eastAsia="楷体" w:cs="楷体"/>
          <w:b/>
          <w:bCs/>
          <w:sz w:val="32"/>
          <w:szCs w:val="32"/>
          <w:highlight w:val="none"/>
        </w:rPr>
      </w:pPr>
      <w:r>
        <w:rPr>
          <w:rFonts w:hint="eastAsia" w:ascii="楷体" w:hAnsi="楷体" w:eastAsia="楷体" w:cs="楷体"/>
          <w:b/>
          <w:bCs/>
          <w:sz w:val="32"/>
          <w:szCs w:val="32"/>
          <w:highlight w:val="none"/>
        </w:rPr>
        <w:t>近</w:t>
      </w:r>
      <w:r>
        <w:rPr>
          <w:rFonts w:hint="eastAsia" w:ascii="楷体" w:hAnsi="楷体" w:eastAsia="楷体" w:cs="楷体"/>
          <w:b/>
          <w:bCs/>
          <w:sz w:val="32"/>
          <w:szCs w:val="32"/>
          <w:highlight w:val="none"/>
          <w:u w:val="single"/>
        </w:rPr>
        <w:t xml:space="preserve"> 3 </w:t>
      </w:r>
      <w:r>
        <w:rPr>
          <w:rFonts w:hint="eastAsia" w:ascii="楷体" w:hAnsi="楷体" w:eastAsia="楷体" w:cs="楷体"/>
          <w:b/>
          <w:bCs/>
          <w:sz w:val="32"/>
          <w:szCs w:val="32"/>
          <w:highlight w:val="none"/>
        </w:rPr>
        <w:t>年开展的类似项目情况汇总表</w:t>
      </w:r>
    </w:p>
    <w:tbl>
      <w:tblPr>
        <w:tblStyle w:val="19"/>
        <w:tblW w:w="9100" w:type="dxa"/>
        <w:tblInd w:w="15" w:type="dxa"/>
        <w:tblLayout w:type="fixed"/>
        <w:tblCellMar>
          <w:top w:w="0" w:type="dxa"/>
          <w:left w:w="0" w:type="dxa"/>
          <w:bottom w:w="0" w:type="dxa"/>
          <w:right w:w="0" w:type="dxa"/>
        </w:tblCellMar>
      </w:tblPr>
      <w:tblGrid>
        <w:gridCol w:w="1437"/>
        <w:gridCol w:w="1430"/>
        <w:gridCol w:w="2516"/>
        <w:gridCol w:w="2330"/>
        <w:gridCol w:w="1387"/>
      </w:tblGrid>
      <w:tr w14:paraId="02EBD794">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vAlign w:val="center"/>
          </w:tcPr>
          <w:p w14:paraId="25D905AB">
            <w:pPr>
              <w:autoSpaceDE w:val="0"/>
              <w:autoSpaceDN w:val="0"/>
              <w:spacing w:line="560" w:lineRule="exact"/>
              <w:jc w:val="center"/>
              <w:rPr>
                <w:rFonts w:ascii="仿宋" w:hAnsi="仿宋" w:eastAsia="仿宋" w:cs="仿宋"/>
                <w:kern w:val="0"/>
                <w:sz w:val="32"/>
                <w:szCs w:val="32"/>
                <w:highlight w:val="none"/>
              </w:rPr>
            </w:pPr>
            <w:r>
              <w:rPr>
                <w:rFonts w:hint="eastAsia" w:ascii="仿宋" w:hAnsi="仿宋" w:eastAsia="仿宋" w:cs="仿宋"/>
                <w:kern w:val="0"/>
                <w:sz w:val="32"/>
                <w:szCs w:val="32"/>
                <w:highlight w:val="none"/>
              </w:rPr>
              <w:t>项目名称</w:t>
            </w:r>
          </w:p>
        </w:tc>
        <w:tc>
          <w:tcPr>
            <w:tcW w:w="1430" w:type="dxa"/>
            <w:tcBorders>
              <w:top w:val="single" w:color="auto" w:sz="12" w:space="0"/>
              <w:left w:val="single" w:color="auto" w:sz="8" w:space="0"/>
              <w:bottom w:val="single" w:color="auto" w:sz="8" w:space="0"/>
              <w:right w:val="single" w:color="auto" w:sz="8" w:space="0"/>
            </w:tcBorders>
            <w:vAlign w:val="center"/>
          </w:tcPr>
          <w:p w14:paraId="12A9EB81">
            <w:pPr>
              <w:autoSpaceDE w:val="0"/>
              <w:autoSpaceDN w:val="0"/>
              <w:spacing w:line="560" w:lineRule="exact"/>
              <w:jc w:val="center"/>
              <w:rPr>
                <w:rFonts w:ascii="仿宋" w:hAnsi="仿宋" w:eastAsia="仿宋" w:cs="仿宋"/>
                <w:kern w:val="0"/>
                <w:sz w:val="32"/>
                <w:szCs w:val="32"/>
                <w:highlight w:val="none"/>
              </w:rPr>
            </w:pPr>
            <w:r>
              <w:rPr>
                <w:rFonts w:hint="eastAsia" w:ascii="仿宋" w:hAnsi="仿宋" w:eastAsia="仿宋" w:cs="仿宋"/>
                <w:kern w:val="0"/>
                <w:sz w:val="32"/>
                <w:szCs w:val="32"/>
                <w:highlight w:val="none"/>
              </w:rPr>
              <w:t>起讫时间</w:t>
            </w:r>
          </w:p>
        </w:tc>
        <w:tc>
          <w:tcPr>
            <w:tcW w:w="2516" w:type="dxa"/>
            <w:tcBorders>
              <w:top w:val="single" w:color="auto" w:sz="12" w:space="0"/>
              <w:left w:val="single" w:color="auto" w:sz="8" w:space="0"/>
              <w:bottom w:val="single" w:color="auto" w:sz="8" w:space="0"/>
              <w:right w:val="single" w:color="auto" w:sz="8" w:space="0"/>
            </w:tcBorders>
            <w:vAlign w:val="center"/>
          </w:tcPr>
          <w:p w14:paraId="44C88678">
            <w:pPr>
              <w:autoSpaceDE w:val="0"/>
              <w:autoSpaceDN w:val="0"/>
              <w:spacing w:line="560" w:lineRule="exact"/>
              <w:jc w:val="center"/>
              <w:rPr>
                <w:rFonts w:ascii="仿宋" w:hAnsi="仿宋" w:eastAsia="仿宋" w:cs="仿宋"/>
                <w:kern w:val="0"/>
                <w:sz w:val="32"/>
                <w:szCs w:val="32"/>
                <w:highlight w:val="none"/>
              </w:rPr>
            </w:pPr>
            <w:r>
              <w:rPr>
                <w:rFonts w:hint="eastAsia" w:ascii="仿宋" w:hAnsi="仿宋" w:eastAsia="仿宋" w:cs="仿宋"/>
                <w:kern w:val="0"/>
                <w:sz w:val="32"/>
                <w:szCs w:val="32"/>
                <w:highlight w:val="none"/>
              </w:rPr>
              <w:t>发包人</w:t>
            </w:r>
          </w:p>
        </w:tc>
        <w:tc>
          <w:tcPr>
            <w:tcW w:w="2330" w:type="dxa"/>
            <w:tcBorders>
              <w:top w:val="single" w:color="auto" w:sz="12" w:space="0"/>
              <w:left w:val="single" w:color="auto" w:sz="8" w:space="0"/>
              <w:bottom w:val="single" w:color="auto" w:sz="8" w:space="0"/>
              <w:right w:val="single" w:color="auto" w:sz="8" w:space="0"/>
            </w:tcBorders>
            <w:vAlign w:val="center"/>
          </w:tcPr>
          <w:p w14:paraId="7D1E274B">
            <w:pPr>
              <w:autoSpaceDE w:val="0"/>
              <w:autoSpaceDN w:val="0"/>
              <w:spacing w:line="560" w:lineRule="exact"/>
              <w:jc w:val="center"/>
              <w:rPr>
                <w:rFonts w:ascii="仿宋" w:hAnsi="仿宋" w:eastAsia="仿宋" w:cs="仿宋"/>
                <w:kern w:val="0"/>
                <w:sz w:val="32"/>
                <w:szCs w:val="32"/>
                <w:highlight w:val="none"/>
              </w:rPr>
            </w:pPr>
            <w:r>
              <w:rPr>
                <w:rFonts w:hint="eastAsia" w:ascii="仿宋" w:hAnsi="仿宋" w:eastAsia="仿宋" w:cs="仿宋"/>
                <w:kern w:val="0"/>
                <w:sz w:val="32"/>
                <w:szCs w:val="32"/>
                <w:highlight w:val="none"/>
              </w:rPr>
              <w:t>完成情况</w:t>
            </w:r>
          </w:p>
        </w:tc>
        <w:tc>
          <w:tcPr>
            <w:tcW w:w="1387" w:type="dxa"/>
            <w:tcBorders>
              <w:top w:val="single" w:color="auto" w:sz="12" w:space="0"/>
              <w:left w:val="single" w:color="auto" w:sz="8" w:space="0"/>
              <w:bottom w:val="single" w:color="auto" w:sz="8" w:space="0"/>
              <w:right w:val="single" w:color="auto" w:sz="12" w:space="0"/>
            </w:tcBorders>
            <w:vAlign w:val="center"/>
          </w:tcPr>
          <w:p w14:paraId="28AA5736">
            <w:pPr>
              <w:autoSpaceDE w:val="0"/>
              <w:autoSpaceDN w:val="0"/>
              <w:spacing w:line="560" w:lineRule="exact"/>
              <w:jc w:val="center"/>
              <w:rPr>
                <w:rFonts w:ascii="仿宋" w:hAnsi="仿宋" w:eastAsia="仿宋" w:cs="仿宋"/>
                <w:kern w:val="0"/>
                <w:sz w:val="32"/>
                <w:szCs w:val="32"/>
                <w:highlight w:val="none"/>
              </w:rPr>
            </w:pPr>
            <w:r>
              <w:rPr>
                <w:rFonts w:hint="eastAsia" w:ascii="仿宋" w:hAnsi="仿宋" w:eastAsia="仿宋" w:cs="仿宋"/>
                <w:kern w:val="0"/>
                <w:sz w:val="32"/>
                <w:szCs w:val="32"/>
                <w:highlight w:val="none"/>
              </w:rPr>
              <w:t>备注</w:t>
            </w:r>
          </w:p>
        </w:tc>
      </w:tr>
      <w:tr w14:paraId="6080EDC9">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721909B8">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3548D375">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74429B6B">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41CBD94C">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52224D8C">
            <w:pPr>
              <w:autoSpaceDE w:val="0"/>
              <w:autoSpaceDN w:val="0"/>
              <w:spacing w:line="560" w:lineRule="exact"/>
              <w:rPr>
                <w:rFonts w:ascii="仿宋" w:hAnsi="仿宋" w:eastAsia="仿宋" w:cs="仿宋"/>
                <w:kern w:val="0"/>
                <w:sz w:val="32"/>
                <w:szCs w:val="32"/>
                <w:highlight w:val="none"/>
              </w:rPr>
            </w:pPr>
          </w:p>
        </w:tc>
      </w:tr>
      <w:tr w14:paraId="71362BEB">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271BA00B">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069F85B6">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2F79F770">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4201FEDC">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16CF3400">
            <w:pPr>
              <w:autoSpaceDE w:val="0"/>
              <w:autoSpaceDN w:val="0"/>
              <w:spacing w:line="560" w:lineRule="exact"/>
              <w:rPr>
                <w:rFonts w:ascii="仿宋" w:hAnsi="仿宋" w:eastAsia="仿宋" w:cs="仿宋"/>
                <w:kern w:val="0"/>
                <w:sz w:val="32"/>
                <w:szCs w:val="32"/>
                <w:highlight w:val="none"/>
              </w:rPr>
            </w:pPr>
          </w:p>
        </w:tc>
      </w:tr>
      <w:tr w14:paraId="59E87D41">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1547AA02">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32475CE0">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6FE15E61">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0532B2FE">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7278A6FC">
            <w:pPr>
              <w:autoSpaceDE w:val="0"/>
              <w:autoSpaceDN w:val="0"/>
              <w:spacing w:line="560" w:lineRule="exact"/>
              <w:rPr>
                <w:rFonts w:ascii="仿宋" w:hAnsi="仿宋" w:eastAsia="仿宋" w:cs="仿宋"/>
                <w:kern w:val="0"/>
                <w:sz w:val="32"/>
                <w:szCs w:val="32"/>
                <w:highlight w:val="none"/>
              </w:rPr>
            </w:pPr>
          </w:p>
        </w:tc>
      </w:tr>
      <w:tr w14:paraId="018D081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69526DE8">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35B3B1EA">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3550070C">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656A25A9">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1CC67DCB">
            <w:pPr>
              <w:autoSpaceDE w:val="0"/>
              <w:autoSpaceDN w:val="0"/>
              <w:spacing w:line="560" w:lineRule="exact"/>
              <w:rPr>
                <w:rFonts w:ascii="仿宋" w:hAnsi="仿宋" w:eastAsia="仿宋" w:cs="仿宋"/>
                <w:kern w:val="0"/>
                <w:sz w:val="32"/>
                <w:szCs w:val="32"/>
                <w:highlight w:val="none"/>
              </w:rPr>
            </w:pPr>
          </w:p>
        </w:tc>
      </w:tr>
      <w:tr w14:paraId="0805B372">
        <w:tblPrEx>
          <w:tblCellMar>
            <w:top w:w="0" w:type="dxa"/>
            <w:left w:w="0" w:type="dxa"/>
            <w:bottom w:w="0" w:type="dxa"/>
            <w:right w:w="0" w:type="dxa"/>
          </w:tblCellMar>
        </w:tblPrEx>
        <w:trPr>
          <w:trHeight w:val="530" w:hRule="atLeast"/>
        </w:trPr>
        <w:tc>
          <w:tcPr>
            <w:tcW w:w="1437" w:type="dxa"/>
            <w:tcBorders>
              <w:top w:val="single" w:color="auto" w:sz="8" w:space="0"/>
              <w:left w:val="single" w:color="auto" w:sz="12" w:space="0"/>
              <w:bottom w:val="single" w:color="auto" w:sz="8" w:space="0"/>
              <w:right w:val="single" w:color="auto" w:sz="8" w:space="0"/>
            </w:tcBorders>
          </w:tcPr>
          <w:p w14:paraId="6A84A593">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0CCC2AE0">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0D349C3D">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47679DBE">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5A23574E">
            <w:pPr>
              <w:autoSpaceDE w:val="0"/>
              <w:autoSpaceDN w:val="0"/>
              <w:spacing w:line="560" w:lineRule="exact"/>
              <w:rPr>
                <w:rFonts w:ascii="仿宋" w:hAnsi="仿宋" w:eastAsia="仿宋" w:cs="仿宋"/>
                <w:kern w:val="0"/>
                <w:sz w:val="32"/>
                <w:szCs w:val="32"/>
                <w:highlight w:val="none"/>
              </w:rPr>
            </w:pPr>
          </w:p>
        </w:tc>
      </w:tr>
      <w:tr w14:paraId="5531BA0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16935891">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367ED8A6">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1DE6D117">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29D1EF67">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52B03086">
            <w:pPr>
              <w:autoSpaceDE w:val="0"/>
              <w:autoSpaceDN w:val="0"/>
              <w:spacing w:line="560" w:lineRule="exact"/>
              <w:rPr>
                <w:rFonts w:ascii="仿宋" w:hAnsi="仿宋" w:eastAsia="仿宋" w:cs="仿宋"/>
                <w:kern w:val="0"/>
                <w:sz w:val="32"/>
                <w:szCs w:val="32"/>
                <w:highlight w:val="none"/>
              </w:rPr>
            </w:pPr>
          </w:p>
        </w:tc>
      </w:tr>
      <w:tr w14:paraId="40D5D78D">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2E5F9BCD">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8" w:space="0"/>
              <w:right w:val="single" w:color="auto" w:sz="8" w:space="0"/>
            </w:tcBorders>
          </w:tcPr>
          <w:p w14:paraId="7C940981">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8" w:space="0"/>
              <w:right w:val="single" w:color="auto" w:sz="8" w:space="0"/>
            </w:tcBorders>
          </w:tcPr>
          <w:p w14:paraId="116483CE">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8" w:space="0"/>
              <w:right w:val="single" w:color="auto" w:sz="8" w:space="0"/>
            </w:tcBorders>
          </w:tcPr>
          <w:p w14:paraId="3585824C">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8" w:space="0"/>
              <w:right w:val="single" w:color="auto" w:sz="12" w:space="0"/>
            </w:tcBorders>
          </w:tcPr>
          <w:p w14:paraId="6D6F647F">
            <w:pPr>
              <w:autoSpaceDE w:val="0"/>
              <w:autoSpaceDN w:val="0"/>
              <w:spacing w:line="560" w:lineRule="exact"/>
              <w:rPr>
                <w:rFonts w:ascii="仿宋" w:hAnsi="仿宋" w:eastAsia="仿宋" w:cs="仿宋"/>
                <w:kern w:val="0"/>
                <w:sz w:val="32"/>
                <w:szCs w:val="32"/>
                <w:highlight w:val="none"/>
              </w:rPr>
            </w:pPr>
          </w:p>
        </w:tc>
      </w:tr>
      <w:tr w14:paraId="08E16337">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tcPr>
          <w:p w14:paraId="03108113">
            <w:pPr>
              <w:autoSpaceDE w:val="0"/>
              <w:autoSpaceDN w:val="0"/>
              <w:spacing w:line="560" w:lineRule="exact"/>
              <w:rPr>
                <w:rFonts w:ascii="仿宋" w:hAnsi="仿宋" w:eastAsia="仿宋" w:cs="仿宋"/>
                <w:kern w:val="0"/>
                <w:sz w:val="32"/>
                <w:szCs w:val="32"/>
                <w:highlight w:val="none"/>
              </w:rPr>
            </w:pPr>
          </w:p>
        </w:tc>
        <w:tc>
          <w:tcPr>
            <w:tcW w:w="1430" w:type="dxa"/>
            <w:tcBorders>
              <w:top w:val="single" w:color="auto" w:sz="8" w:space="0"/>
              <w:left w:val="single" w:color="auto" w:sz="8" w:space="0"/>
              <w:bottom w:val="single" w:color="auto" w:sz="12" w:space="0"/>
              <w:right w:val="single" w:color="auto" w:sz="8" w:space="0"/>
            </w:tcBorders>
          </w:tcPr>
          <w:p w14:paraId="38EEC5D1">
            <w:pPr>
              <w:autoSpaceDE w:val="0"/>
              <w:autoSpaceDN w:val="0"/>
              <w:spacing w:line="560" w:lineRule="exact"/>
              <w:rPr>
                <w:rFonts w:ascii="仿宋" w:hAnsi="仿宋" w:eastAsia="仿宋" w:cs="仿宋"/>
                <w:kern w:val="0"/>
                <w:sz w:val="32"/>
                <w:szCs w:val="32"/>
                <w:highlight w:val="none"/>
              </w:rPr>
            </w:pPr>
          </w:p>
        </w:tc>
        <w:tc>
          <w:tcPr>
            <w:tcW w:w="2516" w:type="dxa"/>
            <w:tcBorders>
              <w:top w:val="single" w:color="auto" w:sz="8" w:space="0"/>
              <w:left w:val="single" w:color="auto" w:sz="8" w:space="0"/>
              <w:bottom w:val="single" w:color="auto" w:sz="12" w:space="0"/>
              <w:right w:val="single" w:color="auto" w:sz="8" w:space="0"/>
            </w:tcBorders>
          </w:tcPr>
          <w:p w14:paraId="46A3E264">
            <w:pPr>
              <w:autoSpaceDE w:val="0"/>
              <w:autoSpaceDN w:val="0"/>
              <w:spacing w:line="560" w:lineRule="exact"/>
              <w:rPr>
                <w:rFonts w:ascii="仿宋" w:hAnsi="仿宋" w:eastAsia="仿宋" w:cs="仿宋"/>
                <w:kern w:val="0"/>
                <w:sz w:val="32"/>
                <w:szCs w:val="32"/>
                <w:highlight w:val="none"/>
              </w:rPr>
            </w:pPr>
          </w:p>
        </w:tc>
        <w:tc>
          <w:tcPr>
            <w:tcW w:w="2330" w:type="dxa"/>
            <w:tcBorders>
              <w:top w:val="single" w:color="auto" w:sz="8" w:space="0"/>
              <w:left w:val="single" w:color="auto" w:sz="8" w:space="0"/>
              <w:bottom w:val="single" w:color="auto" w:sz="12" w:space="0"/>
              <w:right w:val="single" w:color="auto" w:sz="8" w:space="0"/>
            </w:tcBorders>
          </w:tcPr>
          <w:p w14:paraId="08CC09E9">
            <w:pPr>
              <w:autoSpaceDE w:val="0"/>
              <w:autoSpaceDN w:val="0"/>
              <w:spacing w:line="560" w:lineRule="exact"/>
              <w:rPr>
                <w:rFonts w:ascii="仿宋" w:hAnsi="仿宋" w:eastAsia="仿宋" w:cs="仿宋"/>
                <w:kern w:val="0"/>
                <w:sz w:val="32"/>
                <w:szCs w:val="32"/>
                <w:highlight w:val="none"/>
              </w:rPr>
            </w:pPr>
          </w:p>
        </w:tc>
        <w:tc>
          <w:tcPr>
            <w:tcW w:w="1387" w:type="dxa"/>
            <w:tcBorders>
              <w:top w:val="single" w:color="auto" w:sz="8" w:space="0"/>
              <w:left w:val="single" w:color="auto" w:sz="8" w:space="0"/>
              <w:bottom w:val="single" w:color="auto" w:sz="12" w:space="0"/>
              <w:right w:val="single" w:color="auto" w:sz="12" w:space="0"/>
            </w:tcBorders>
          </w:tcPr>
          <w:p w14:paraId="61D56550">
            <w:pPr>
              <w:autoSpaceDE w:val="0"/>
              <w:autoSpaceDN w:val="0"/>
              <w:spacing w:line="560" w:lineRule="exact"/>
              <w:rPr>
                <w:rFonts w:ascii="仿宋" w:hAnsi="仿宋" w:eastAsia="仿宋" w:cs="仿宋"/>
                <w:kern w:val="0"/>
                <w:sz w:val="32"/>
                <w:szCs w:val="32"/>
                <w:highlight w:val="none"/>
              </w:rPr>
            </w:pPr>
          </w:p>
        </w:tc>
      </w:tr>
    </w:tbl>
    <w:p w14:paraId="7D3F17C0">
      <w:pPr>
        <w:spacing w:line="560" w:lineRule="exact"/>
        <w:ind w:left="420"/>
        <w:rPr>
          <w:rFonts w:ascii="仿宋" w:hAnsi="仿宋" w:eastAsia="仿宋" w:cs="仿宋"/>
          <w:sz w:val="32"/>
          <w:szCs w:val="32"/>
          <w:highlight w:val="none"/>
        </w:rPr>
      </w:pPr>
      <w:r>
        <w:rPr>
          <w:rFonts w:hint="eastAsia" w:ascii="仿宋" w:hAnsi="仿宋" w:eastAsia="仿宋" w:cs="仿宋"/>
          <w:kern w:val="0"/>
          <w:sz w:val="32"/>
          <w:szCs w:val="32"/>
          <w:highlight w:val="none"/>
        </w:rPr>
        <w:t>注：</w:t>
      </w:r>
      <w:r>
        <w:rPr>
          <w:rFonts w:hint="eastAsia" w:ascii="仿宋" w:hAnsi="仿宋" w:eastAsia="仿宋" w:cs="仿宋"/>
          <w:sz w:val="32"/>
          <w:szCs w:val="32"/>
          <w:highlight w:val="none"/>
        </w:rPr>
        <w:t>①供应商应将</w:t>
      </w:r>
      <w:r>
        <w:rPr>
          <w:rFonts w:hint="eastAsia" w:ascii="仿宋" w:hAnsi="仿宋" w:eastAsia="仿宋" w:cs="仿宋"/>
          <w:b/>
          <w:sz w:val="32"/>
          <w:szCs w:val="32"/>
          <w:highlight w:val="none"/>
          <w:u w:val="single"/>
        </w:rPr>
        <w:t xml:space="preserve"> 2022年1月1日</w:t>
      </w:r>
      <w:r>
        <w:rPr>
          <w:rFonts w:hint="eastAsia" w:ascii="仿宋" w:hAnsi="仿宋" w:eastAsia="仿宋" w:cs="仿宋"/>
          <w:sz w:val="32"/>
          <w:szCs w:val="32"/>
          <w:highlight w:val="none"/>
        </w:rPr>
        <w:t>以来签订的类似项目情况填入本表中；</w:t>
      </w:r>
    </w:p>
    <w:p w14:paraId="0B57A3FD">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②本表后须</w:t>
      </w:r>
      <w:r>
        <w:rPr>
          <w:rFonts w:hint="eastAsia" w:ascii="仿宋" w:hAnsi="仿宋" w:eastAsia="仿宋" w:cs="仿宋"/>
          <w:b/>
          <w:sz w:val="32"/>
          <w:szCs w:val="32"/>
          <w:highlight w:val="none"/>
        </w:rPr>
        <w:t>应附合同协议书或委托书</w:t>
      </w:r>
      <w:r>
        <w:rPr>
          <w:rFonts w:hint="eastAsia" w:ascii="仿宋" w:hAnsi="仿宋" w:eastAsia="仿宋" w:cs="仿宋"/>
          <w:sz w:val="32"/>
          <w:szCs w:val="32"/>
          <w:highlight w:val="none"/>
        </w:rPr>
        <w:t>的扫描件、演练图片。</w:t>
      </w:r>
    </w:p>
    <w:p w14:paraId="7CA731ED">
      <w:pPr>
        <w:autoSpaceDE w:val="0"/>
        <w:autoSpaceDN w:val="0"/>
        <w:adjustRightInd w:val="0"/>
        <w:spacing w:line="560" w:lineRule="exact"/>
        <w:jc w:val="left"/>
        <w:rPr>
          <w:rFonts w:ascii="仿宋" w:hAnsi="仿宋" w:eastAsia="仿宋" w:cs="仿宋"/>
          <w:kern w:val="0"/>
          <w:sz w:val="32"/>
          <w:szCs w:val="32"/>
          <w:highlight w:val="none"/>
        </w:rPr>
      </w:pPr>
    </w:p>
    <w:p w14:paraId="5A0B1F48">
      <w:pPr>
        <w:snapToGrid w:val="0"/>
        <w:spacing w:before="50" w:after="50" w:line="560" w:lineRule="exact"/>
        <w:rPr>
          <w:rFonts w:ascii="仿宋" w:hAnsi="仿宋" w:eastAsia="仿宋" w:cs="仿宋"/>
          <w:sz w:val="32"/>
          <w:szCs w:val="32"/>
          <w:highlight w:val="none"/>
        </w:rPr>
      </w:pPr>
    </w:p>
    <w:p w14:paraId="4856F219">
      <w:pPr>
        <w:pStyle w:val="5"/>
        <w:overflowPunct w:val="0"/>
        <w:spacing w:line="56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33EBB100">
      <w:pPr>
        <w:pStyle w:val="5"/>
        <w:overflowPunct w:val="0"/>
        <w:spacing w:line="560" w:lineRule="exact"/>
        <w:ind w:firstLine="1971" w:firstLineChars="616"/>
        <w:rPr>
          <w:rFonts w:ascii="仿宋" w:hAnsi="仿宋" w:eastAsia="仿宋" w:cs="仿宋"/>
          <w:sz w:val="32"/>
          <w:szCs w:val="32"/>
          <w:highlight w:val="none"/>
        </w:rPr>
      </w:pPr>
      <w:r>
        <w:rPr>
          <w:rFonts w:hint="eastAsia" w:ascii="仿宋" w:hAnsi="仿宋" w:eastAsia="仿宋" w:cs="仿宋"/>
          <w:sz w:val="32"/>
          <w:szCs w:val="32"/>
          <w:highlight w:val="none"/>
        </w:rPr>
        <w:t>法定代表人或其委托代理人：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7B61729E">
      <w:pPr>
        <w:pStyle w:val="5"/>
        <w:overflowPunct w:val="0"/>
        <w:spacing w:line="560" w:lineRule="exact"/>
        <w:ind w:firstLine="5331" w:firstLineChars="1666"/>
        <w:rPr>
          <w:sz w:val="24"/>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3AD158BE">
      <w:pPr>
        <w:spacing w:line="560" w:lineRule="exact"/>
        <w:rPr>
          <w:highlight w:val="none"/>
        </w:rPr>
      </w:pPr>
      <w:r>
        <w:rPr>
          <w:rFonts w:hint="eastAsia" w:ascii="宋体" w:hAnsi="宋体"/>
          <w:b/>
          <w:sz w:val="24"/>
          <w:highlight w:val="none"/>
        </w:rPr>
        <w:br w:type="page"/>
      </w:r>
    </w:p>
    <w:p w14:paraId="4637A629">
      <w:pPr>
        <w:snapToGrid w:val="0"/>
        <w:spacing w:line="560" w:lineRule="exact"/>
        <w:jc w:val="center"/>
        <w:outlineLvl w:val="1"/>
        <w:rPr>
          <w:rFonts w:ascii="方正小标宋_GBK" w:hAnsi="方正小标宋_GBK" w:eastAsia="方正小标宋_GBK" w:cs="方正小标宋_GBK"/>
          <w:sz w:val="44"/>
          <w:szCs w:val="44"/>
          <w:highlight w:val="none"/>
        </w:rPr>
      </w:pPr>
      <w:bookmarkStart w:id="42" w:name="_Toc18160"/>
      <w:bookmarkStart w:id="43" w:name="_Toc11791"/>
      <w:r>
        <w:rPr>
          <w:rFonts w:hint="eastAsia" w:ascii="方正小标宋_GBK" w:hAnsi="方正小标宋_GBK" w:eastAsia="方正小标宋_GBK" w:cs="方正小标宋_GBK"/>
          <w:sz w:val="44"/>
          <w:szCs w:val="44"/>
          <w:highlight w:val="none"/>
        </w:rPr>
        <w:t>五、服务方案</w:t>
      </w:r>
      <w:bookmarkEnd w:id="42"/>
      <w:bookmarkEnd w:id="43"/>
      <w:r>
        <w:rPr>
          <w:rFonts w:hint="eastAsia" w:ascii="方正小标宋_GBK" w:hAnsi="方正小标宋_GBK" w:eastAsia="方正小标宋_GBK" w:cs="方正小标宋_GBK"/>
          <w:sz w:val="44"/>
          <w:szCs w:val="44"/>
          <w:highlight w:val="none"/>
        </w:rPr>
        <w:t xml:space="preserve"> </w:t>
      </w:r>
    </w:p>
    <w:p w14:paraId="2425CADF">
      <w:pPr>
        <w:spacing w:line="560" w:lineRule="exact"/>
        <w:ind w:firstLine="640" w:firstLineChars="200"/>
        <w:jc w:val="left"/>
        <w:rPr>
          <w:rFonts w:ascii="仿宋" w:hAnsi="仿宋" w:eastAsia="仿宋" w:cs="仿宋"/>
          <w:bCs/>
          <w:sz w:val="32"/>
          <w:szCs w:val="32"/>
          <w:highlight w:val="none"/>
        </w:rPr>
      </w:pPr>
      <w:r>
        <w:rPr>
          <w:rFonts w:hint="eastAsia" w:ascii="仿宋" w:hAnsi="仿宋" w:eastAsia="仿宋" w:cs="仿宋"/>
          <w:bCs/>
          <w:kern w:val="0"/>
          <w:sz w:val="32"/>
          <w:szCs w:val="32"/>
          <w:highlight w:val="none"/>
        </w:rPr>
        <w:t>服务方案的工作思路需清晰，方案内容需详实，对港口设施保安相关法律法规的理解熟悉透彻，对钦州港域港口设施保安演习背景、目的、场景设置、处置流程等</w:t>
      </w:r>
      <w:r>
        <w:rPr>
          <w:rFonts w:hint="eastAsia" w:ascii="仿宋" w:hAnsi="仿宋" w:eastAsia="仿宋" w:cs="仿宋"/>
          <w:bCs/>
          <w:sz w:val="32"/>
          <w:szCs w:val="32"/>
          <w:highlight w:val="none"/>
        </w:rPr>
        <w:t>设计合理、分析准确到位。具体包含但不限于以下内容：</w:t>
      </w:r>
    </w:p>
    <w:p w14:paraId="46CEB14A">
      <w:pPr>
        <w:numPr>
          <w:ilvl w:val="0"/>
          <w:numId w:val="3"/>
        </w:numPr>
        <w:spacing w:line="560" w:lineRule="exact"/>
        <w:ind w:firstLine="643" w:firstLineChars="200"/>
        <w:jc w:val="left"/>
        <w:rPr>
          <w:rFonts w:ascii="仿宋" w:hAnsi="仿宋" w:eastAsia="仿宋" w:cs="仿宋"/>
          <w:bCs/>
          <w:sz w:val="32"/>
          <w:szCs w:val="32"/>
          <w:highlight w:val="none"/>
        </w:rPr>
      </w:pPr>
      <w:r>
        <w:rPr>
          <w:rFonts w:hint="eastAsia" w:ascii="仿宋" w:hAnsi="仿宋" w:eastAsia="仿宋" w:cs="仿宋"/>
          <w:b/>
          <w:sz w:val="32"/>
          <w:szCs w:val="32"/>
          <w:highlight w:val="none"/>
        </w:rPr>
        <w:t>项目人员配置情况。</w:t>
      </w:r>
      <w:r>
        <w:rPr>
          <w:rFonts w:hint="eastAsia" w:ascii="仿宋" w:hAnsi="仿宋" w:eastAsia="仿宋" w:cs="仿宋"/>
          <w:sz w:val="32"/>
          <w:szCs w:val="32"/>
          <w:highlight w:val="none"/>
        </w:rPr>
        <w:t>拟投入项目团队</w:t>
      </w:r>
      <w:r>
        <w:rPr>
          <w:rFonts w:hint="eastAsia" w:ascii="仿宋" w:hAnsi="仿宋" w:eastAsia="仿宋" w:cs="仿宋"/>
          <w:bCs/>
          <w:sz w:val="32"/>
          <w:szCs w:val="32"/>
          <w:highlight w:val="none"/>
        </w:rPr>
        <w:t>总人数、职称情况、专业（</w:t>
      </w:r>
      <w:r>
        <w:rPr>
          <w:rFonts w:hint="eastAsia" w:ascii="仿宋" w:hAnsi="仿宋" w:eastAsia="仿宋" w:cs="仿宋"/>
          <w:sz w:val="32"/>
          <w:szCs w:val="32"/>
          <w:highlight w:val="none"/>
        </w:rPr>
        <w:t>含</w:t>
      </w:r>
      <w:r>
        <w:rPr>
          <w:rFonts w:hint="eastAsia" w:ascii="仿宋" w:hAnsi="仿宋" w:eastAsia="仿宋" w:cs="仿宋"/>
          <w:kern w:val="2"/>
          <w:sz w:val="32"/>
          <w:szCs w:val="32"/>
          <w:highlight w:val="none"/>
        </w:rPr>
        <w:t>项目经理、脚本</w:t>
      </w:r>
      <w:r>
        <w:rPr>
          <w:rFonts w:ascii="仿宋" w:hAnsi="仿宋" w:eastAsia="仿宋" w:cs="仿宋"/>
          <w:kern w:val="2"/>
          <w:sz w:val="32"/>
          <w:szCs w:val="32"/>
          <w:highlight w:val="none"/>
        </w:rPr>
        <w:t>策划</w:t>
      </w:r>
      <w:r>
        <w:rPr>
          <w:rFonts w:hint="eastAsia" w:ascii="仿宋" w:hAnsi="仿宋" w:eastAsia="仿宋" w:cs="仿宋"/>
          <w:kern w:val="2"/>
          <w:sz w:val="32"/>
          <w:szCs w:val="32"/>
          <w:highlight w:val="none"/>
        </w:rPr>
        <w:t>、导演、摄像、解说员、后期剪辑师、特效师</w:t>
      </w:r>
      <w:r>
        <w:rPr>
          <w:rFonts w:hint="eastAsia" w:ascii="仿宋" w:hAnsi="仿宋" w:eastAsia="仿宋" w:cs="仿宋"/>
          <w:sz w:val="32"/>
          <w:szCs w:val="32"/>
          <w:highlight w:val="none"/>
        </w:rPr>
        <w:t>等</w:t>
      </w:r>
      <w:r>
        <w:rPr>
          <w:rFonts w:hint="eastAsia" w:ascii="仿宋" w:hAnsi="仿宋" w:eastAsia="仿宋" w:cs="仿宋"/>
          <w:bCs/>
          <w:sz w:val="32"/>
          <w:szCs w:val="32"/>
          <w:highlight w:val="none"/>
        </w:rPr>
        <w:t>）可列表格；（20分）</w:t>
      </w:r>
    </w:p>
    <w:p w14:paraId="76D64F5A">
      <w:pPr>
        <w:numPr>
          <w:ilvl w:val="0"/>
          <w:numId w:val="3"/>
        </w:numPr>
        <w:spacing w:line="560" w:lineRule="exact"/>
        <w:ind w:firstLine="643" w:firstLineChars="200"/>
        <w:jc w:val="left"/>
        <w:rPr>
          <w:rFonts w:ascii="仿宋" w:hAnsi="仿宋" w:eastAsia="仿宋" w:cs="仿宋"/>
          <w:bCs/>
          <w:sz w:val="32"/>
          <w:szCs w:val="32"/>
          <w:highlight w:val="none"/>
        </w:rPr>
      </w:pPr>
      <w:r>
        <w:rPr>
          <w:rFonts w:hint="eastAsia" w:ascii="仿宋" w:hAnsi="仿宋" w:eastAsia="仿宋" w:cs="仿宋"/>
          <w:b/>
          <w:sz w:val="32"/>
          <w:szCs w:val="32"/>
          <w:highlight w:val="none"/>
        </w:rPr>
        <w:t>场景设置。</w:t>
      </w:r>
      <w:r>
        <w:rPr>
          <w:rFonts w:hint="eastAsia" w:ascii="仿宋" w:hAnsi="仿宋" w:eastAsia="仿宋" w:cs="仿宋"/>
          <w:bCs/>
          <w:sz w:val="32"/>
          <w:szCs w:val="32"/>
          <w:highlight w:val="none"/>
        </w:rPr>
        <w:t>结合采购需求，简要描述设置场景及主要演习环节；（15分）</w:t>
      </w:r>
    </w:p>
    <w:p w14:paraId="25816369">
      <w:pPr>
        <w:spacing w:line="560" w:lineRule="exact"/>
        <w:ind w:firstLine="640" w:firstLineChars="200"/>
        <w:rPr>
          <w:rFonts w:ascii="仿宋" w:hAnsi="仿宋" w:eastAsia="仿宋" w:cs="仿宋"/>
          <w:bCs/>
          <w:sz w:val="32"/>
          <w:szCs w:val="32"/>
          <w:highlight w:val="none"/>
        </w:rPr>
      </w:pPr>
      <w:r>
        <w:rPr>
          <w:rFonts w:hint="eastAsia" w:ascii="仿宋" w:hAnsi="仿宋" w:eastAsia="仿宋" w:cs="仿宋"/>
          <w:bCs/>
          <w:sz w:val="32"/>
          <w:szCs w:val="32"/>
          <w:highlight w:val="none"/>
        </w:rPr>
        <w:t>三、</w:t>
      </w:r>
      <w:r>
        <w:rPr>
          <w:rFonts w:hint="eastAsia" w:ascii="楷体" w:hAnsi="楷体" w:eastAsia="楷体" w:cs="楷体"/>
          <w:b/>
          <w:sz w:val="32"/>
          <w:szCs w:val="32"/>
          <w:highlight w:val="none"/>
        </w:rPr>
        <w:t>拟投入设备情况</w:t>
      </w:r>
      <w:r>
        <w:rPr>
          <w:rFonts w:hint="eastAsia" w:ascii="仿宋" w:hAnsi="仿宋" w:eastAsia="仿宋" w:cs="仿宋"/>
          <w:bCs/>
          <w:sz w:val="32"/>
          <w:szCs w:val="32"/>
          <w:highlight w:val="none"/>
        </w:rPr>
        <w:t>。</w:t>
      </w:r>
      <w:r>
        <w:rPr>
          <w:rFonts w:hint="eastAsia" w:ascii="仿宋" w:hAnsi="仿宋" w:eastAsia="仿宋" w:cs="仿宋"/>
          <w:sz w:val="32"/>
          <w:szCs w:val="32"/>
          <w:highlight w:val="none"/>
        </w:rPr>
        <w:t>场地搭建、拍摄、现场转播</w:t>
      </w:r>
      <w:r>
        <w:rPr>
          <w:rFonts w:hint="eastAsia" w:ascii="仿宋" w:hAnsi="仿宋" w:eastAsia="仿宋" w:cs="仿宋"/>
          <w:bCs/>
          <w:sz w:val="32"/>
          <w:szCs w:val="32"/>
          <w:highlight w:val="none"/>
        </w:rPr>
        <w:t>等主要设备清单；（10分）</w:t>
      </w:r>
    </w:p>
    <w:p w14:paraId="37EE1DC4">
      <w:pPr>
        <w:spacing w:line="560" w:lineRule="exact"/>
        <w:ind w:firstLine="640" w:firstLineChars="200"/>
        <w:jc w:val="left"/>
        <w:rPr>
          <w:rFonts w:ascii="仿宋" w:hAnsi="仿宋" w:eastAsia="仿宋" w:cs="仿宋"/>
          <w:bCs/>
          <w:sz w:val="32"/>
          <w:szCs w:val="32"/>
          <w:highlight w:val="none"/>
        </w:rPr>
      </w:pPr>
      <w:r>
        <w:rPr>
          <w:rFonts w:hint="eastAsia" w:ascii="仿宋" w:hAnsi="仿宋" w:eastAsia="仿宋" w:cs="仿宋"/>
          <w:bCs/>
          <w:sz w:val="32"/>
          <w:szCs w:val="32"/>
          <w:highlight w:val="none"/>
        </w:rPr>
        <w:t>四、</w:t>
      </w:r>
      <w:r>
        <w:rPr>
          <w:rFonts w:hint="eastAsia" w:ascii="楷体" w:hAnsi="楷体" w:eastAsia="楷体" w:cs="楷体"/>
          <w:b/>
          <w:sz w:val="32"/>
          <w:szCs w:val="32"/>
          <w:highlight w:val="none"/>
        </w:rPr>
        <w:t>售后服务</w:t>
      </w:r>
      <w:r>
        <w:rPr>
          <w:rFonts w:hint="eastAsia" w:ascii="仿宋" w:hAnsi="仿宋" w:eastAsia="仿宋" w:cs="仿宋"/>
          <w:bCs/>
          <w:sz w:val="32"/>
          <w:szCs w:val="32"/>
          <w:highlight w:val="none"/>
        </w:rPr>
        <w:t>。（5分）</w:t>
      </w:r>
    </w:p>
    <w:p w14:paraId="7DBAA7C1">
      <w:pPr>
        <w:pStyle w:val="3"/>
        <w:spacing w:line="560" w:lineRule="exact"/>
        <w:jc w:val="center"/>
        <w:rPr>
          <w:highlight w:val="none"/>
        </w:rPr>
      </w:pPr>
      <w:bookmarkStart w:id="44" w:name="_Toc10947"/>
      <w:bookmarkStart w:id="45" w:name="_Toc5554"/>
    </w:p>
    <w:p w14:paraId="35FC5AB5">
      <w:pPr>
        <w:rPr>
          <w:highlight w:val="none"/>
        </w:rPr>
      </w:pPr>
    </w:p>
    <w:p w14:paraId="199B3A08">
      <w:pPr>
        <w:rPr>
          <w:highlight w:val="none"/>
        </w:rPr>
      </w:pPr>
    </w:p>
    <w:p w14:paraId="05FC94B3">
      <w:pPr>
        <w:rPr>
          <w:highlight w:val="none"/>
        </w:rPr>
      </w:pPr>
    </w:p>
    <w:p w14:paraId="6917B5CC">
      <w:pPr>
        <w:rPr>
          <w:highlight w:val="none"/>
        </w:rPr>
      </w:pPr>
    </w:p>
    <w:p w14:paraId="30AFC6C9">
      <w:pPr>
        <w:rPr>
          <w:highlight w:val="none"/>
        </w:rPr>
      </w:pPr>
    </w:p>
    <w:p w14:paraId="7BEAD1D3">
      <w:pPr>
        <w:rPr>
          <w:highlight w:val="none"/>
        </w:rPr>
      </w:pPr>
    </w:p>
    <w:p w14:paraId="6FE0F6B8">
      <w:pPr>
        <w:rPr>
          <w:highlight w:val="none"/>
        </w:rPr>
      </w:pPr>
    </w:p>
    <w:p w14:paraId="3E2D60DA">
      <w:pPr>
        <w:rPr>
          <w:highlight w:val="none"/>
        </w:rPr>
      </w:pPr>
    </w:p>
    <w:p w14:paraId="290FE564">
      <w:pPr>
        <w:rPr>
          <w:highlight w:val="none"/>
        </w:rPr>
      </w:pPr>
    </w:p>
    <w:p w14:paraId="49E10094">
      <w:pPr>
        <w:rPr>
          <w:highlight w:val="none"/>
        </w:rPr>
      </w:pPr>
    </w:p>
    <w:p w14:paraId="461E620E">
      <w:pPr>
        <w:rPr>
          <w:highlight w:val="none"/>
        </w:rPr>
      </w:pPr>
    </w:p>
    <w:p w14:paraId="1D10E9A8">
      <w:pPr>
        <w:rPr>
          <w:highlight w:val="none"/>
        </w:rPr>
      </w:pPr>
    </w:p>
    <w:p w14:paraId="1B06FED4">
      <w:pPr>
        <w:pStyle w:val="2"/>
        <w:rPr>
          <w:highlight w:val="none"/>
        </w:rPr>
      </w:pPr>
    </w:p>
    <w:p w14:paraId="2E064246">
      <w:pPr>
        <w:rPr>
          <w:highlight w:val="none"/>
        </w:rPr>
      </w:pPr>
    </w:p>
    <w:p w14:paraId="043430D1">
      <w:pPr>
        <w:pStyle w:val="3"/>
        <w:spacing w:line="560" w:lineRule="exact"/>
        <w:jc w:val="center"/>
        <w:rPr>
          <w:highlight w:val="none"/>
        </w:rPr>
      </w:pPr>
      <w:r>
        <w:rPr>
          <w:rFonts w:hint="eastAsia"/>
          <w:highlight w:val="none"/>
        </w:rPr>
        <w:t xml:space="preserve">第六章 </w:t>
      </w:r>
      <w:r>
        <w:rPr>
          <w:rFonts w:ascii="宋体" w:hAnsi="宋体" w:cs="宋体"/>
          <w:highlight w:val="none"/>
        </w:rPr>
        <w:t>合同</w:t>
      </w:r>
      <w:r>
        <w:rPr>
          <w:rFonts w:hint="eastAsia" w:ascii="宋体" w:hAnsi="宋体" w:cs="宋体"/>
          <w:highlight w:val="none"/>
        </w:rPr>
        <w:t>格式</w:t>
      </w:r>
      <w:r>
        <w:rPr>
          <w:rFonts w:ascii="宋体" w:hAnsi="宋体" w:cs="宋体"/>
          <w:highlight w:val="none"/>
        </w:rPr>
        <w:t>及主要条款</w:t>
      </w:r>
      <w:bookmarkEnd w:id="44"/>
      <w:bookmarkEnd w:id="45"/>
    </w:p>
    <w:p w14:paraId="09661997">
      <w:pPr>
        <w:suppressAutoHyphens/>
        <w:spacing w:line="560" w:lineRule="exact"/>
        <w:ind w:firstLine="4480" w:firstLineChars="1600"/>
        <w:rPr>
          <w:rFonts w:hint="eastAsia" w:ascii="仿宋" w:hAnsi="仿宋" w:eastAsia="仿宋"/>
          <w:sz w:val="28"/>
          <w:szCs w:val="22"/>
          <w:highlight w:val="none"/>
        </w:rPr>
      </w:pPr>
    </w:p>
    <w:p w14:paraId="2C8A3265">
      <w:pPr>
        <w:suppressAutoHyphens/>
        <w:spacing w:line="560" w:lineRule="exact"/>
        <w:ind w:firstLine="4480" w:firstLineChars="1600"/>
        <w:rPr>
          <w:rFonts w:hint="eastAsia" w:ascii="仿宋" w:hAnsi="仿宋" w:eastAsia="仿宋"/>
          <w:sz w:val="28"/>
          <w:szCs w:val="22"/>
          <w:highlight w:val="none"/>
        </w:rPr>
      </w:pPr>
    </w:p>
    <w:p w14:paraId="04E9C043">
      <w:pPr>
        <w:suppressAutoHyphens/>
        <w:spacing w:line="560" w:lineRule="exact"/>
        <w:ind w:firstLine="4480" w:firstLineChars="1600"/>
        <w:rPr>
          <w:rFonts w:hint="eastAsia" w:ascii="仿宋" w:hAnsi="仿宋" w:eastAsia="仿宋"/>
          <w:sz w:val="28"/>
          <w:szCs w:val="22"/>
          <w:highlight w:val="none"/>
        </w:rPr>
      </w:pPr>
    </w:p>
    <w:p w14:paraId="7D984F62">
      <w:pPr>
        <w:suppressAutoHyphens/>
        <w:spacing w:line="560" w:lineRule="exact"/>
        <w:ind w:firstLine="4480" w:firstLineChars="1600"/>
        <w:rPr>
          <w:rFonts w:hint="eastAsia" w:ascii="仿宋" w:hAnsi="仿宋" w:eastAsia="仿宋"/>
          <w:sz w:val="28"/>
          <w:szCs w:val="22"/>
          <w:highlight w:val="none"/>
        </w:rPr>
      </w:pPr>
    </w:p>
    <w:p w14:paraId="5987A75B">
      <w:pPr>
        <w:suppressAutoHyphens/>
        <w:spacing w:line="560" w:lineRule="exact"/>
        <w:ind w:firstLine="4480" w:firstLineChars="1600"/>
        <w:rPr>
          <w:rFonts w:hint="eastAsia" w:ascii="仿宋" w:hAnsi="仿宋" w:eastAsia="仿宋"/>
          <w:sz w:val="28"/>
          <w:szCs w:val="22"/>
          <w:highlight w:val="none"/>
        </w:rPr>
      </w:pPr>
    </w:p>
    <w:p w14:paraId="02ED0B9E">
      <w:pPr>
        <w:suppressAutoHyphens/>
        <w:spacing w:line="560" w:lineRule="exact"/>
        <w:ind w:firstLine="4480" w:firstLineChars="1600"/>
        <w:rPr>
          <w:rFonts w:hint="eastAsia" w:ascii="仿宋" w:hAnsi="仿宋" w:eastAsia="仿宋"/>
          <w:sz w:val="28"/>
          <w:szCs w:val="22"/>
          <w:highlight w:val="none"/>
        </w:rPr>
      </w:pPr>
    </w:p>
    <w:p w14:paraId="47104D0D">
      <w:pPr>
        <w:suppressAutoHyphens/>
        <w:spacing w:line="560" w:lineRule="exact"/>
        <w:ind w:firstLine="4480" w:firstLineChars="1600"/>
        <w:rPr>
          <w:rFonts w:hint="eastAsia" w:ascii="仿宋" w:hAnsi="仿宋" w:eastAsia="仿宋"/>
          <w:sz w:val="28"/>
          <w:szCs w:val="22"/>
          <w:highlight w:val="none"/>
        </w:rPr>
      </w:pPr>
    </w:p>
    <w:p w14:paraId="0D43098B">
      <w:pPr>
        <w:suppressAutoHyphens/>
        <w:spacing w:line="560" w:lineRule="exact"/>
        <w:ind w:firstLine="4480" w:firstLineChars="1600"/>
        <w:rPr>
          <w:rFonts w:hint="eastAsia" w:ascii="仿宋" w:hAnsi="仿宋" w:eastAsia="仿宋"/>
          <w:sz w:val="28"/>
          <w:szCs w:val="22"/>
          <w:highlight w:val="none"/>
        </w:rPr>
      </w:pPr>
    </w:p>
    <w:p w14:paraId="4A6D19FD">
      <w:pPr>
        <w:suppressAutoHyphens/>
        <w:spacing w:line="560" w:lineRule="exact"/>
        <w:ind w:firstLine="4480" w:firstLineChars="1600"/>
        <w:rPr>
          <w:rFonts w:hint="eastAsia" w:ascii="仿宋" w:hAnsi="仿宋" w:eastAsia="仿宋"/>
          <w:sz w:val="28"/>
          <w:szCs w:val="22"/>
          <w:highlight w:val="none"/>
        </w:rPr>
      </w:pPr>
    </w:p>
    <w:p w14:paraId="4F6A8A99">
      <w:pPr>
        <w:suppressAutoHyphens/>
        <w:spacing w:line="560" w:lineRule="exact"/>
        <w:ind w:firstLine="4480" w:firstLineChars="1600"/>
        <w:rPr>
          <w:rFonts w:hint="eastAsia" w:ascii="仿宋" w:hAnsi="仿宋" w:eastAsia="仿宋"/>
          <w:sz w:val="28"/>
          <w:szCs w:val="22"/>
          <w:highlight w:val="none"/>
        </w:rPr>
      </w:pPr>
    </w:p>
    <w:p w14:paraId="550790E0">
      <w:pPr>
        <w:suppressAutoHyphens/>
        <w:spacing w:line="560" w:lineRule="exact"/>
        <w:ind w:firstLine="4480" w:firstLineChars="1600"/>
        <w:rPr>
          <w:rFonts w:hint="eastAsia" w:ascii="仿宋" w:hAnsi="仿宋" w:eastAsia="仿宋"/>
          <w:sz w:val="28"/>
          <w:szCs w:val="22"/>
          <w:highlight w:val="none"/>
        </w:rPr>
      </w:pPr>
    </w:p>
    <w:p w14:paraId="5848A9B0">
      <w:pPr>
        <w:suppressAutoHyphens/>
        <w:spacing w:line="560" w:lineRule="exact"/>
        <w:ind w:firstLine="4480" w:firstLineChars="1600"/>
        <w:rPr>
          <w:rFonts w:hint="eastAsia" w:ascii="仿宋" w:hAnsi="仿宋" w:eastAsia="仿宋"/>
          <w:sz w:val="28"/>
          <w:szCs w:val="22"/>
          <w:highlight w:val="none"/>
        </w:rPr>
      </w:pPr>
    </w:p>
    <w:p w14:paraId="36D5BA08">
      <w:pPr>
        <w:suppressAutoHyphens/>
        <w:spacing w:line="560" w:lineRule="exact"/>
        <w:ind w:firstLine="4480" w:firstLineChars="1600"/>
        <w:rPr>
          <w:rFonts w:hint="eastAsia" w:ascii="仿宋" w:hAnsi="仿宋" w:eastAsia="仿宋"/>
          <w:sz w:val="28"/>
          <w:szCs w:val="22"/>
          <w:highlight w:val="none"/>
        </w:rPr>
      </w:pPr>
    </w:p>
    <w:p w14:paraId="4FBE44BA">
      <w:pPr>
        <w:suppressAutoHyphens/>
        <w:spacing w:line="560" w:lineRule="exact"/>
        <w:ind w:firstLine="4480" w:firstLineChars="1600"/>
        <w:rPr>
          <w:rFonts w:hint="eastAsia" w:ascii="仿宋" w:hAnsi="仿宋" w:eastAsia="仿宋"/>
          <w:sz w:val="28"/>
          <w:szCs w:val="22"/>
          <w:highlight w:val="none"/>
        </w:rPr>
      </w:pPr>
    </w:p>
    <w:p w14:paraId="65C1CE5F">
      <w:pPr>
        <w:suppressAutoHyphens/>
        <w:spacing w:line="560" w:lineRule="exact"/>
        <w:ind w:firstLine="4480" w:firstLineChars="1600"/>
        <w:rPr>
          <w:rFonts w:hint="eastAsia" w:ascii="仿宋" w:hAnsi="仿宋" w:eastAsia="仿宋"/>
          <w:sz w:val="28"/>
          <w:szCs w:val="22"/>
          <w:highlight w:val="none"/>
        </w:rPr>
      </w:pPr>
    </w:p>
    <w:p w14:paraId="431E5E7A">
      <w:pPr>
        <w:suppressAutoHyphens/>
        <w:spacing w:line="560" w:lineRule="exact"/>
        <w:ind w:firstLine="4480" w:firstLineChars="1600"/>
        <w:rPr>
          <w:rFonts w:hint="eastAsia" w:ascii="仿宋" w:hAnsi="仿宋" w:eastAsia="仿宋"/>
          <w:sz w:val="28"/>
          <w:szCs w:val="22"/>
          <w:highlight w:val="none"/>
        </w:rPr>
      </w:pPr>
    </w:p>
    <w:p w14:paraId="340068F7">
      <w:pPr>
        <w:suppressAutoHyphens/>
        <w:spacing w:line="560" w:lineRule="exact"/>
        <w:ind w:firstLine="4480" w:firstLineChars="1600"/>
        <w:rPr>
          <w:rFonts w:hint="eastAsia" w:ascii="仿宋" w:hAnsi="仿宋" w:eastAsia="仿宋"/>
          <w:sz w:val="28"/>
          <w:szCs w:val="22"/>
          <w:highlight w:val="none"/>
        </w:rPr>
      </w:pPr>
    </w:p>
    <w:p w14:paraId="2274F252">
      <w:pPr>
        <w:suppressAutoHyphens/>
        <w:spacing w:line="560" w:lineRule="exact"/>
        <w:ind w:firstLine="4480" w:firstLineChars="1600"/>
        <w:rPr>
          <w:rFonts w:hint="eastAsia" w:ascii="仿宋" w:hAnsi="仿宋" w:eastAsia="仿宋"/>
          <w:sz w:val="28"/>
          <w:szCs w:val="22"/>
          <w:highlight w:val="none"/>
        </w:rPr>
      </w:pPr>
    </w:p>
    <w:p w14:paraId="09A5DF58">
      <w:pPr>
        <w:suppressAutoHyphens/>
        <w:spacing w:line="560" w:lineRule="exact"/>
        <w:ind w:firstLine="4480" w:firstLineChars="1600"/>
        <w:rPr>
          <w:rFonts w:hint="eastAsia" w:ascii="仿宋" w:hAnsi="仿宋" w:eastAsia="仿宋"/>
          <w:sz w:val="28"/>
          <w:szCs w:val="22"/>
          <w:highlight w:val="none"/>
        </w:rPr>
      </w:pPr>
    </w:p>
    <w:p w14:paraId="5BCBFDB4">
      <w:pPr>
        <w:suppressAutoHyphens/>
        <w:spacing w:line="560" w:lineRule="exact"/>
        <w:ind w:firstLine="4480" w:firstLineChars="1600"/>
        <w:rPr>
          <w:rFonts w:hint="eastAsia" w:ascii="仿宋" w:hAnsi="仿宋" w:eastAsia="仿宋"/>
          <w:sz w:val="28"/>
          <w:szCs w:val="22"/>
          <w:highlight w:val="none"/>
        </w:rPr>
      </w:pPr>
    </w:p>
    <w:p w14:paraId="1529878A">
      <w:pPr>
        <w:suppressAutoHyphens/>
        <w:spacing w:line="560" w:lineRule="exact"/>
        <w:ind w:firstLine="4480" w:firstLineChars="1600"/>
        <w:rPr>
          <w:rFonts w:hint="eastAsia" w:ascii="仿宋" w:hAnsi="仿宋" w:eastAsia="仿宋"/>
          <w:sz w:val="28"/>
          <w:szCs w:val="22"/>
          <w:highlight w:val="none"/>
        </w:rPr>
      </w:pPr>
    </w:p>
    <w:p w14:paraId="05D1DDA9">
      <w:pPr>
        <w:suppressAutoHyphens/>
        <w:spacing w:line="560" w:lineRule="exact"/>
        <w:ind w:firstLine="4480" w:firstLineChars="1600"/>
        <w:rPr>
          <w:rFonts w:ascii="仿宋" w:hAnsi="仿宋" w:eastAsia="仿宋"/>
          <w:sz w:val="28"/>
          <w:szCs w:val="22"/>
          <w:highlight w:val="none"/>
        </w:rPr>
      </w:pPr>
      <w:r>
        <w:rPr>
          <w:rFonts w:hint="eastAsia" w:ascii="仿宋" w:hAnsi="仿宋" w:eastAsia="仿宋"/>
          <w:sz w:val="28"/>
          <w:szCs w:val="22"/>
          <w:highlight w:val="none"/>
        </w:rPr>
        <w:t>甲方合同编号：</w:t>
      </w:r>
    </w:p>
    <w:p w14:paraId="0433C8DE">
      <w:pPr>
        <w:suppressAutoHyphens/>
        <w:spacing w:line="560" w:lineRule="exact"/>
        <w:ind w:firstLine="4480" w:firstLineChars="1600"/>
        <w:rPr>
          <w:rFonts w:ascii="仿宋" w:hAnsi="仿宋" w:eastAsia="仿宋"/>
          <w:sz w:val="28"/>
          <w:szCs w:val="22"/>
          <w:highlight w:val="none"/>
        </w:rPr>
      </w:pPr>
      <w:r>
        <w:rPr>
          <w:rFonts w:hint="eastAsia" w:ascii="仿宋" w:hAnsi="仿宋" w:eastAsia="仿宋"/>
          <w:sz w:val="28"/>
          <w:szCs w:val="22"/>
          <w:highlight w:val="none"/>
        </w:rPr>
        <w:t xml:space="preserve">乙方合同编号： </w:t>
      </w:r>
    </w:p>
    <w:p w14:paraId="69466E1C">
      <w:pPr>
        <w:spacing w:line="560" w:lineRule="exact"/>
        <w:ind w:firstLine="5320" w:firstLineChars="1900"/>
        <w:rPr>
          <w:rFonts w:ascii="仿宋" w:hAnsi="仿宋" w:eastAsia="仿宋"/>
          <w:sz w:val="28"/>
          <w:highlight w:val="none"/>
        </w:rPr>
      </w:pPr>
    </w:p>
    <w:p w14:paraId="6FCA515A">
      <w:pPr>
        <w:spacing w:line="560" w:lineRule="exact"/>
        <w:rPr>
          <w:rFonts w:ascii="黑体" w:hAnsi="仿宋" w:eastAsia="黑体"/>
          <w:sz w:val="44"/>
          <w:szCs w:val="44"/>
          <w:highlight w:val="none"/>
        </w:rPr>
      </w:pPr>
    </w:p>
    <w:p w14:paraId="6D512FAA">
      <w:pPr>
        <w:spacing w:line="560" w:lineRule="exact"/>
        <w:ind w:left="567"/>
        <w:rPr>
          <w:rFonts w:ascii="黑体" w:hAnsi="仿宋" w:eastAsia="黑体"/>
          <w:sz w:val="44"/>
          <w:szCs w:val="44"/>
          <w:highlight w:val="none"/>
        </w:rPr>
      </w:pPr>
      <w:r>
        <w:rPr>
          <w:rFonts w:hint="eastAsia" w:ascii="黑体" w:hAnsi="仿宋" w:eastAsia="黑体"/>
          <w:sz w:val="44"/>
          <w:szCs w:val="44"/>
          <w:highlight w:val="none"/>
        </w:rPr>
        <w:t xml:space="preserve">    </w:t>
      </w:r>
    </w:p>
    <w:p w14:paraId="260BED61">
      <w:pPr>
        <w:spacing w:line="560" w:lineRule="exact"/>
        <w:jc w:val="center"/>
        <w:rPr>
          <w:rFonts w:ascii="宋体" w:hAnsi="宋体"/>
          <w:b/>
          <w:sz w:val="44"/>
          <w:szCs w:val="44"/>
          <w:highlight w:val="none"/>
          <w:u w:val="single"/>
        </w:rPr>
      </w:pPr>
      <w:r>
        <w:rPr>
          <w:rFonts w:hint="eastAsia" w:ascii="宋体" w:hAnsi="宋体"/>
          <w:b/>
          <w:sz w:val="44"/>
          <w:szCs w:val="44"/>
          <w:highlight w:val="none"/>
        </w:rPr>
        <w:t xml:space="preserve"> 服务合同</w:t>
      </w:r>
    </w:p>
    <w:p w14:paraId="6F3418FF">
      <w:pPr>
        <w:spacing w:line="560" w:lineRule="exact"/>
        <w:ind w:left="567"/>
        <w:rPr>
          <w:rFonts w:ascii="仿宋" w:hAnsi="仿宋" w:eastAsia="仿宋"/>
          <w:sz w:val="28"/>
          <w:highlight w:val="none"/>
        </w:rPr>
      </w:pPr>
    </w:p>
    <w:p w14:paraId="5E68387D">
      <w:pPr>
        <w:spacing w:line="560" w:lineRule="exact"/>
        <w:ind w:left="567"/>
        <w:rPr>
          <w:rFonts w:ascii="仿宋" w:hAnsi="仿宋" w:eastAsia="仿宋"/>
          <w:sz w:val="28"/>
          <w:highlight w:val="none"/>
        </w:rPr>
      </w:pPr>
    </w:p>
    <w:p w14:paraId="4504A6B6">
      <w:pPr>
        <w:spacing w:line="560" w:lineRule="exact"/>
        <w:ind w:left="567"/>
        <w:rPr>
          <w:rFonts w:ascii="仿宋" w:hAnsi="仿宋" w:eastAsia="仿宋"/>
          <w:sz w:val="28"/>
          <w:highlight w:val="none"/>
        </w:rPr>
      </w:pPr>
    </w:p>
    <w:p w14:paraId="477B7033">
      <w:pPr>
        <w:spacing w:line="560" w:lineRule="exact"/>
        <w:ind w:left="567"/>
        <w:rPr>
          <w:rFonts w:ascii="仿宋" w:hAnsi="仿宋" w:eastAsia="仿宋"/>
          <w:sz w:val="28"/>
          <w:highlight w:val="none"/>
        </w:rPr>
      </w:pPr>
    </w:p>
    <w:p w14:paraId="5DD2EE44">
      <w:pPr>
        <w:spacing w:line="560" w:lineRule="exact"/>
        <w:ind w:left="567"/>
        <w:rPr>
          <w:rFonts w:ascii="仿宋" w:hAnsi="仿宋" w:eastAsia="仿宋"/>
          <w:sz w:val="28"/>
          <w:highlight w:val="none"/>
        </w:rPr>
      </w:pPr>
    </w:p>
    <w:p w14:paraId="13FC1BF9">
      <w:pPr>
        <w:spacing w:line="560" w:lineRule="exact"/>
        <w:ind w:left="567"/>
        <w:rPr>
          <w:rFonts w:ascii="仿宋" w:hAnsi="仿宋" w:eastAsia="仿宋"/>
          <w:sz w:val="28"/>
          <w:highlight w:val="none"/>
        </w:rPr>
      </w:pPr>
    </w:p>
    <w:p w14:paraId="115BEF84">
      <w:pPr>
        <w:spacing w:line="560" w:lineRule="exact"/>
        <w:ind w:left="567"/>
        <w:rPr>
          <w:rFonts w:ascii="仿宋" w:hAnsi="仿宋" w:eastAsia="仿宋"/>
          <w:sz w:val="28"/>
          <w:highlight w:val="none"/>
        </w:rPr>
      </w:pPr>
    </w:p>
    <w:p w14:paraId="43CA7B6B">
      <w:pPr>
        <w:spacing w:line="560" w:lineRule="exact"/>
        <w:ind w:left="567"/>
        <w:rPr>
          <w:rFonts w:ascii="仿宋" w:hAnsi="仿宋" w:eastAsia="仿宋"/>
          <w:sz w:val="28"/>
          <w:highlight w:val="none"/>
        </w:rPr>
      </w:pPr>
    </w:p>
    <w:p w14:paraId="4B93D6E4">
      <w:pPr>
        <w:spacing w:line="560" w:lineRule="exact"/>
        <w:ind w:left="567"/>
        <w:rPr>
          <w:rFonts w:ascii="仿宋" w:hAnsi="仿宋" w:eastAsia="仿宋"/>
          <w:sz w:val="28"/>
          <w:highlight w:val="none"/>
        </w:rPr>
      </w:pPr>
    </w:p>
    <w:p w14:paraId="4B3E85DC">
      <w:pPr>
        <w:spacing w:line="560" w:lineRule="exact"/>
        <w:rPr>
          <w:rFonts w:ascii="仿宋" w:hAnsi="仿宋" w:eastAsia="仿宋"/>
          <w:sz w:val="28"/>
          <w:highlight w:val="none"/>
        </w:rPr>
      </w:pPr>
    </w:p>
    <w:p w14:paraId="2ADEDF6D">
      <w:pPr>
        <w:spacing w:line="560" w:lineRule="exact"/>
        <w:rPr>
          <w:rFonts w:ascii="仿宋" w:hAnsi="仿宋" w:eastAsia="仿宋"/>
          <w:sz w:val="28"/>
          <w:highlight w:val="none"/>
        </w:rPr>
      </w:pPr>
    </w:p>
    <w:p w14:paraId="29421E6C">
      <w:pPr>
        <w:spacing w:line="560" w:lineRule="exact"/>
        <w:rPr>
          <w:rFonts w:ascii="仿宋" w:hAnsi="仿宋" w:eastAsia="仿宋" w:cs="仿宋"/>
          <w:sz w:val="32"/>
          <w:szCs w:val="32"/>
          <w:highlight w:val="none"/>
        </w:rPr>
      </w:pPr>
    </w:p>
    <w:p w14:paraId="6742ED71">
      <w:pPr>
        <w:spacing w:line="560" w:lineRule="exact"/>
        <w:ind w:firstLine="321" w:firstLineChars="100"/>
        <w:rPr>
          <w:rFonts w:ascii="仿宋" w:hAnsi="仿宋" w:eastAsia="仿宋" w:cs="仿宋"/>
          <w:sz w:val="32"/>
          <w:szCs w:val="32"/>
          <w:highlight w:val="none"/>
          <w:u w:val="single"/>
        </w:rPr>
      </w:pPr>
      <w:r>
        <w:rPr>
          <w:rFonts w:hint="eastAsia" w:ascii="仿宋" w:hAnsi="仿宋" w:eastAsia="仿宋" w:cs="仿宋"/>
          <w:b/>
          <w:sz w:val="32"/>
          <w:szCs w:val="32"/>
          <w:highlight w:val="none"/>
        </w:rPr>
        <w:t xml:space="preserve">  </w:t>
      </w:r>
      <w:r>
        <w:rPr>
          <w:rFonts w:hint="eastAsia" w:ascii="仿宋" w:hAnsi="仿宋" w:eastAsia="仿宋" w:cs="仿宋"/>
          <w:sz w:val="32"/>
          <w:szCs w:val="32"/>
          <w:highlight w:val="none"/>
        </w:rPr>
        <w:t>甲方：</w:t>
      </w:r>
      <w:r>
        <w:rPr>
          <w:rFonts w:hint="eastAsia" w:ascii="仿宋" w:hAnsi="仿宋" w:eastAsia="仿宋" w:cs="仿宋"/>
          <w:sz w:val="32"/>
          <w:szCs w:val="32"/>
          <w:highlight w:val="none"/>
          <w:u w:val="single"/>
        </w:rPr>
        <w:t>广西壮族自治区北部湾港口管理局钦州分局</w:t>
      </w:r>
    </w:p>
    <w:p w14:paraId="6736E0B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乙方：</w:t>
      </w:r>
      <w:r>
        <w:rPr>
          <w:rFonts w:hint="eastAsia" w:ascii="仿宋" w:hAnsi="仿宋" w:eastAsia="仿宋" w:cs="仿宋"/>
          <w:sz w:val="32"/>
          <w:szCs w:val="32"/>
          <w:highlight w:val="none"/>
          <w:u w:val="single"/>
        </w:rPr>
        <w:t xml:space="preserve">                                      </w:t>
      </w:r>
    </w:p>
    <w:p w14:paraId="7F8527F0">
      <w:pPr>
        <w:spacing w:line="560" w:lineRule="exact"/>
        <w:jc w:val="center"/>
        <w:rPr>
          <w:rFonts w:ascii="仿宋" w:hAnsi="仿宋" w:eastAsia="仿宋"/>
          <w:sz w:val="44"/>
          <w:szCs w:val="44"/>
          <w:highlight w:val="none"/>
        </w:rPr>
      </w:pPr>
      <w:r>
        <w:rPr>
          <w:rFonts w:hint="eastAsia" w:ascii="仿宋" w:hAnsi="仿宋" w:eastAsia="仿宋"/>
          <w:sz w:val="44"/>
          <w:szCs w:val="44"/>
          <w:highlight w:val="none"/>
        </w:rPr>
        <w:t xml:space="preserve">      </w:t>
      </w:r>
    </w:p>
    <w:p w14:paraId="3AF724C9">
      <w:pPr>
        <w:spacing w:line="560" w:lineRule="exact"/>
        <w:jc w:val="center"/>
        <w:rPr>
          <w:rFonts w:ascii="仿宋" w:hAnsi="仿宋" w:eastAsia="仿宋"/>
          <w:sz w:val="44"/>
          <w:szCs w:val="44"/>
          <w:highlight w:val="none"/>
        </w:rPr>
      </w:pPr>
    </w:p>
    <w:p w14:paraId="2D19384C">
      <w:pPr>
        <w:pStyle w:val="2"/>
        <w:spacing w:line="560" w:lineRule="exact"/>
        <w:rPr>
          <w:highlight w:val="none"/>
        </w:rPr>
      </w:pPr>
    </w:p>
    <w:p w14:paraId="17B610C7">
      <w:pPr>
        <w:spacing w:before="156" w:beforeLines="50" w:line="560" w:lineRule="exact"/>
        <w:jc w:val="center"/>
        <w:rPr>
          <w:rFonts w:ascii="方正小标宋_GBK" w:hAnsi="方正小标宋_GBK" w:eastAsia="方正小标宋_GBK" w:cs="方正小标宋_GBK"/>
          <w:b/>
          <w:color w:val="000000"/>
          <w:kern w:val="0"/>
          <w:sz w:val="44"/>
          <w:szCs w:val="44"/>
          <w:highlight w:val="none"/>
        </w:rPr>
      </w:pPr>
      <w:r>
        <w:rPr>
          <w:rFonts w:hint="eastAsia" w:ascii="方正小标宋_GBK" w:hAnsi="方正小标宋_GBK" w:eastAsia="方正小标宋_GBK" w:cs="方正小标宋_GBK"/>
          <w:b/>
          <w:color w:val="000000"/>
          <w:kern w:val="0"/>
          <w:sz w:val="44"/>
          <w:szCs w:val="44"/>
          <w:highlight w:val="none"/>
        </w:rPr>
        <w:t>2025年北部湾港钦州港域港口设施保安演习</w:t>
      </w:r>
    </w:p>
    <w:p w14:paraId="03277992">
      <w:pPr>
        <w:spacing w:before="156" w:beforeLines="50" w:line="560" w:lineRule="exact"/>
        <w:jc w:val="center"/>
        <w:rPr>
          <w:rFonts w:ascii="方正小标宋_GBK" w:hAnsi="方正小标宋_GBK" w:eastAsia="方正小标宋_GBK" w:cs="方正小标宋_GBK"/>
          <w:b/>
          <w:kern w:val="0"/>
          <w:sz w:val="44"/>
          <w:szCs w:val="44"/>
          <w:highlight w:val="none"/>
        </w:rPr>
      </w:pPr>
      <w:r>
        <w:rPr>
          <w:rFonts w:hint="eastAsia" w:ascii="方正小标宋_GBK" w:hAnsi="方正小标宋_GBK" w:eastAsia="方正小标宋_GBK" w:cs="方正小标宋_GBK"/>
          <w:b/>
          <w:kern w:val="0"/>
          <w:sz w:val="44"/>
          <w:szCs w:val="44"/>
          <w:highlight w:val="none"/>
        </w:rPr>
        <w:t>委托业务服务合同</w:t>
      </w:r>
    </w:p>
    <w:p w14:paraId="5EFAA55E">
      <w:pPr>
        <w:spacing w:line="560" w:lineRule="exact"/>
        <w:jc w:val="center"/>
        <w:rPr>
          <w:rFonts w:ascii="仿宋" w:hAnsi="仿宋" w:eastAsia="仿宋" w:cs="仿宋"/>
          <w:sz w:val="32"/>
          <w:szCs w:val="32"/>
          <w:highlight w:val="none"/>
        </w:rPr>
      </w:pPr>
    </w:p>
    <w:p w14:paraId="6F3B4113">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甲方：广西壮族自治区北部湾港口管理局钦州分局</w:t>
      </w:r>
    </w:p>
    <w:p w14:paraId="767ABB6E">
      <w:pPr>
        <w:spacing w:line="560" w:lineRule="exact"/>
        <w:rPr>
          <w:rFonts w:ascii="仿宋" w:hAnsi="仿宋" w:eastAsia="仿宋" w:cs="仿宋"/>
          <w:sz w:val="32"/>
          <w:szCs w:val="32"/>
          <w:highlight w:val="none"/>
        </w:rPr>
      </w:pPr>
      <w:r>
        <w:rPr>
          <w:rFonts w:hint="eastAsia" w:ascii="仿宋" w:hAnsi="仿宋" w:eastAsia="仿宋" w:cs="仿宋"/>
          <w:sz w:val="32"/>
          <w:szCs w:val="32"/>
          <w:highlight w:val="none"/>
        </w:rPr>
        <w:t>乙方：</w:t>
      </w:r>
    </w:p>
    <w:p w14:paraId="176E1185">
      <w:pPr>
        <w:spacing w:line="560" w:lineRule="exact"/>
        <w:rPr>
          <w:rFonts w:ascii="仿宋" w:hAnsi="仿宋" w:eastAsia="仿宋" w:cs="仿宋"/>
          <w:sz w:val="32"/>
          <w:szCs w:val="32"/>
          <w:highlight w:val="none"/>
        </w:rPr>
      </w:pPr>
    </w:p>
    <w:p w14:paraId="3172FBF5">
      <w:pPr>
        <w:spacing w:line="560" w:lineRule="exact"/>
        <w:ind w:firstLine="640" w:firstLineChars="200"/>
        <w:jc w:val="left"/>
        <w:rPr>
          <w:rFonts w:ascii="仿宋" w:hAnsi="仿宋" w:eastAsia="仿宋" w:cs="仿宋"/>
          <w:bCs/>
          <w:sz w:val="32"/>
          <w:szCs w:val="32"/>
          <w:highlight w:val="none"/>
        </w:rPr>
      </w:pPr>
      <w:r>
        <w:rPr>
          <w:rFonts w:hint="eastAsia" w:ascii="仿宋" w:hAnsi="仿宋" w:eastAsia="仿宋" w:cs="仿宋"/>
          <w:sz w:val="32"/>
          <w:szCs w:val="32"/>
          <w:highlight w:val="none"/>
        </w:rPr>
        <w:t>根据《中华人民共和国民法典》及相关法律法规的规定，双方本着自愿、平等、公平、诚实信用的原则，就</w:t>
      </w:r>
      <w:r>
        <w:rPr>
          <w:rFonts w:hint="eastAsia" w:ascii="仿宋" w:hAnsi="仿宋" w:eastAsia="仿宋" w:cs="仿宋"/>
          <w:bCs/>
          <w:color w:val="000000"/>
          <w:kern w:val="0"/>
          <w:sz w:val="32"/>
          <w:szCs w:val="32"/>
          <w:highlight w:val="none"/>
          <w:u w:val="single"/>
        </w:rPr>
        <w:t>2025年北部湾港钦州港域港口设施保安演习</w:t>
      </w:r>
      <w:r>
        <w:rPr>
          <w:rFonts w:hint="eastAsia" w:ascii="仿宋" w:hAnsi="仿宋" w:eastAsia="仿宋" w:cs="仿宋"/>
          <w:kern w:val="0"/>
          <w:sz w:val="32"/>
          <w:szCs w:val="32"/>
          <w:highlight w:val="none"/>
          <w:u w:val="single"/>
        </w:rPr>
        <w:t>项目服务</w:t>
      </w:r>
      <w:r>
        <w:rPr>
          <w:rFonts w:hint="eastAsia" w:ascii="仿宋" w:hAnsi="仿宋" w:eastAsia="仿宋" w:cs="仿宋"/>
          <w:sz w:val="32"/>
          <w:szCs w:val="32"/>
          <w:highlight w:val="none"/>
          <w:u w:val="single"/>
        </w:rPr>
        <w:t>　</w:t>
      </w:r>
      <w:r>
        <w:rPr>
          <w:rFonts w:hint="eastAsia" w:ascii="仿宋" w:hAnsi="仿宋" w:eastAsia="仿宋" w:cs="仿宋"/>
          <w:sz w:val="32"/>
          <w:szCs w:val="32"/>
          <w:highlight w:val="none"/>
        </w:rPr>
        <w:t>事宜协商一致，订立本合同。</w:t>
      </w:r>
    </w:p>
    <w:p w14:paraId="7E74E6B4">
      <w:pPr>
        <w:spacing w:line="560" w:lineRule="exact"/>
        <w:ind w:left="562"/>
        <w:outlineLvl w:val="0"/>
        <w:rPr>
          <w:rFonts w:ascii="黑体" w:hAnsi="黑体" w:eastAsia="黑体" w:cs="黑体"/>
          <w:b/>
          <w:sz w:val="32"/>
          <w:szCs w:val="32"/>
          <w:highlight w:val="none"/>
        </w:rPr>
      </w:pPr>
      <w:r>
        <w:rPr>
          <w:rFonts w:hint="eastAsia" w:ascii="黑体" w:hAnsi="黑体" w:eastAsia="黑体" w:cs="黑体"/>
          <w:b/>
          <w:sz w:val="32"/>
          <w:szCs w:val="32"/>
          <w:highlight w:val="none"/>
        </w:rPr>
        <w:t>一、合同内容</w:t>
      </w:r>
    </w:p>
    <w:p w14:paraId="6562F26A">
      <w:pPr>
        <w:spacing w:line="560" w:lineRule="exact"/>
        <w:ind w:firstLine="640" w:firstLineChars="200"/>
        <w:outlineLvl w:val="0"/>
        <w:rPr>
          <w:rFonts w:ascii="仿宋" w:hAnsi="仿宋" w:eastAsia="仿宋" w:cs="仿宋"/>
          <w:sz w:val="32"/>
          <w:szCs w:val="32"/>
          <w:highlight w:val="none"/>
        </w:rPr>
      </w:pPr>
      <w:r>
        <w:rPr>
          <w:rFonts w:hint="eastAsia" w:ascii="仿宋" w:hAnsi="仿宋" w:eastAsia="仿宋" w:cs="仿宋"/>
          <w:sz w:val="32"/>
          <w:szCs w:val="32"/>
          <w:highlight w:val="none"/>
        </w:rPr>
        <w:t>甲方委托乙方承担</w:t>
      </w:r>
      <w:r>
        <w:rPr>
          <w:rFonts w:hint="eastAsia" w:ascii="仿宋" w:hAnsi="仿宋" w:eastAsia="仿宋" w:cs="仿宋"/>
          <w:bCs/>
          <w:color w:val="000000"/>
          <w:kern w:val="0"/>
          <w:sz w:val="32"/>
          <w:szCs w:val="32"/>
          <w:highlight w:val="none"/>
        </w:rPr>
        <w:t>2025年北部湾港钦州港域港口设施保安演习</w:t>
      </w:r>
      <w:r>
        <w:rPr>
          <w:rFonts w:hint="eastAsia" w:ascii="仿宋" w:hAnsi="仿宋" w:eastAsia="仿宋" w:cs="仿宋"/>
          <w:sz w:val="32"/>
          <w:szCs w:val="32"/>
          <w:highlight w:val="none"/>
        </w:rPr>
        <w:t>（以下简称本次演习）的服务，包括但不限于以下主要工作：</w:t>
      </w:r>
      <w:r>
        <w:rPr>
          <w:rFonts w:hint="eastAsia" w:ascii="仿宋" w:hAnsi="仿宋" w:eastAsia="仿宋" w:cs="仿宋"/>
          <w:bCs/>
          <w:sz w:val="32"/>
          <w:szCs w:val="32"/>
          <w:highlight w:val="none"/>
        </w:rPr>
        <w:t>负责演习活动的组织与</w:t>
      </w:r>
      <w:r>
        <w:rPr>
          <w:rFonts w:hint="eastAsia" w:ascii="仿宋" w:hAnsi="仿宋" w:eastAsia="仿宋" w:cs="仿宋"/>
          <w:bCs/>
          <w:color w:val="000000"/>
          <w:kern w:val="0"/>
          <w:sz w:val="32"/>
          <w:szCs w:val="32"/>
          <w:highlight w:val="none"/>
        </w:rPr>
        <w:t>脚本的策划编写</w:t>
      </w:r>
      <w:r>
        <w:rPr>
          <w:rFonts w:hint="eastAsia" w:ascii="楷体" w:hAnsi="楷体" w:eastAsia="楷体" w:cs="楷体"/>
          <w:bCs/>
          <w:color w:val="000000"/>
          <w:kern w:val="0"/>
          <w:sz w:val="32"/>
          <w:szCs w:val="32"/>
          <w:highlight w:val="none"/>
        </w:rPr>
        <w:t>、</w:t>
      </w:r>
      <w:r>
        <w:rPr>
          <w:rFonts w:hint="eastAsia" w:ascii="仿宋" w:hAnsi="仿宋" w:eastAsia="仿宋" w:cs="仿宋"/>
          <w:bCs/>
          <w:sz w:val="32"/>
          <w:szCs w:val="32"/>
          <w:highlight w:val="none"/>
        </w:rPr>
        <w:t>演习场地布置、拍摄制作等全流程服务工作。</w:t>
      </w:r>
    </w:p>
    <w:p w14:paraId="48A9CBA1">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二、合同金额及付款方式</w:t>
      </w:r>
    </w:p>
    <w:p w14:paraId="224C845D">
      <w:pPr>
        <w:spacing w:line="560" w:lineRule="exact"/>
        <w:ind w:firstLine="640" w:firstLineChars="200"/>
        <w:rPr>
          <w:rFonts w:hint="eastAsia" w:ascii="楷体" w:hAnsi="楷体" w:eastAsia="楷体" w:cs="楷体"/>
          <w:color w:val="FF0000"/>
          <w:sz w:val="32"/>
          <w:szCs w:val="32"/>
          <w:highlight w:val="none"/>
        </w:rPr>
      </w:pPr>
      <w:r>
        <w:rPr>
          <w:rFonts w:hint="eastAsia" w:ascii="楷体" w:hAnsi="楷体" w:eastAsia="楷体" w:cs="楷体"/>
          <w:sz w:val="32"/>
          <w:szCs w:val="32"/>
          <w:highlight w:val="none"/>
        </w:rPr>
        <w:t>（一）本合同价款（含税）为</w:t>
      </w:r>
      <w:r>
        <w:rPr>
          <w:rFonts w:hint="eastAsia" w:ascii="楷体" w:hAnsi="楷体" w:eastAsia="楷体" w:cs="楷体"/>
          <w:sz w:val="32"/>
          <w:szCs w:val="32"/>
          <w:highlight w:val="none"/>
          <w:u w:val="single"/>
        </w:rPr>
        <w:t>　</w:t>
      </w:r>
      <w:r>
        <w:rPr>
          <w:rFonts w:hint="eastAsia" w:ascii="楷体" w:hAnsi="楷体" w:eastAsia="楷体" w:cs="楷体"/>
          <w:bCs/>
          <w:sz w:val="32"/>
          <w:szCs w:val="32"/>
          <w:highlight w:val="none"/>
          <w:u w:val="single"/>
        </w:rPr>
        <w:t>￥</w:t>
      </w:r>
      <w:r>
        <w:rPr>
          <w:rFonts w:hint="eastAsia" w:ascii="楷体" w:hAnsi="楷体" w:eastAsia="楷体" w:cs="楷体"/>
          <w:sz w:val="32"/>
          <w:szCs w:val="32"/>
          <w:highlight w:val="none"/>
          <w:u w:val="single"/>
        </w:rPr>
        <w:t xml:space="preserve">     　</w:t>
      </w:r>
      <w:r>
        <w:rPr>
          <w:rFonts w:hint="eastAsia" w:ascii="楷体" w:hAnsi="楷体" w:eastAsia="楷体" w:cs="楷体"/>
          <w:sz w:val="32"/>
          <w:szCs w:val="32"/>
          <w:highlight w:val="none"/>
        </w:rPr>
        <w:t>元（人民币：</w:t>
      </w:r>
      <w:r>
        <w:rPr>
          <w:rFonts w:hint="eastAsia" w:ascii="楷体" w:hAnsi="楷体" w:eastAsia="楷体" w:cs="楷体"/>
          <w:sz w:val="32"/>
          <w:szCs w:val="32"/>
          <w:highlight w:val="none"/>
          <w:u w:val="single"/>
        </w:rPr>
        <w:t>　    元整）</w:t>
      </w:r>
      <w:r>
        <w:rPr>
          <w:rFonts w:hint="eastAsia" w:ascii="楷体" w:hAnsi="楷体" w:eastAsia="楷体" w:cs="楷体"/>
          <w:sz w:val="32"/>
          <w:szCs w:val="32"/>
          <w:highlight w:val="none"/>
        </w:rPr>
        <w:t>。费用明细见合同附件。</w:t>
      </w:r>
    </w:p>
    <w:p w14:paraId="5E0D3474">
      <w:pPr>
        <w:widowControl/>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（二）在本次演习服务完成后，乙方应于30个日历天内提交全部成果材料，其中快剪应于演习次日提供。</w:t>
      </w:r>
    </w:p>
    <w:p w14:paraId="739A7BE0">
      <w:pPr>
        <w:widowControl/>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（三）本合同的支付方式为分期付款：</w:t>
      </w:r>
    </w:p>
    <w:p w14:paraId="602D08A8">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1.乙方在合同签订后1个月内，完成项目脚本策划编制，经甲方审查合格后，支付合同价的30%给乙方；</w:t>
      </w:r>
    </w:p>
    <w:p w14:paraId="37C9FAA5">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2.乙方完成本项目全部服务内容，经甲方在验收合格后，甲方在15个工作日内甲方一次性支付完余款给乙方。</w:t>
      </w:r>
    </w:p>
    <w:p w14:paraId="790FC2E4">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各阶段费用支付前，甲方在7个工作日内组织验收，验收合格后，乙方应提交支付申请、合格发票、成果文件及工作记录，甲方按规定支付相应款项；若验收不合格，且3个工作日内整改后仍未通过验收的，甲方扣减相应比例的款项支付。</w:t>
      </w:r>
    </w:p>
    <w:p w14:paraId="6F3097B0">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（四）本合同采取转账付款方式，乙方账户为：</w:t>
      </w:r>
    </w:p>
    <w:p w14:paraId="2BC3153D">
      <w:pPr>
        <w:spacing w:line="560" w:lineRule="exact"/>
        <w:ind w:firstLine="640" w:firstLineChars="200"/>
        <w:rPr>
          <w:rFonts w:ascii="仿宋" w:hAnsi="仿宋" w:eastAsia="仿宋" w:cs="仿宋"/>
          <w:sz w:val="32"/>
          <w:szCs w:val="32"/>
          <w:highlight w:val="none"/>
          <w:u w:val="thick"/>
        </w:rPr>
      </w:pPr>
      <w:r>
        <w:rPr>
          <w:rFonts w:hint="eastAsia" w:ascii="仿宋" w:hAnsi="仿宋" w:eastAsia="仿宋" w:cs="仿宋"/>
          <w:sz w:val="32"/>
          <w:szCs w:val="32"/>
          <w:highlight w:val="none"/>
        </w:rPr>
        <w:t>帐  号：</w:t>
      </w:r>
      <w:r>
        <w:rPr>
          <w:rFonts w:hint="eastAsia" w:ascii="仿宋" w:hAnsi="仿宋" w:eastAsia="仿宋" w:cs="仿宋"/>
          <w:sz w:val="32"/>
          <w:szCs w:val="32"/>
          <w:highlight w:val="none"/>
          <w:u w:val="thick"/>
        </w:rPr>
        <w:t xml:space="preserve">                              </w:t>
      </w:r>
    </w:p>
    <w:p w14:paraId="28272CF6">
      <w:pPr>
        <w:spacing w:line="560" w:lineRule="exact"/>
        <w:ind w:firstLine="640" w:firstLineChars="200"/>
        <w:rPr>
          <w:rFonts w:ascii="仿宋" w:hAnsi="仿宋" w:eastAsia="仿宋" w:cs="仿宋"/>
          <w:sz w:val="32"/>
          <w:szCs w:val="32"/>
          <w:highlight w:val="none"/>
          <w:u w:val="thick"/>
        </w:rPr>
      </w:pPr>
      <w:r>
        <w:rPr>
          <w:rFonts w:hint="eastAsia" w:ascii="仿宋" w:hAnsi="仿宋" w:eastAsia="仿宋" w:cs="仿宋"/>
          <w:sz w:val="32"/>
          <w:szCs w:val="32"/>
          <w:highlight w:val="none"/>
        </w:rPr>
        <w:t>开户行：</w:t>
      </w:r>
      <w:r>
        <w:rPr>
          <w:rFonts w:hint="eastAsia" w:ascii="仿宋" w:hAnsi="仿宋" w:eastAsia="仿宋" w:cs="仿宋"/>
          <w:sz w:val="32"/>
          <w:szCs w:val="32"/>
          <w:highlight w:val="none"/>
          <w:u w:val="thick"/>
        </w:rPr>
        <w:t xml:space="preserve">                               </w:t>
      </w:r>
    </w:p>
    <w:p w14:paraId="16187662">
      <w:pPr>
        <w:spacing w:line="560" w:lineRule="exact"/>
        <w:ind w:firstLine="640" w:firstLineChars="200"/>
        <w:rPr>
          <w:rFonts w:ascii="仿宋" w:hAnsi="仿宋" w:eastAsia="仿宋" w:cs="仿宋"/>
          <w:sz w:val="32"/>
          <w:szCs w:val="32"/>
          <w:highlight w:val="none"/>
          <w:u w:val="thick"/>
        </w:rPr>
      </w:pPr>
      <w:r>
        <w:rPr>
          <w:rFonts w:hint="eastAsia" w:ascii="仿宋" w:hAnsi="仿宋" w:eastAsia="仿宋" w:cs="仿宋"/>
          <w:sz w:val="32"/>
          <w:szCs w:val="32"/>
          <w:highlight w:val="none"/>
        </w:rPr>
        <w:t>户  名：</w:t>
      </w:r>
      <w:r>
        <w:rPr>
          <w:rFonts w:hint="eastAsia" w:ascii="仿宋" w:hAnsi="仿宋" w:eastAsia="仿宋" w:cs="仿宋"/>
          <w:sz w:val="32"/>
          <w:szCs w:val="32"/>
          <w:highlight w:val="none"/>
          <w:u w:val="thick"/>
        </w:rPr>
        <w:t xml:space="preserve">                                  </w:t>
      </w:r>
    </w:p>
    <w:p w14:paraId="7F10CADD">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三、履约保证金</w:t>
      </w:r>
    </w:p>
    <w:p w14:paraId="42437865">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乙方在签订合同之前，向甲方提交金额为签约合同价的10%的履约保证金。乙方未按约定提交履约保证金的，视为乙方放弃中标资格，甲方有权不予与其签订合同；因此给甲方造成损失的，乙方还应承担相应的赔偿责任。</w:t>
      </w:r>
    </w:p>
    <w:p w14:paraId="316E9B20">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 履约保证金可采用履约银行保函或银行转账的形式。</w:t>
      </w:r>
    </w:p>
    <w:p w14:paraId="7B41EBB2">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（1）若采用银行保函形式，应由国有商业或股份制商业银行出具，并保证其有效。执行本条规定所需的费用由乙方承担。保函的正本由甲方保存。</w:t>
      </w:r>
    </w:p>
    <w:p w14:paraId="2AFBFA09">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（2）若采用银行转账形式，应当从乙方基本账户转出，且全额一次性转入甲方指定账号，并注明“</w:t>
      </w:r>
      <w:r>
        <w:rPr>
          <w:rFonts w:hint="eastAsia" w:ascii="仿宋" w:hAnsi="仿宋" w:eastAsia="仿宋" w:cs="仿宋"/>
          <w:sz w:val="32"/>
          <w:szCs w:val="32"/>
          <w:highlight w:val="none"/>
          <w:lang w:val="en-US" w:eastAsia="zh-CN"/>
        </w:rPr>
        <w:t>2025年北部湾港钦州港域港口设施保安演习</w:t>
      </w:r>
      <w:r>
        <w:rPr>
          <w:rFonts w:hint="eastAsia" w:ascii="仿宋" w:hAnsi="仿宋" w:eastAsia="仿宋" w:cs="仿宋"/>
          <w:sz w:val="32"/>
          <w:szCs w:val="32"/>
          <w:highlight w:val="none"/>
        </w:rPr>
        <w:t>履约保证金”，并且确保在中标通知书发出之日起30日内到账，否则，其履约担保视为无效。</w:t>
      </w:r>
    </w:p>
    <w:p w14:paraId="1FB3F42D">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合同项目顺利执行完毕并验收合格后，履约保证金一次性无息退还。</w:t>
      </w:r>
    </w:p>
    <w:p w14:paraId="55AB3212">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履约保证金指定账户：</w:t>
      </w:r>
    </w:p>
    <w:p w14:paraId="23ACC092">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开户名称： 广西壮族自治区北部湾港港口管理局钦州分局  </w:t>
      </w:r>
    </w:p>
    <w:p w14:paraId="35646753">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开户银行： 中国银行股份有限公司钦州市钦州港支行</w:t>
      </w:r>
    </w:p>
    <w:p w14:paraId="67DC9D29">
      <w:pPr>
        <w:widowControl/>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银行账号： 618468707782</w:t>
      </w:r>
    </w:p>
    <w:p w14:paraId="0B2AEF0D">
      <w:pPr>
        <w:spacing w:line="560" w:lineRule="exact"/>
        <w:ind w:firstLine="643" w:firstLineChars="200"/>
        <w:outlineLvl w:val="0"/>
        <w:rPr>
          <w:rFonts w:ascii="黑体" w:hAnsi="黑体" w:eastAsia="黑体" w:cs="黑体"/>
          <w:sz w:val="32"/>
          <w:szCs w:val="32"/>
          <w:highlight w:val="none"/>
        </w:rPr>
      </w:pPr>
      <w:r>
        <w:rPr>
          <w:rFonts w:hint="eastAsia" w:ascii="黑体" w:hAnsi="黑体" w:eastAsia="黑体" w:cs="黑体"/>
          <w:b/>
          <w:sz w:val="32"/>
          <w:szCs w:val="32"/>
          <w:highlight w:val="none"/>
        </w:rPr>
        <w:t>四、交付标准</w:t>
      </w:r>
    </w:p>
    <w:p w14:paraId="0EE75D4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完成附件中具体要求的内容，经甲方验收合格。</w:t>
      </w:r>
    </w:p>
    <w:p w14:paraId="26388815">
      <w:pPr>
        <w:spacing w:line="560" w:lineRule="exact"/>
        <w:ind w:firstLine="643" w:firstLineChars="200"/>
        <w:outlineLvl w:val="0"/>
        <w:rPr>
          <w:rFonts w:ascii="黑体" w:hAnsi="黑体" w:eastAsia="黑体" w:cs="黑体"/>
          <w:sz w:val="32"/>
          <w:szCs w:val="32"/>
          <w:highlight w:val="none"/>
        </w:rPr>
      </w:pPr>
      <w:r>
        <w:rPr>
          <w:rFonts w:hint="eastAsia" w:ascii="黑体" w:hAnsi="黑体" w:eastAsia="黑体" w:cs="黑体"/>
          <w:b/>
          <w:sz w:val="32"/>
          <w:szCs w:val="32"/>
          <w:highlight w:val="none"/>
        </w:rPr>
        <w:t>五、甲方权利及义务</w:t>
      </w:r>
    </w:p>
    <w:p w14:paraId="4E3652AA">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（一）对乙方的服务过程进行监督，当乙方在服务过程中达不到甲方要求或未与甲方协商造成不良影响或后果的，甲方有权要求乙方对服务内容进行调整及修改工作，因乙方不配合造成严重后果的由乙方承担。</w:t>
      </w:r>
    </w:p>
    <w:p w14:paraId="37F551C3">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（二）如发现乙方在服务过程中有违法违规行为，甲方有权终止本合同的执行。</w:t>
      </w:r>
    </w:p>
    <w:p w14:paraId="18E08E80">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（三）向乙方提供本次演习过程中所需要的信息。</w:t>
      </w:r>
    </w:p>
    <w:p w14:paraId="4606A191">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六、乙方权利及义务</w:t>
      </w:r>
    </w:p>
    <w:p w14:paraId="1F16B705">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（一）在本合同范围内开展工作，提供合格的服务。</w:t>
      </w:r>
    </w:p>
    <w:p w14:paraId="605E7A82">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（二）乙方服务过程中，应遵守各相关方人员管理、安全管理等规章制度要求。</w:t>
      </w:r>
    </w:p>
    <w:p w14:paraId="58F68DB7">
      <w:pPr>
        <w:pStyle w:val="2"/>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color w:val="auto"/>
          <w:sz w:val="32"/>
          <w:szCs w:val="32"/>
          <w:highlight w:val="none"/>
        </w:rPr>
        <w:t>（三）乙方在提供服务过程中，应落实安全责任，采取有效措施，确保人员安全、设备安全等。</w:t>
      </w:r>
    </w:p>
    <w:p w14:paraId="161AC7F0">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七、保密</w:t>
      </w:r>
    </w:p>
    <w:p w14:paraId="398AD01F">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双方应严格执行保密制度，对与本次演习过程有关的文字、图片、通讯录及有关涉密材料负保密义务。未经甲方许可，乙方不向任何第三方提供本次演习相关材料，不得以任何理由和任何方式把本项目相关的保密材料用作其他用途。</w:t>
      </w:r>
    </w:p>
    <w:p w14:paraId="181D5AF3">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八、成果的归属及分享</w:t>
      </w:r>
    </w:p>
    <w:p w14:paraId="14FCBB86">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在履行本合同的过程中涉及的技术资料、过程资料、成果材料归甲方所有。</w:t>
      </w:r>
    </w:p>
    <w:p w14:paraId="2E7EA5AE">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九、违约责任</w:t>
      </w:r>
    </w:p>
    <w:p w14:paraId="59AB2B0C">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有下列情形之一视为违约：</w:t>
      </w:r>
    </w:p>
    <w:p w14:paraId="230D6A63">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（一）由于乙方原因，乙方未能按合同约定完成工作或在提供相关服务过程中出现过失，应当承担相应的违约责任，按责任轻重经双方协商后扣除相应违约金。</w:t>
      </w:r>
    </w:p>
    <w:p w14:paraId="67659DBE">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（二）由于非乙方原因导致项目未能够按计划实施，乙方不承担任何责任。</w:t>
      </w:r>
    </w:p>
    <w:p w14:paraId="5291FDDE">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（三）甲、乙任何一方擅自变更合同，由此而产生的直接损失由责任方承担。</w:t>
      </w:r>
    </w:p>
    <w:p w14:paraId="34238318">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十、合同终止与变更</w:t>
      </w:r>
    </w:p>
    <w:p w14:paraId="412E140E">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甲、乙任何一方确实需要变更或解除合同，必须提前10天通知对方，双方达成一致后方可变更或解除合同。双方按照合同履行完义务，合同自行终止。</w:t>
      </w:r>
    </w:p>
    <w:p w14:paraId="7B64584B">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十一、争议的解决</w:t>
      </w:r>
    </w:p>
    <w:p w14:paraId="557C653A">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双方同意将尽最大努力协调解决双方之间因本合同而发生或与本合同有关的一切争议、分歧或矛盾。协商解决不了，可在甲方所在地法院通过司法途径解决。</w:t>
      </w:r>
    </w:p>
    <w:p w14:paraId="0C5AD4EB">
      <w:pPr>
        <w:spacing w:line="560" w:lineRule="exact"/>
        <w:ind w:firstLine="643" w:firstLineChars="200"/>
        <w:outlineLvl w:val="0"/>
        <w:rPr>
          <w:rFonts w:ascii="黑体" w:hAnsi="黑体" w:eastAsia="黑体" w:cs="黑体"/>
          <w:b/>
          <w:sz w:val="32"/>
          <w:szCs w:val="32"/>
          <w:highlight w:val="none"/>
        </w:rPr>
      </w:pPr>
      <w:r>
        <w:rPr>
          <w:rFonts w:hint="eastAsia" w:ascii="黑体" w:hAnsi="黑体" w:eastAsia="黑体" w:cs="黑体"/>
          <w:b/>
          <w:sz w:val="32"/>
          <w:szCs w:val="32"/>
          <w:highlight w:val="none"/>
        </w:rPr>
        <w:t>十二、不可抗力</w:t>
      </w:r>
    </w:p>
    <w:p w14:paraId="2A2D7AF1">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由于地震、台风、水灾及其他不可预见的不可抗力，致使本次项目中止或延期不能履行时，遇上不可抗力的一方应立即将情况通知对方，按具体情况对履行合同的影响程度，双方协商履行合同的办法。</w:t>
      </w:r>
    </w:p>
    <w:p w14:paraId="0AC4DE31">
      <w:pPr>
        <w:spacing w:line="560" w:lineRule="exact"/>
        <w:ind w:firstLine="514" w:firstLineChars="160"/>
        <w:rPr>
          <w:rFonts w:ascii="黑体" w:hAnsi="黑体" w:eastAsia="黑体" w:cs="黑体"/>
          <w:b/>
          <w:sz w:val="32"/>
          <w:szCs w:val="32"/>
          <w:highlight w:val="none"/>
        </w:rPr>
      </w:pPr>
      <w:r>
        <w:rPr>
          <w:rFonts w:hint="eastAsia" w:ascii="黑体" w:hAnsi="黑体" w:eastAsia="黑体" w:cs="黑体"/>
          <w:b/>
          <w:sz w:val="32"/>
          <w:szCs w:val="32"/>
          <w:highlight w:val="none"/>
        </w:rPr>
        <w:t>十三、通知</w:t>
      </w:r>
    </w:p>
    <w:p w14:paraId="35F031D9">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任何与本合同有关的通知应以书面形式作出，由本合同一方以专人递送、传真、电子邮件、邮递方式发出。通知以专人递送，于递交时视为送达；以传真方式发出，于发件人传真机显示传真页已发出时视为送达；以邮件方式发出，于发件人邮箱显示邮件已发出时视为送达；以邮递方式发出，于邮件寄出后的第3个工作日视为送达。任何通知一经送达即行生效。</w:t>
      </w:r>
    </w:p>
    <w:p w14:paraId="6AD5AFA3">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各方的联络及通讯方法以下列信息为准：</w:t>
      </w:r>
    </w:p>
    <w:p w14:paraId="4F8CB10C">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甲方：</w:t>
      </w:r>
      <w:r>
        <w:rPr>
          <w:rFonts w:hint="eastAsia" w:ascii="仿宋" w:hAnsi="仿宋" w:eastAsia="仿宋" w:cs="仿宋"/>
          <w:sz w:val="32"/>
          <w:szCs w:val="32"/>
          <w:highlight w:val="none"/>
          <w:u w:val="single"/>
        </w:rPr>
        <w:t xml:space="preserve">                      </w:t>
      </w:r>
    </w:p>
    <w:p w14:paraId="21BF6E60">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地址：</w:t>
      </w:r>
      <w:r>
        <w:rPr>
          <w:rFonts w:hint="eastAsia" w:ascii="仿宋" w:hAnsi="仿宋" w:eastAsia="仿宋" w:cs="仿宋"/>
          <w:sz w:val="32"/>
          <w:szCs w:val="32"/>
          <w:highlight w:val="none"/>
          <w:u w:val="single"/>
        </w:rPr>
        <w:t xml:space="preserve">                       </w:t>
      </w:r>
    </w:p>
    <w:p w14:paraId="526946ED">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联系人：</w:t>
      </w:r>
      <w:r>
        <w:rPr>
          <w:rFonts w:hint="eastAsia" w:ascii="仿宋" w:hAnsi="仿宋" w:eastAsia="仿宋" w:cs="仿宋"/>
          <w:sz w:val="32"/>
          <w:szCs w:val="32"/>
          <w:highlight w:val="none"/>
          <w:u w:val="single"/>
        </w:rPr>
        <w:t>刘小麦</w:t>
      </w:r>
    </w:p>
    <w:p w14:paraId="6F88C4E4">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电话：</w:t>
      </w:r>
      <w:r>
        <w:rPr>
          <w:rFonts w:hint="eastAsia" w:ascii="仿宋" w:hAnsi="仿宋" w:eastAsia="仿宋" w:cs="仿宋"/>
          <w:sz w:val="32"/>
          <w:szCs w:val="32"/>
          <w:highlight w:val="none"/>
          <w:u w:val="single"/>
        </w:rPr>
        <w:t>0777-3888162</w:t>
      </w:r>
    </w:p>
    <w:p w14:paraId="481B588B">
      <w:pPr>
        <w:spacing w:line="56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乙方：</w:t>
      </w:r>
      <w:r>
        <w:rPr>
          <w:rFonts w:hint="eastAsia" w:ascii="仿宋" w:hAnsi="仿宋" w:eastAsia="仿宋" w:cs="仿宋"/>
          <w:sz w:val="32"/>
          <w:szCs w:val="32"/>
          <w:highlight w:val="none"/>
          <w:u w:val="single"/>
        </w:rPr>
        <w:t xml:space="preserve">                   </w:t>
      </w:r>
    </w:p>
    <w:p w14:paraId="28D84C3D">
      <w:pPr>
        <w:spacing w:line="56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地址：</w:t>
      </w:r>
      <w:r>
        <w:rPr>
          <w:rFonts w:hint="eastAsia" w:ascii="仿宋" w:hAnsi="仿宋" w:eastAsia="仿宋" w:cs="仿宋"/>
          <w:sz w:val="32"/>
          <w:szCs w:val="32"/>
          <w:highlight w:val="none"/>
          <w:u w:val="single"/>
        </w:rPr>
        <w:t xml:space="preserve">                        </w:t>
      </w:r>
    </w:p>
    <w:p w14:paraId="53B47492">
      <w:pPr>
        <w:spacing w:line="56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 xml:space="preserve">联系人： </w:t>
      </w:r>
      <w:r>
        <w:rPr>
          <w:rFonts w:hint="eastAsia" w:ascii="仿宋" w:hAnsi="仿宋" w:eastAsia="仿宋" w:cs="仿宋"/>
          <w:sz w:val="32"/>
          <w:szCs w:val="32"/>
          <w:highlight w:val="none"/>
          <w:u w:val="single"/>
        </w:rPr>
        <w:t xml:space="preserve">　              </w:t>
      </w:r>
    </w:p>
    <w:p w14:paraId="66164DF9">
      <w:pPr>
        <w:spacing w:line="56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电话：</w:t>
      </w:r>
      <w:r>
        <w:rPr>
          <w:rFonts w:hint="eastAsia" w:ascii="仿宋" w:hAnsi="仿宋" w:eastAsia="仿宋" w:cs="仿宋"/>
          <w:sz w:val="32"/>
          <w:szCs w:val="32"/>
          <w:highlight w:val="none"/>
          <w:u w:val="single"/>
        </w:rPr>
        <w:t xml:space="preserve">             　</w:t>
      </w:r>
    </w:p>
    <w:p w14:paraId="023D835F">
      <w:pPr>
        <w:spacing w:line="560" w:lineRule="exact"/>
        <w:ind w:firstLine="643" w:firstLineChars="200"/>
        <w:rPr>
          <w:rFonts w:ascii="黑体" w:hAnsi="黑体" w:eastAsia="黑体" w:cs="黑体"/>
          <w:b/>
          <w:sz w:val="32"/>
          <w:szCs w:val="32"/>
          <w:highlight w:val="none"/>
        </w:rPr>
      </w:pPr>
      <w:r>
        <w:rPr>
          <w:rFonts w:hint="eastAsia" w:ascii="黑体" w:hAnsi="黑体" w:eastAsia="黑体" w:cs="黑体"/>
          <w:b/>
          <w:sz w:val="32"/>
          <w:szCs w:val="32"/>
          <w:highlight w:val="none"/>
        </w:rPr>
        <w:t>十四、合同效力及其他约定</w:t>
      </w:r>
    </w:p>
    <w:p w14:paraId="1BE6EF7D">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（一）本合同的履行地为</w:t>
      </w:r>
      <w:r>
        <w:rPr>
          <w:rFonts w:hint="eastAsia" w:ascii="楷体" w:hAnsi="楷体" w:eastAsia="楷体" w:cs="楷体"/>
          <w:sz w:val="32"/>
          <w:szCs w:val="32"/>
          <w:highlight w:val="none"/>
          <w:u w:val="single"/>
        </w:rPr>
        <w:t xml:space="preserve"> 广西钦州市 </w:t>
      </w:r>
      <w:r>
        <w:rPr>
          <w:rFonts w:hint="eastAsia" w:ascii="楷体" w:hAnsi="楷体" w:eastAsia="楷体" w:cs="楷体"/>
          <w:sz w:val="32"/>
          <w:szCs w:val="32"/>
          <w:highlight w:val="none"/>
        </w:rPr>
        <w:t>。</w:t>
      </w:r>
    </w:p>
    <w:p w14:paraId="5BBBBF04">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 xml:space="preserve">（二）本合同自双方法定代表人或负责人或其授权代表签字并加盖公章之日起生效。 </w:t>
      </w:r>
    </w:p>
    <w:p w14:paraId="2D00B135">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（三）本合同附件是本合同的组成部分，具有与本合同同等的法律效力。</w:t>
      </w:r>
    </w:p>
    <w:p w14:paraId="304AAFF2">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（四）未经双方一致同意，任何一方不得将本合同项下的任何权利、义务转让与任何第三方。</w:t>
      </w:r>
    </w:p>
    <w:p w14:paraId="279F416E">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（五）本合同未尽事宜，由合同双方另行协商。</w:t>
      </w:r>
    </w:p>
    <w:p w14:paraId="098A9806">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六）对于本合同项下的任何修改、补充及变更，均应由本合同的双方协商一致并以书面形式作出，经本合同的双方授权的代表签字并加盖各自的公章后方为有效。该等修改、补充及变更的书面合同将构成本合同的组成部分，与本合同具有同等法律效力。</w:t>
      </w:r>
    </w:p>
    <w:p w14:paraId="6759403F">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（七）本合同正本一式陆份，甲乙双方各执叁份。</w:t>
      </w:r>
    </w:p>
    <w:p w14:paraId="3ABD68DA">
      <w:pPr>
        <w:spacing w:line="560" w:lineRule="exact"/>
        <w:ind w:firstLine="640" w:firstLineChars="200"/>
        <w:rPr>
          <w:rFonts w:ascii="仿宋" w:hAnsi="仿宋" w:eastAsia="仿宋" w:cs="仿宋"/>
          <w:sz w:val="32"/>
          <w:szCs w:val="32"/>
          <w:highlight w:val="none"/>
        </w:rPr>
      </w:pPr>
    </w:p>
    <w:p w14:paraId="0C19DB8B">
      <w:pPr>
        <w:pStyle w:val="2"/>
        <w:spacing w:line="560" w:lineRule="exact"/>
        <w:rPr>
          <w:rFonts w:ascii="仿宋" w:hAnsi="仿宋" w:eastAsia="仿宋" w:cs="仿宋"/>
          <w:sz w:val="32"/>
          <w:szCs w:val="32"/>
          <w:highlight w:val="none"/>
        </w:rPr>
      </w:pPr>
    </w:p>
    <w:p w14:paraId="53E570C5">
      <w:pPr>
        <w:spacing w:line="560" w:lineRule="exact"/>
        <w:ind w:left="8525" w:leftChars="250" w:hanging="8000" w:hangingChars="2500"/>
        <w:rPr>
          <w:rFonts w:ascii="仿宋" w:hAnsi="仿宋" w:eastAsia="仿宋" w:cs="仿宋"/>
          <w:sz w:val="32"/>
          <w:szCs w:val="32"/>
          <w:highlight w:val="none"/>
        </w:rPr>
      </w:pPr>
      <w:r>
        <w:rPr>
          <w:rFonts w:hint="eastAsia" w:ascii="仿宋" w:hAnsi="仿宋" w:eastAsia="仿宋" w:cs="仿宋"/>
          <w:sz w:val="32"/>
          <w:szCs w:val="32"/>
          <w:highlight w:val="none"/>
        </w:rPr>
        <w:t xml:space="preserve">甲方：广西壮族自治区北部湾港口管理局钦州分局                                  </w:t>
      </w:r>
    </w:p>
    <w:p w14:paraId="62D8D002">
      <w:pPr>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 xml:space="preserve">代表人：                             </w:t>
      </w:r>
    </w:p>
    <w:p w14:paraId="053CBC7C">
      <w:pPr>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 xml:space="preserve">（或委托代理人）：                   </w:t>
      </w:r>
    </w:p>
    <w:p w14:paraId="11342D9C">
      <w:pPr>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 xml:space="preserve">　　    年　月　日                             </w:t>
      </w:r>
    </w:p>
    <w:p w14:paraId="21A9113F">
      <w:pPr>
        <w:spacing w:line="560" w:lineRule="exact"/>
        <w:ind w:left="525" w:leftChars="250"/>
        <w:rPr>
          <w:rFonts w:ascii="仿宋" w:hAnsi="仿宋" w:eastAsia="仿宋" w:cs="仿宋"/>
          <w:sz w:val="32"/>
          <w:szCs w:val="32"/>
          <w:highlight w:val="none"/>
        </w:rPr>
      </w:pPr>
    </w:p>
    <w:p w14:paraId="1F5AF23E">
      <w:pPr>
        <w:pStyle w:val="2"/>
        <w:spacing w:line="560" w:lineRule="exact"/>
        <w:rPr>
          <w:rFonts w:ascii="仿宋" w:hAnsi="仿宋" w:eastAsia="仿宋" w:cs="仿宋"/>
          <w:sz w:val="32"/>
          <w:szCs w:val="32"/>
          <w:highlight w:val="none"/>
        </w:rPr>
      </w:pPr>
    </w:p>
    <w:p w14:paraId="20FA90B0">
      <w:pPr>
        <w:tabs>
          <w:tab w:val="left" w:pos="8085"/>
        </w:tabs>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乙方：</w:t>
      </w:r>
    </w:p>
    <w:p w14:paraId="23DABB5C">
      <w:pPr>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法定代表人：</w:t>
      </w:r>
    </w:p>
    <w:p w14:paraId="12338B02">
      <w:pPr>
        <w:spacing w:line="560" w:lineRule="exact"/>
        <w:ind w:left="525" w:leftChars="250"/>
        <w:rPr>
          <w:rFonts w:ascii="仿宋" w:hAnsi="仿宋" w:eastAsia="仿宋" w:cs="仿宋"/>
          <w:sz w:val="32"/>
          <w:szCs w:val="32"/>
          <w:highlight w:val="none"/>
        </w:rPr>
      </w:pPr>
      <w:r>
        <w:rPr>
          <w:rFonts w:hint="eastAsia" w:ascii="仿宋" w:hAnsi="仿宋" w:eastAsia="仿宋" w:cs="仿宋"/>
          <w:sz w:val="32"/>
          <w:szCs w:val="32"/>
          <w:highlight w:val="none"/>
        </w:rPr>
        <w:t>（或委托代理人）：</w:t>
      </w:r>
    </w:p>
    <w:p w14:paraId="19DA6164">
      <w:pPr>
        <w:spacing w:line="560" w:lineRule="exact"/>
        <w:ind w:left="525" w:leftChars="250"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 xml:space="preserve">       年　月　日</w:t>
      </w:r>
    </w:p>
    <w:p w14:paraId="398EB5E2">
      <w:pPr>
        <w:spacing w:line="560" w:lineRule="exact"/>
        <w:ind w:left="525" w:leftChars="250" w:firstLine="320" w:firstLineChars="100"/>
        <w:rPr>
          <w:rFonts w:ascii="仿宋" w:hAnsi="仿宋" w:eastAsia="仿宋" w:cs="仿宋"/>
          <w:sz w:val="32"/>
          <w:szCs w:val="32"/>
          <w:highlight w:val="none"/>
        </w:rPr>
      </w:pPr>
    </w:p>
    <w:p w14:paraId="09F384DF">
      <w:pPr>
        <w:spacing w:line="560" w:lineRule="exact"/>
        <w:ind w:left="525" w:leftChars="250" w:firstLine="320" w:firstLineChars="100"/>
        <w:rPr>
          <w:rFonts w:ascii="仿宋" w:hAnsi="仿宋" w:eastAsia="仿宋" w:cs="仿宋"/>
          <w:sz w:val="32"/>
          <w:szCs w:val="32"/>
          <w:highlight w:val="none"/>
        </w:rPr>
      </w:pPr>
    </w:p>
    <w:p w14:paraId="2C904B06">
      <w:pPr>
        <w:spacing w:line="560" w:lineRule="exact"/>
        <w:ind w:left="525" w:leftChars="250" w:firstLine="320" w:firstLineChars="100"/>
        <w:rPr>
          <w:rFonts w:ascii="仿宋" w:hAnsi="仿宋" w:eastAsia="仿宋" w:cs="仿宋"/>
          <w:sz w:val="32"/>
          <w:szCs w:val="32"/>
          <w:highlight w:val="none"/>
        </w:rPr>
      </w:pPr>
    </w:p>
    <w:p w14:paraId="6C8CF9B3">
      <w:pPr>
        <w:spacing w:line="560" w:lineRule="exact"/>
        <w:ind w:left="525" w:leftChars="250" w:firstLine="320" w:firstLineChars="100"/>
        <w:rPr>
          <w:rFonts w:ascii="仿宋" w:hAnsi="仿宋" w:eastAsia="仿宋" w:cs="仿宋"/>
          <w:sz w:val="32"/>
          <w:szCs w:val="32"/>
          <w:highlight w:val="none"/>
        </w:rPr>
      </w:pPr>
    </w:p>
    <w:p w14:paraId="0BDAFC52">
      <w:pPr>
        <w:spacing w:line="560" w:lineRule="exact"/>
        <w:ind w:left="525" w:leftChars="250" w:firstLine="320" w:firstLineChars="100"/>
        <w:rPr>
          <w:rFonts w:ascii="仿宋" w:hAnsi="仿宋" w:eastAsia="仿宋" w:cs="仿宋"/>
          <w:sz w:val="32"/>
          <w:szCs w:val="32"/>
          <w:highlight w:val="none"/>
        </w:rPr>
      </w:pPr>
    </w:p>
    <w:p w14:paraId="54C1A15A">
      <w:pPr>
        <w:spacing w:line="560" w:lineRule="exact"/>
        <w:ind w:left="525" w:leftChars="250" w:firstLine="320" w:firstLineChars="100"/>
        <w:rPr>
          <w:rFonts w:ascii="仿宋" w:hAnsi="仿宋" w:eastAsia="仿宋" w:cs="仿宋"/>
          <w:sz w:val="32"/>
          <w:szCs w:val="32"/>
          <w:highlight w:val="none"/>
        </w:rPr>
      </w:pPr>
    </w:p>
    <w:p w14:paraId="478842E1">
      <w:pPr>
        <w:spacing w:line="560" w:lineRule="exact"/>
        <w:ind w:left="525" w:leftChars="250" w:firstLine="320" w:firstLineChars="100"/>
        <w:rPr>
          <w:rFonts w:ascii="仿宋" w:hAnsi="仿宋" w:eastAsia="仿宋" w:cs="仿宋"/>
          <w:sz w:val="32"/>
          <w:szCs w:val="32"/>
          <w:highlight w:val="none"/>
        </w:rPr>
      </w:pPr>
    </w:p>
    <w:p w14:paraId="293FA539">
      <w:pPr>
        <w:spacing w:line="560" w:lineRule="exact"/>
        <w:ind w:left="525" w:leftChars="250" w:firstLine="320" w:firstLineChars="100"/>
        <w:rPr>
          <w:rFonts w:ascii="仿宋" w:hAnsi="仿宋" w:eastAsia="仿宋" w:cs="仿宋"/>
          <w:sz w:val="32"/>
          <w:szCs w:val="32"/>
          <w:highlight w:val="none"/>
        </w:rPr>
      </w:pPr>
    </w:p>
    <w:p w14:paraId="7E38AEFE">
      <w:pPr>
        <w:pStyle w:val="2"/>
        <w:rPr>
          <w:rFonts w:ascii="仿宋" w:hAnsi="仿宋" w:eastAsia="仿宋" w:cs="仿宋"/>
          <w:sz w:val="32"/>
          <w:szCs w:val="32"/>
          <w:highlight w:val="none"/>
        </w:rPr>
      </w:pPr>
    </w:p>
    <w:p w14:paraId="23295CD3">
      <w:pPr>
        <w:rPr>
          <w:rFonts w:ascii="仿宋" w:hAnsi="仿宋" w:eastAsia="仿宋" w:cs="仿宋"/>
          <w:sz w:val="32"/>
          <w:szCs w:val="32"/>
          <w:highlight w:val="none"/>
        </w:rPr>
      </w:pPr>
    </w:p>
    <w:p w14:paraId="21ECECDD">
      <w:pPr>
        <w:pStyle w:val="2"/>
        <w:rPr>
          <w:highlight w:val="none"/>
        </w:rPr>
      </w:pPr>
    </w:p>
    <w:p w14:paraId="43217DAA">
      <w:pPr>
        <w:spacing w:line="560" w:lineRule="exact"/>
        <w:ind w:left="525" w:leftChars="250" w:firstLine="320" w:firstLineChars="100"/>
        <w:rPr>
          <w:rFonts w:ascii="仿宋" w:hAnsi="仿宋" w:eastAsia="仿宋" w:cs="仿宋"/>
          <w:sz w:val="32"/>
          <w:szCs w:val="32"/>
          <w:highlight w:val="none"/>
        </w:rPr>
      </w:pPr>
    </w:p>
    <w:p w14:paraId="1D9BED03">
      <w:pPr>
        <w:spacing w:line="560" w:lineRule="exact"/>
        <w:ind w:left="525" w:leftChars="250" w:firstLine="320" w:firstLineChars="100"/>
        <w:rPr>
          <w:rFonts w:ascii="仿宋" w:hAnsi="仿宋" w:eastAsia="仿宋" w:cs="仿宋"/>
          <w:sz w:val="32"/>
          <w:szCs w:val="32"/>
          <w:highlight w:val="none"/>
        </w:rPr>
      </w:pPr>
    </w:p>
    <w:p w14:paraId="23738005">
      <w:pPr>
        <w:spacing w:line="560" w:lineRule="exact"/>
        <w:ind w:left="525" w:leftChars="250" w:firstLine="320" w:firstLineChars="100"/>
        <w:rPr>
          <w:rFonts w:ascii="仿宋" w:hAnsi="仿宋" w:eastAsia="仿宋" w:cs="仿宋"/>
          <w:sz w:val="32"/>
          <w:szCs w:val="32"/>
          <w:highlight w:val="none"/>
        </w:rPr>
      </w:pPr>
    </w:p>
    <w:p w14:paraId="3B0415CD">
      <w:pPr>
        <w:spacing w:line="560" w:lineRule="exact"/>
        <w:ind w:left="525" w:leftChars="250" w:firstLine="320" w:firstLineChars="100"/>
        <w:rPr>
          <w:rFonts w:ascii="仿宋" w:hAnsi="仿宋" w:eastAsia="仿宋" w:cs="仿宋"/>
          <w:sz w:val="32"/>
          <w:szCs w:val="32"/>
          <w:highlight w:val="none"/>
        </w:rPr>
      </w:pPr>
    </w:p>
    <w:p w14:paraId="7CE8244E">
      <w:pPr>
        <w:spacing w:line="560" w:lineRule="exact"/>
        <w:ind w:left="525" w:leftChars="250" w:firstLine="320" w:firstLineChars="100"/>
        <w:rPr>
          <w:rFonts w:ascii="仿宋" w:hAnsi="仿宋" w:eastAsia="仿宋" w:cs="仿宋"/>
          <w:sz w:val="32"/>
          <w:szCs w:val="32"/>
          <w:highlight w:val="none"/>
        </w:rPr>
      </w:pPr>
    </w:p>
    <w:p w14:paraId="3F263840">
      <w:pPr>
        <w:pStyle w:val="2"/>
        <w:rPr>
          <w:rFonts w:ascii="仿宋" w:hAnsi="仿宋" w:eastAsia="仿宋" w:cs="仿宋"/>
          <w:sz w:val="32"/>
          <w:szCs w:val="32"/>
          <w:highlight w:val="none"/>
        </w:rPr>
      </w:pPr>
    </w:p>
    <w:p w14:paraId="0014C0A5">
      <w:pPr>
        <w:rPr>
          <w:rFonts w:ascii="仿宋" w:hAnsi="仿宋" w:eastAsia="仿宋" w:cs="仿宋"/>
          <w:sz w:val="32"/>
          <w:szCs w:val="32"/>
          <w:highlight w:val="none"/>
        </w:rPr>
      </w:pPr>
    </w:p>
    <w:p w14:paraId="29C8C661">
      <w:pPr>
        <w:pStyle w:val="2"/>
        <w:rPr>
          <w:rFonts w:ascii="仿宋" w:hAnsi="仿宋" w:eastAsia="仿宋" w:cs="仿宋"/>
          <w:sz w:val="32"/>
          <w:szCs w:val="32"/>
          <w:highlight w:val="none"/>
        </w:rPr>
      </w:pPr>
    </w:p>
    <w:p w14:paraId="56658618"/>
    <w:p w14:paraId="07B05145">
      <w:pPr>
        <w:spacing w:before="156" w:beforeLines="50" w:line="560" w:lineRule="exact"/>
        <w:jc w:val="center"/>
        <w:rPr>
          <w:rFonts w:hint="eastAsia" w:ascii="方正小标宋_GBK" w:hAnsi="方正小标宋_GBK" w:eastAsia="方正小标宋_GBK" w:cs="方正小标宋_GBK"/>
          <w:b/>
          <w:color w:val="000000"/>
          <w:kern w:val="0"/>
          <w:sz w:val="44"/>
          <w:szCs w:val="44"/>
          <w:highlight w:val="none"/>
        </w:rPr>
      </w:pPr>
      <w:r>
        <w:rPr>
          <w:rFonts w:hint="eastAsia" w:ascii="方正小标宋_GBK" w:hAnsi="方正小标宋_GBK" w:eastAsia="方正小标宋_GBK" w:cs="方正小标宋_GBK"/>
          <w:b/>
          <w:color w:val="000000"/>
          <w:kern w:val="0"/>
          <w:sz w:val="44"/>
          <w:szCs w:val="44"/>
          <w:highlight w:val="none"/>
        </w:rPr>
        <w:t>安全管理协议</w:t>
      </w:r>
    </w:p>
    <w:p w14:paraId="4D480E37">
      <w:pPr>
        <w:adjustRightInd w:val="0"/>
        <w:snapToGrid w:val="0"/>
        <w:spacing w:line="560" w:lineRule="exact"/>
        <w:ind w:left="638" w:leftChars="304" w:firstLine="0" w:firstLineChars="0"/>
        <w:rPr>
          <w:rFonts w:hint="eastAsia" w:ascii="仿宋" w:hAnsi="仿宋" w:eastAsia="仿宋"/>
          <w:sz w:val="32"/>
          <w:szCs w:val="32"/>
          <w:highlight w:val="none"/>
        </w:rPr>
      </w:pPr>
    </w:p>
    <w:p w14:paraId="59F2C14E">
      <w:pPr>
        <w:adjustRightInd w:val="0"/>
        <w:snapToGrid w:val="0"/>
        <w:spacing w:line="560" w:lineRule="exact"/>
        <w:ind w:left="638" w:leftChars="304" w:firstLine="0" w:firstLineChars="0"/>
        <w:rPr>
          <w:rFonts w:hint="eastAsia" w:ascii="仿宋" w:hAnsi="仿宋" w:eastAsia="仿宋"/>
          <w:sz w:val="32"/>
          <w:szCs w:val="32"/>
          <w:highlight w:val="none"/>
        </w:rPr>
      </w:pPr>
      <w:r>
        <w:rPr>
          <w:rFonts w:hint="eastAsia" w:ascii="仿宋" w:hAnsi="仿宋" w:eastAsia="仿宋"/>
          <w:sz w:val="32"/>
          <w:szCs w:val="32"/>
          <w:highlight w:val="none"/>
        </w:rPr>
        <w:t xml:space="preserve">甲方： </w:t>
      </w:r>
      <w:r>
        <w:rPr>
          <w:rFonts w:hint="eastAsia" w:ascii="仿宋" w:hAnsi="仿宋" w:eastAsia="仿宋"/>
          <w:sz w:val="32"/>
          <w:szCs w:val="32"/>
          <w:highlight w:val="none"/>
        </w:rPr>
        <w:br w:type="textWrapping"/>
      </w:r>
      <w:r>
        <w:rPr>
          <w:rFonts w:hint="eastAsia" w:ascii="仿宋" w:hAnsi="仿宋" w:eastAsia="仿宋"/>
          <w:sz w:val="32"/>
          <w:szCs w:val="32"/>
          <w:highlight w:val="none"/>
        </w:rPr>
        <w:t xml:space="preserve">乙方： </w:t>
      </w:r>
    </w:p>
    <w:p w14:paraId="417A4BB8">
      <w:pPr>
        <w:widowControl/>
        <w:shd w:val="clear" w:color="auto" w:fill="FFFFFF"/>
        <w:spacing w:line="560" w:lineRule="exact"/>
        <w:ind w:firstLine="640" w:firstLineChars="200"/>
        <w:jc w:val="left"/>
        <w:rPr>
          <w:rFonts w:hint="eastAsia" w:ascii="仿宋" w:hAnsi="仿宋" w:eastAsia="仿宋" w:cs="Segoe UI"/>
          <w:bCs/>
          <w:color w:val="404040"/>
          <w:kern w:val="0"/>
          <w:sz w:val="32"/>
          <w:szCs w:val="32"/>
          <w:highlight w:val="none"/>
        </w:rPr>
      </w:pPr>
    </w:p>
    <w:p w14:paraId="4ED61349">
      <w:pPr>
        <w:adjustRightInd w:val="0"/>
        <w:snapToGrid w:val="0"/>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第一条 总则</w:t>
      </w:r>
    </w:p>
    <w:p w14:paraId="3FFA4529">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1.本协议旨在通过法定约束明确乙方在××码头区域执行应急演习策划、场地搭建、实景拍摄等服务的全流程安全管理要求，防范人员伤亡、设备损毁及环境污染事故。</w:t>
      </w:r>
    </w:p>
    <w:p w14:paraId="5B20796D">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2.适用范围包括但不限于：演习方案设计阶段、物资进场、现场搭建、演习实施、设备撤场及场地恢复等全周期活动，地理范围覆盖码头前沿作业区、堆场、通道及临时划定的演习管控区。</w:t>
      </w:r>
    </w:p>
    <w:p w14:paraId="0314517A">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3.双方须严格遵守《安全生产法》《港口法》《港口危险货物安全管理规定》《港口设施保安规则》等法律法规要求。</w:t>
      </w:r>
    </w:p>
    <w:p w14:paraId="67867547">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4.双方在履行主合同过程中应达到“零伤亡、零事故”的安全目标。</w:t>
      </w:r>
    </w:p>
    <w:p w14:paraId="3321E192">
      <w:pPr>
        <w:adjustRightInd w:val="0"/>
        <w:snapToGrid w:val="0"/>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第二条 甲方权利及义务</w:t>
      </w:r>
    </w:p>
    <w:p w14:paraId="799A2C10">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全面审核。乙方进场前5个工作日，须提交完整的安全基础资料备查，包括：人员清单、设备清单、应急处置方案等，如需持证操作的设备及人员，应提供相应的证件材料。甲方有权对不符合项提出整改要求，未达标者禁止进场。</w:t>
      </w:r>
    </w:p>
    <w:p w14:paraId="11551157">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 xml:space="preserve">2.过程监督。演习过程中，甲方全程驻场对现场进行统筹监督管理，通过视频监控与实地巡查等方式对人员操作、设备运行及流程合规性实施动态统筹监管，保障演习全过程安全可控。 </w:t>
      </w:r>
    </w:p>
    <w:p w14:paraId="11E1A408">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3.基础安全保障。提供码头平面图（含重点设施布局、消防设施点位、应急逃生路线等）；监督乙方人员接受码头企业入场前安全培训。</w:t>
      </w:r>
    </w:p>
    <w:p w14:paraId="77D808DB">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4.现场协调。负责协调码头企业做好演习区、生产区划分，划拨专用区域用于场地搭建；协调码头企业提供临时用电安排；协调码头运营方在演习期间暂停相关区域生产作业，并设置物理隔离设施。</w:t>
      </w:r>
    </w:p>
    <w:p w14:paraId="2FCF4DB3">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5.监督检查： 甲方有权对乙方在演习过程中的安全生产状况进行检查，对发现的隐患和问题有权下达整改指令，乙方必须按要求完成整改。</w:t>
      </w:r>
    </w:p>
    <w:p w14:paraId="49EDAF19">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6.应急保障。预先向乙方提供码头应急物资储备清单，提供码头、海事、医疗、消防部门的应急联动通讯录，演习期间指派专人（姓名××，电话××××）作为应急联络远。</w:t>
      </w:r>
    </w:p>
    <w:p w14:paraId="1AE658BA">
      <w:pPr>
        <w:adjustRightInd w:val="0"/>
        <w:snapToGrid w:val="0"/>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第三条 乙方权利及义务</w:t>
      </w:r>
    </w:p>
    <w:p w14:paraId="15A7CD11">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1.知情与异议权。要求甲方提供演习区域安全风险及应急管控措施清单、应急物资清单等安全基础资料，对甲方提出的超范围或不合理指令，可书面申诉并暂停作业。</w:t>
      </w:r>
    </w:p>
    <w:p w14:paraId="5EB9330E">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2.人员管理。乙方应加强人员准入控制，所有人员须通过职业健康体检，无不适合承担演习工作的禁忌症或严重疾病；统一穿着工作服或佩戴身份标识牌。乙方应为</w:t>
      </w:r>
      <w:r>
        <w:rPr>
          <w:rFonts w:hint="eastAsia" w:ascii="仿宋" w:hAnsi="仿宋" w:eastAsia="仿宋"/>
          <w:sz w:val="32"/>
          <w:szCs w:val="32"/>
          <w:highlight w:val="none"/>
          <w:lang w:val="en-US" w:eastAsia="zh-CN"/>
        </w:rPr>
        <w:t>本单位</w:t>
      </w:r>
      <w:r>
        <w:rPr>
          <w:rFonts w:hint="eastAsia" w:ascii="仿宋" w:hAnsi="仿宋" w:eastAsia="仿宋"/>
          <w:sz w:val="32"/>
          <w:szCs w:val="32"/>
          <w:highlight w:val="none"/>
        </w:rPr>
        <w:t>进入现场作业的人员投保（人身意外保险、雇主责任险）等。</w:t>
      </w:r>
    </w:p>
    <w:p w14:paraId="0CD77A1E">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设备管理。乙方应做好设备入场核验，作业前进行设备点检，易燃易爆品严禁进入生产作业区域（确与演习场景有关的发烟罐、模拟爆炸装置等物品除外，但应提前报至甲方审核），设备存放期间应自行做好安全管理。不得使用不符合国家、行业标准的材料、设备、装置、防护用品、器材等。</w:t>
      </w:r>
    </w:p>
    <w:p w14:paraId="4C852F1F">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4.入场前管理。乙方作业人员在进入作业现场前应接受入场作业安全教育或风险告知，为现场作业人员配备劳动保护用品、器具和特殊劳动保护用品。</w:t>
      </w:r>
    </w:p>
    <w:p w14:paraId="32290671">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5.现场管理。乙方应沿演习区边界设置警戒带，做好区域管控；在演习出入口及主干道交叉口安排交通引导员或交通指示牌，在演习区域风险管控位置应设置安全警示标识。未经批准，乙方人员、车辆、设备等不得跨越警示黄线进入非演习区域及正常生产作业区域。</w:t>
      </w:r>
    </w:p>
    <w:p w14:paraId="59DD3AB8">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6.安全检查。乙方必须建立安全检查制度，不定期开展安全检查，及时发现和消除事故隐患。对甲方在检查中指出的安全隐患，乙方必须在规定时限内完成整改。</w:t>
      </w:r>
    </w:p>
    <w:p w14:paraId="518E8612">
      <w:pPr>
        <w:adjustRightInd w:val="0"/>
        <w:snapToGrid w:val="0"/>
        <w:spacing w:line="560" w:lineRule="exact"/>
        <w:ind w:firstLine="640" w:firstLineChars="200"/>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7.乙方进入码头开展作业，必须服从码头现场安全管理并与码头签订安全协议。</w:t>
      </w:r>
    </w:p>
    <w:p w14:paraId="26793801">
      <w:pPr>
        <w:adjustRightInd w:val="0"/>
        <w:snapToGrid w:val="0"/>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第四条 应急响应及处置</w:t>
      </w:r>
    </w:p>
    <w:p w14:paraId="7856562B">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1.体系建设。双方应制定事故应急救援预案，甲方负责要求码头制定应急救援预案，各参与方均应建立应急救援体系，做好人员培训，确保体系正常运转。</w:t>
      </w:r>
    </w:p>
    <w:p w14:paraId="761FE6B0">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应急响应。如乙方人员、设备或演习相关环节发生事故时，事故现场人员应当立即报告乙方单位负责人，接到事故报告后，应迅速采取有效措施组织抢救，防止事故扩大，减少人员伤亡和财产损失。同时应立即报告甲方，不得拖延，更不得故意破坏事故现场、毁灭相关证据。</w:t>
      </w:r>
    </w:p>
    <w:p w14:paraId="161EDDB8">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应急处置。乙方负责演习范围内的事故抢救工作，甲方或协调码头方予以支持、配合事故抢救，并提供便利条件。如乙方不具备组织事故抢救能力时，应当立即提请甲方组织事故抢救。事故应急抢救费用由事故责任方承担。</w:t>
      </w:r>
    </w:p>
    <w:p w14:paraId="60AB82E1">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4.事后处置。事故抢救工作结束后，乙方应在3日内向甲方提交事故原因分析和事故处理报告，按照事故调查有关规定进行事故调查和责任认定。在事故发生和处理过程中，乙方所有人员未经甲方书面许可不得擅自对外发布消息。</w:t>
      </w:r>
    </w:p>
    <w:p w14:paraId="38BD6AF8">
      <w:pPr>
        <w:adjustRightInd w:val="0"/>
        <w:snapToGrid w:val="0"/>
        <w:spacing w:line="560" w:lineRule="exact"/>
        <w:ind w:firstLine="640" w:firstLineChars="20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第五条  责任划分</w:t>
      </w:r>
    </w:p>
    <w:p w14:paraId="234D248E">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1.如因甲方未如实告知现场安全风险或重大隐患、错误下达违反安全法规的指挥指令原因，造成安全生产事故的，由甲方对事故负责。</w:t>
      </w:r>
    </w:p>
    <w:p w14:paraId="4006EB97">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2.如因未取得</w:t>
      </w:r>
      <w:r>
        <w:rPr>
          <w:rFonts w:hint="eastAsia" w:ascii="仿宋" w:hAnsi="仿宋" w:eastAsia="仿宋"/>
          <w:sz w:val="32"/>
          <w:szCs w:val="32"/>
          <w:highlight w:val="none"/>
          <w:lang w:val="en-US" w:eastAsia="zh-CN"/>
        </w:rPr>
        <w:t>批准</w:t>
      </w:r>
      <w:r>
        <w:rPr>
          <w:rFonts w:hint="eastAsia" w:ascii="仿宋" w:hAnsi="仿宋" w:eastAsia="仿宋"/>
          <w:sz w:val="32"/>
          <w:szCs w:val="32"/>
          <w:highlight w:val="none"/>
        </w:rPr>
        <w:t>擅自进行风险较高的作业、使用未经检验或失效的设备</w:t>
      </w:r>
      <w:r>
        <w:rPr>
          <w:rFonts w:hint="eastAsia" w:ascii="仿宋" w:hAnsi="仿宋" w:eastAsia="仿宋"/>
          <w:sz w:val="32"/>
          <w:szCs w:val="32"/>
          <w:highlight w:val="none"/>
          <w:lang w:val="en-US" w:eastAsia="zh-CN"/>
        </w:rPr>
        <w:t>或</w:t>
      </w:r>
      <w:r>
        <w:rPr>
          <w:rFonts w:hint="eastAsia" w:ascii="仿宋" w:hAnsi="仿宋" w:eastAsia="仿宋"/>
          <w:sz w:val="32"/>
          <w:szCs w:val="32"/>
          <w:highlight w:val="none"/>
        </w:rPr>
        <w:t>防护用具、人员无证操作设备或违反安全规程、违章冒险作业、未按甲方交底要求误入危险区域</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场地搭建过程中未落实安全要求</w:t>
      </w:r>
      <w:r>
        <w:rPr>
          <w:rFonts w:hint="eastAsia" w:ascii="仿宋" w:hAnsi="仿宋" w:eastAsia="仿宋"/>
          <w:sz w:val="32"/>
          <w:szCs w:val="32"/>
          <w:highlight w:val="none"/>
        </w:rPr>
        <w:t>等原因，造成安全生产事故的，由</w:t>
      </w:r>
      <w:r>
        <w:rPr>
          <w:rFonts w:hint="eastAsia" w:ascii="仿宋" w:hAnsi="仿宋" w:eastAsia="仿宋"/>
          <w:sz w:val="32"/>
          <w:szCs w:val="32"/>
          <w:highlight w:val="none"/>
          <w:lang w:val="en-US" w:eastAsia="zh-CN"/>
        </w:rPr>
        <w:t>乙</w:t>
      </w:r>
      <w:r>
        <w:rPr>
          <w:rFonts w:hint="eastAsia" w:ascii="仿宋" w:hAnsi="仿宋" w:eastAsia="仿宋"/>
          <w:sz w:val="32"/>
          <w:szCs w:val="32"/>
          <w:highlight w:val="none"/>
        </w:rPr>
        <w:t>方对事故负责。</w:t>
      </w:r>
    </w:p>
    <w:p w14:paraId="09F1CB07">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3.由于不可抗力造成事故及损失的，甲乙双方各自承担其相应的损失，但受不可抗力影响的一方或双方在不可抗力事件发生时，应在力所能及的条件下迅速采取措施，将因不可抗力造成的损失降低到最低程度。</w:t>
      </w:r>
    </w:p>
    <w:p w14:paraId="5EF2F227">
      <w:pPr>
        <w:widowControl/>
        <w:shd w:val="clear" w:color="auto" w:fill="FFFFFF"/>
        <w:spacing w:line="560" w:lineRule="exact"/>
        <w:ind w:firstLine="640" w:firstLineChars="200"/>
        <w:jc w:val="left"/>
        <w:outlineLvl w:val="2"/>
        <w:rPr>
          <w:rFonts w:hint="eastAsia" w:ascii="黑体" w:hAnsi="黑体" w:eastAsia="黑体" w:cs="黑体"/>
          <w:b w:val="0"/>
          <w:bCs w:val="0"/>
          <w:color w:val="404040"/>
          <w:kern w:val="0"/>
          <w:sz w:val="32"/>
          <w:szCs w:val="32"/>
          <w:highlight w:val="none"/>
        </w:rPr>
      </w:pPr>
      <w:r>
        <w:rPr>
          <w:rFonts w:hint="eastAsia" w:ascii="黑体" w:hAnsi="黑体" w:eastAsia="黑体" w:cs="黑体"/>
          <w:b w:val="0"/>
          <w:bCs w:val="0"/>
          <w:color w:val="404040"/>
          <w:kern w:val="0"/>
          <w:sz w:val="32"/>
          <w:szCs w:val="32"/>
          <w:highlight w:val="none"/>
        </w:rPr>
        <w:t>第六条 附则</w:t>
      </w:r>
    </w:p>
    <w:p w14:paraId="7147E0B9">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1.本协议自签署日起生效，至演习结束且场地恢复完成后终止；</w:t>
      </w:r>
    </w:p>
    <w:p w14:paraId="4C7082CD">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2.本协议自双方签字（或盖章）之日起生效，一式两份，甲乙双方各执一份，具有同等法律效力。</w:t>
      </w:r>
    </w:p>
    <w:p w14:paraId="4FC9BBA5">
      <w:pPr>
        <w:adjustRightInd w:val="0"/>
        <w:snapToGrid w:val="0"/>
        <w:spacing w:line="56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3.本协议如与国家有关法律法规有抵触时则按国家有关规定执行。</w:t>
      </w:r>
    </w:p>
    <w:p w14:paraId="03AA9122">
      <w:pPr>
        <w:adjustRightInd w:val="0"/>
        <w:snapToGrid w:val="0"/>
        <w:spacing w:line="560" w:lineRule="exact"/>
        <w:ind w:firstLine="640" w:firstLineChars="200"/>
        <w:rPr>
          <w:rFonts w:hint="eastAsia" w:ascii="仿宋" w:hAnsi="仿宋" w:eastAsia="仿宋"/>
          <w:sz w:val="32"/>
          <w:szCs w:val="32"/>
          <w:highlight w:val="none"/>
        </w:rPr>
      </w:pPr>
    </w:p>
    <w:p w14:paraId="29F91D92">
      <w:pPr>
        <w:overflowPunct w:val="0"/>
        <w:topLinePunct/>
        <w:autoSpaceDE w:val="0"/>
        <w:autoSpaceDN w:val="0"/>
        <w:adjustRightInd w:val="0"/>
        <w:snapToGrid w:val="0"/>
        <w:spacing w:line="560" w:lineRule="exact"/>
        <w:rPr>
          <w:rFonts w:hint="eastAsia" w:ascii="仿宋" w:hAnsi="仿宋" w:eastAsia="仿宋"/>
          <w:sz w:val="32"/>
          <w:szCs w:val="32"/>
          <w:highlight w:val="none"/>
        </w:rPr>
      </w:pPr>
      <w:r>
        <w:rPr>
          <w:rFonts w:hint="eastAsia" w:ascii="仿宋" w:hAnsi="仿宋" w:eastAsia="仿宋"/>
          <w:sz w:val="32"/>
          <w:szCs w:val="32"/>
          <w:highlight w:val="none"/>
        </w:rPr>
        <w:t xml:space="preserve">甲方：（盖章）                       乙方： （盖章）             </w:t>
      </w:r>
    </w:p>
    <w:p w14:paraId="0E7ACD29">
      <w:pPr>
        <w:overflowPunct w:val="0"/>
        <w:topLinePunct/>
        <w:autoSpaceDE w:val="0"/>
        <w:autoSpaceDN w:val="0"/>
        <w:adjustRightInd w:val="0"/>
        <w:snapToGrid w:val="0"/>
        <w:spacing w:line="560" w:lineRule="exact"/>
        <w:rPr>
          <w:rFonts w:hint="eastAsia" w:ascii="仿宋" w:hAnsi="仿宋" w:eastAsia="仿宋"/>
          <w:sz w:val="32"/>
          <w:szCs w:val="32"/>
          <w:highlight w:val="none"/>
        </w:rPr>
      </w:pPr>
      <w:r>
        <w:rPr>
          <w:rFonts w:hint="eastAsia" w:ascii="仿宋" w:hAnsi="仿宋" w:eastAsia="仿宋"/>
          <w:sz w:val="32"/>
          <w:szCs w:val="32"/>
          <w:highlight w:val="none"/>
        </w:rPr>
        <w:t>法定代表人（授权委托人）：           法定代表人（授权委托人）：</w:t>
      </w:r>
    </w:p>
    <w:p w14:paraId="7F85CEE8">
      <w:pPr>
        <w:overflowPunct w:val="0"/>
        <w:topLinePunct/>
        <w:autoSpaceDE w:val="0"/>
        <w:autoSpaceDN w:val="0"/>
        <w:adjustRightInd w:val="0"/>
        <w:snapToGrid w:val="0"/>
        <w:spacing w:line="560" w:lineRule="exact"/>
        <w:rPr>
          <w:rFonts w:hint="eastAsia" w:ascii="仿宋" w:hAnsi="仿宋" w:eastAsia="仿宋"/>
          <w:sz w:val="32"/>
          <w:szCs w:val="32"/>
          <w:highlight w:val="none"/>
        </w:rPr>
      </w:pPr>
      <w:r>
        <w:rPr>
          <w:rFonts w:hint="eastAsia" w:ascii="仿宋" w:hAnsi="仿宋" w:eastAsia="仿宋"/>
          <w:sz w:val="32"/>
          <w:szCs w:val="32"/>
          <w:highlight w:val="none"/>
        </w:rPr>
        <w:t>合同经办人(签字)：                   合同经办人(签字)：</w:t>
      </w:r>
    </w:p>
    <w:p w14:paraId="125B3180">
      <w:pPr>
        <w:overflowPunct w:val="0"/>
        <w:topLinePunct/>
        <w:autoSpaceDE w:val="0"/>
        <w:autoSpaceDN w:val="0"/>
        <w:adjustRightInd w:val="0"/>
        <w:snapToGrid w:val="0"/>
        <w:spacing w:line="560" w:lineRule="exact"/>
        <w:rPr>
          <w:rFonts w:hint="eastAsia" w:ascii="仿宋" w:hAnsi="仿宋" w:eastAsia="仿宋"/>
          <w:sz w:val="32"/>
          <w:szCs w:val="32"/>
          <w:highlight w:val="none"/>
          <w:lang w:val="en-US" w:eastAsia="zh-CN"/>
        </w:rPr>
      </w:pPr>
      <w:r>
        <w:rPr>
          <w:rFonts w:hint="eastAsia" w:ascii="仿宋" w:hAnsi="仿宋" w:eastAsia="仿宋"/>
          <w:sz w:val="32"/>
          <w:szCs w:val="32"/>
          <w:highlight w:val="none"/>
        </w:rPr>
        <w:t>签订日期：                           签订日期：</w:t>
      </w:r>
    </w:p>
    <w:p w14:paraId="4C98ED81">
      <w:pPr>
        <w:keepNext w:val="0"/>
        <w:keepLines w:val="0"/>
        <w:pageBreakBefore w:val="0"/>
        <w:widowControl w:val="0"/>
        <w:kinsoku/>
        <w:wordWrap/>
        <w:overflowPunct/>
        <w:topLinePunct w:val="0"/>
        <w:autoSpaceDE/>
        <w:autoSpaceDN/>
        <w:bidi w:val="0"/>
        <w:adjustRightInd/>
        <w:spacing w:line="540" w:lineRule="exact"/>
        <w:textAlignment w:val="auto"/>
        <w:rPr>
          <w:rFonts w:ascii="仿宋" w:hAnsi="仿宋" w:eastAsia="仿宋" w:cs="仿宋"/>
          <w:sz w:val="32"/>
          <w:szCs w:val="32"/>
          <w:highlight w:val="none"/>
        </w:rPr>
      </w:pPr>
    </w:p>
    <w:p w14:paraId="6C55DFE2">
      <w:pPr>
        <w:spacing w:line="560" w:lineRule="exact"/>
        <w:rPr>
          <w:rFonts w:ascii="仿宋" w:hAnsi="仿宋" w:eastAsia="仿宋" w:cs="仿宋"/>
          <w:sz w:val="32"/>
          <w:szCs w:val="32"/>
          <w:highlight w:val="none"/>
        </w:rPr>
      </w:pPr>
    </w:p>
    <w:sectPr>
      <w:headerReference r:id="rId8" w:type="first"/>
      <w:footerReference r:id="rId10" w:type="first"/>
      <w:headerReference r:id="rId7" w:type="default"/>
      <w:footerReference r:id="rId9" w:type="default"/>
      <w:pgSz w:w="11906" w:h="16838"/>
      <w:pgMar w:top="2098" w:right="1587" w:bottom="1587" w:left="1587" w:header="851" w:footer="567" w:gutter="0"/>
      <w:pgNumType w:fmt="numberInDash"/>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Segoe UI">
    <w:panose1 w:val="020B0502040204020203"/>
    <w:charset w:val="00"/>
    <w:family w:val="swiss"/>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50873">
    <w:pPr>
      <w:pStyle w:val="13"/>
      <w:tabs>
        <w:tab w:val="center" w:pos="4439"/>
        <w:tab w:val="clear" w:pos="4153"/>
      </w:tabs>
      <w:jc w:val="both"/>
    </w:pPr>
  </w:p>
  <w:p w14:paraId="715AD1A5">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AD422">
    <w:pPr>
      <w:pStyle w:val="13"/>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8138F1">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78138F1">
                    <w:pPr>
                      <w:pStyle w:val="13"/>
                    </w:pPr>
                    <w:r>
                      <w:fldChar w:fldCharType="begin"/>
                    </w:r>
                    <w:r>
                      <w:instrText xml:space="preserve"> PAGE  \* MERGEFORMAT </w:instrText>
                    </w:r>
                    <w:r>
                      <w:fldChar w:fldCharType="separate"/>
                    </w:r>
                    <w:r>
                      <w:t>- 1 -</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AB19BAD"/>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1312;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AB19BAD"/>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4EFAA">
    <w:pPr>
      <w:pStyle w:val="13"/>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15492D8E">
                          <w:pPr>
                            <w:pStyle w:val="13"/>
                            <w:jc w:val="center"/>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- 45 -</w:t>
                          </w:r>
                          <w:r>
                            <w:rPr>
                              <w:rFonts w:hint="eastAsia" w:ascii="宋体" w:hAnsi="宋体" w:cs="宋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outside;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15492D8E">
                    <w:pPr>
                      <w:pStyle w:val="13"/>
                      <w:jc w:val="center"/>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- 45 -</w:t>
                    </w:r>
                    <w:r>
                      <w:rPr>
                        <w:rFonts w:hint="eastAsia" w:ascii="宋体" w:hAnsi="宋体" w:cs="宋体"/>
                        <w:sz w:val="28"/>
                        <w:szCs w:val="28"/>
                      </w:rPr>
                      <w:fldChar w:fldCharType="end"/>
                    </w:r>
                  </w:p>
                </w:txbxContent>
              </v:textbox>
            </v:shape>
          </w:pict>
        </mc:Fallback>
      </mc:AlternateContent>
    </w:r>
  </w:p>
  <w:p w14:paraId="7F611A31">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3D6A5">
    <w:pPr>
      <w:pStyle w:val="1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2B3ED282">
                          <w:pPr>
                            <w:pStyle w:val="13"/>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outside;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2B3ED282">
                    <w:pPr>
                      <w:pStyle w:val="13"/>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BE881">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11601">
    <w:pPr>
      <w:pStyle w:val="1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33B74">
    <w:pPr>
      <w:pStyle w:val="14"/>
      <w:pBdr>
        <w:bottom w:val="none" w:color="auto" w:sz="0" w:space="0"/>
      </w:pBdr>
      <w:tabs>
        <w:tab w:val="center" w:pos="0"/>
        <w:tab w:val="left" w:pos="8306"/>
        <w:tab w:val="clear" w:pos="4153"/>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1F394">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C517FB"/>
    <w:multiLevelType w:val="singleLevel"/>
    <w:tmpl w:val="83C517FB"/>
    <w:lvl w:ilvl="0" w:tentative="0">
      <w:start w:val="1"/>
      <w:numFmt w:val="chineseCounting"/>
      <w:suff w:val="space"/>
      <w:lvlText w:val="第%1章"/>
      <w:lvlJc w:val="left"/>
      <w:rPr>
        <w:rFonts w:hint="eastAsia"/>
      </w:rPr>
    </w:lvl>
  </w:abstractNum>
  <w:abstractNum w:abstractNumId="1">
    <w:nsid w:val="37FA5D5B"/>
    <w:multiLevelType w:val="singleLevel"/>
    <w:tmpl w:val="37FA5D5B"/>
    <w:lvl w:ilvl="0" w:tentative="0">
      <w:start w:val="1"/>
      <w:numFmt w:val="chineseCounting"/>
      <w:suff w:val="nothing"/>
      <w:lvlText w:val="%1、"/>
      <w:lvlJc w:val="left"/>
      <w:rPr>
        <w:rFonts w:hint="eastAsia"/>
      </w:rPr>
    </w:lvl>
  </w:abstractNum>
  <w:abstractNum w:abstractNumId="2">
    <w:nsid w:val="77B79371"/>
    <w:multiLevelType w:val="singleLevel"/>
    <w:tmpl w:val="77B79371"/>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71F"/>
    <w:rsid w:val="00125861"/>
    <w:rsid w:val="00164173"/>
    <w:rsid w:val="0016671F"/>
    <w:rsid w:val="00227700"/>
    <w:rsid w:val="0026130D"/>
    <w:rsid w:val="00291A13"/>
    <w:rsid w:val="00562CF7"/>
    <w:rsid w:val="00565769"/>
    <w:rsid w:val="00675481"/>
    <w:rsid w:val="007506A8"/>
    <w:rsid w:val="007B746E"/>
    <w:rsid w:val="007C66AA"/>
    <w:rsid w:val="00804B9E"/>
    <w:rsid w:val="00863B59"/>
    <w:rsid w:val="0095147C"/>
    <w:rsid w:val="009A7605"/>
    <w:rsid w:val="00A83FAE"/>
    <w:rsid w:val="00BE244A"/>
    <w:rsid w:val="00BF7816"/>
    <w:rsid w:val="00C66195"/>
    <w:rsid w:val="00D04888"/>
    <w:rsid w:val="00F96AE4"/>
    <w:rsid w:val="00FD430E"/>
    <w:rsid w:val="011949CD"/>
    <w:rsid w:val="016519C1"/>
    <w:rsid w:val="01711A9E"/>
    <w:rsid w:val="0192652E"/>
    <w:rsid w:val="019570D7"/>
    <w:rsid w:val="01EF4696"/>
    <w:rsid w:val="022B2C0A"/>
    <w:rsid w:val="022B4150"/>
    <w:rsid w:val="023B0973"/>
    <w:rsid w:val="025657AD"/>
    <w:rsid w:val="02693733"/>
    <w:rsid w:val="02BD4D87"/>
    <w:rsid w:val="02C46BBB"/>
    <w:rsid w:val="0313749E"/>
    <w:rsid w:val="03284BBE"/>
    <w:rsid w:val="032D36C9"/>
    <w:rsid w:val="033763DE"/>
    <w:rsid w:val="036F2A32"/>
    <w:rsid w:val="04180F6C"/>
    <w:rsid w:val="041D7032"/>
    <w:rsid w:val="046D1C7C"/>
    <w:rsid w:val="049251C3"/>
    <w:rsid w:val="04961346"/>
    <w:rsid w:val="049E300F"/>
    <w:rsid w:val="04D208AF"/>
    <w:rsid w:val="05062CE7"/>
    <w:rsid w:val="05801034"/>
    <w:rsid w:val="05AA2F4D"/>
    <w:rsid w:val="05AD6FCF"/>
    <w:rsid w:val="05F31C91"/>
    <w:rsid w:val="05FD1766"/>
    <w:rsid w:val="067601CC"/>
    <w:rsid w:val="06CC5DE3"/>
    <w:rsid w:val="06DD128C"/>
    <w:rsid w:val="06F4799A"/>
    <w:rsid w:val="07027CB2"/>
    <w:rsid w:val="074F739B"/>
    <w:rsid w:val="07833FB5"/>
    <w:rsid w:val="07A80859"/>
    <w:rsid w:val="07D01B5E"/>
    <w:rsid w:val="07D23129"/>
    <w:rsid w:val="07FB4E2D"/>
    <w:rsid w:val="097F7468"/>
    <w:rsid w:val="09A432A2"/>
    <w:rsid w:val="09CB4CD3"/>
    <w:rsid w:val="0A6A44EC"/>
    <w:rsid w:val="0AB55CF1"/>
    <w:rsid w:val="0AF838A6"/>
    <w:rsid w:val="0B077F8D"/>
    <w:rsid w:val="0B343DD0"/>
    <w:rsid w:val="0BB877A9"/>
    <w:rsid w:val="0BD428A6"/>
    <w:rsid w:val="0BE52D28"/>
    <w:rsid w:val="0C1464BD"/>
    <w:rsid w:val="0C356033"/>
    <w:rsid w:val="0C7358DA"/>
    <w:rsid w:val="0C776A4C"/>
    <w:rsid w:val="0CB93802"/>
    <w:rsid w:val="0D311E47"/>
    <w:rsid w:val="0D35493D"/>
    <w:rsid w:val="0D3F57BC"/>
    <w:rsid w:val="0D6276FC"/>
    <w:rsid w:val="0D89292B"/>
    <w:rsid w:val="0D913B3D"/>
    <w:rsid w:val="0D9C2C0E"/>
    <w:rsid w:val="0DBF28D9"/>
    <w:rsid w:val="0DE85E53"/>
    <w:rsid w:val="0E1B71DB"/>
    <w:rsid w:val="0E563428"/>
    <w:rsid w:val="0EB0326A"/>
    <w:rsid w:val="0ECC7523"/>
    <w:rsid w:val="0EDB7317"/>
    <w:rsid w:val="0F046CBD"/>
    <w:rsid w:val="0F111837"/>
    <w:rsid w:val="0F207639"/>
    <w:rsid w:val="0F421FA0"/>
    <w:rsid w:val="0FF71CF8"/>
    <w:rsid w:val="10014FAA"/>
    <w:rsid w:val="10211F89"/>
    <w:rsid w:val="102869DB"/>
    <w:rsid w:val="102B0279"/>
    <w:rsid w:val="102E1B18"/>
    <w:rsid w:val="107A2B91"/>
    <w:rsid w:val="107C0AD5"/>
    <w:rsid w:val="10AF4A06"/>
    <w:rsid w:val="10C85AC8"/>
    <w:rsid w:val="117860B8"/>
    <w:rsid w:val="11967974"/>
    <w:rsid w:val="119D0D03"/>
    <w:rsid w:val="128A4FED"/>
    <w:rsid w:val="129A3494"/>
    <w:rsid w:val="12D237A9"/>
    <w:rsid w:val="12FC7CAB"/>
    <w:rsid w:val="130354DD"/>
    <w:rsid w:val="1303728B"/>
    <w:rsid w:val="133E02C4"/>
    <w:rsid w:val="135B70C7"/>
    <w:rsid w:val="137F3191"/>
    <w:rsid w:val="13C94031"/>
    <w:rsid w:val="140130C6"/>
    <w:rsid w:val="14172FEE"/>
    <w:rsid w:val="14383B63"/>
    <w:rsid w:val="14397409"/>
    <w:rsid w:val="1440739B"/>
    <w:rsid w:val="14F8035A"/>
    <w:rsid w:val="15045A5F"/>
    <w:rsid w:val="15076514"/>
    <w:rsid w:val="15432418"/>
    <w:rsid w:val="157A70F8"/>
    <w:rsid w:val="15A207A1"/>
    <w:rsid w:val="15A23800"/>
    <w:rsid w:val="15BD1974"/>
    <w:rsid w:val="15EF58A5"/>
    <w:rsid w:val="1638549E"/>
    <w:rsid w:val="16785E3E"/>
    <w:rsid w:val="168D3A3C"/>
    <w:rsid w:val="16A55DFE"/>
    <w:rsid w:val="17471E3D"/>
    <w:rsid w:val="17996410"/>
    <w:rsid w:val="17AA4BA3"/>
    <w:rsid w:val="185B3AC5"/>
    <w:rsid w:val="1861263E"/>
    <w:rsid w:val="18722EE9"/>
    <w:rsid w:val="18952734"/>
    <w:rsid w:val="18954E2A"/>
    <w:rsid w:val="18F002B2"/>
    <w:rsid w:val="1912647A"/>
    <w:rsid w:val="194C4B1E"/>
    <w:rsid w:val="19704F4F"/>
    <w:rsid w:val="199724DC"/>
    <w:rsid w:val="19F403FE"/>
    <w:rsid w:val="1A183A2C"/>
    <w:rsid w:val="1A5403CD"/>
    <w:rsid w:val="1A872550"/>
    <w:rsid w:val="1AB5530F"/>
    <w:rsid w:val="1B7F17B8"/>
    <w:rsid w:val="1B966EEF"/>
    <w:rsid w:val="1C485404"/>
    <w:rsid w:val="1C5C2592"/>
    <w:rsid w:val="1C6F14EE"/>
    <w:rsid w:val="1CB8293F"/>
    <w:rsid w:val="1CCE8FF4"/>
    <w:rsid w:val="1CD405E8"/>
    <w:rsid w:val="1D514F31"/>
    <w:rsid w:val="1D5900B3"/>
    <w:rsid w:val="1DA04055"/>
    <w:rsid w:val="1DB46F57"/>
    <w:rsid w:val="1DC00253"/>
    <w:rsid w:val="1DD17640"/>
    <w:rsid w:val="1E197963"/>
    <w:rsid w:val="1E627445"/>
    <w:rsid w:val="1E635082"/>
    <w:rsid w:val="1ECD7594"/>
    <w:rsid w:val="1EF73529"/>
    <w:rsid w:val="1F0979D8"/>
    <w:rsid w:val="1F134CFA"/>
    <w:rsid w:val="1F264A2D"/>
    <w:rsid w:val="1F773322"/>
    <w:rsid w:val="1F822CC8"/>
    <w:rsid w:val="1F9B9832"/>
    <w:rsid w:val="1FBC78A6"/>
    <w:rsid w:val="1FFB22B4"/>
    <w:rsid w:val="1FFD87C2"/>
    <w:rsid w:val="203211B0"/>
    <w:rsid w:val="206F63C1"/>
    <w:rsid w:val="208B3AD2"/>
    <w:rsid w:val="208E288A"/>
    <w:rsid w:val="20EC135F"/>
    <w:rsid w:val="213F5933"/>
    <w:rsid w:val="22010FDF"/>
    <w:rsid w:val="222A0391"/>
    <w:rsid w:val="2256394C"/>
    <w:rsid w:val="22D62B46"/>
    <w:rsid w:val="22E42C35"/>
    <w:rsid w:val="231A0E2B"/>
    <w:rsid w:val="23380D7F"/>
    <w:rsid w:val="234611FA"/>
    <w:rsid w:val="234C0FFE"/>
    <w:rsid w:val="235021D1"/>
    <w:rsid w:val="241F4665"/>
    <w:rsid w:val="243C084F"/>
    <w:rsid w:val="2451577E"/>
    <w:rsid w:val="24561911"/>
    <w:rsid w:val="251D505B"/>
    <w:rsid w:val="251F0149"/>
    <w:rsid w:val="255049DB"/>
    <w:rsid w:val="257C1690"/>
    <w:rsid w:val="26300A37"/>
    <w:rsid w:val="26B5545E"/>
    <w:rsid w:val="272B62A8"/>
    <w:rsid w:val="272C0707"/>
    <w:rsid w:val="27A6670B"/>
    <w:rsid w:val="27BA03A4"/>
    <w:rsid w:val="27C313CD"/>
    <w:rsid w:val="27E40710"/>
    <w:rsid w:val="283A32F8"/>
    <w:rsid w:val="28575C58"/>
    <w:rsid w:val="28742B21"/>
    <w:rsid w:val="28CF3A40"/>
    <w:rsid w:val="28F9286B"/>
    <w:rsid w:val="29424212"/>
    <w:rsid w:val="296879F1"/>
    <w:rsid w:val="29B45AEC"/>
    <w:rsid w:val="29D137E8"/>
    <w:rsid w:val="29EE439A"/>
    <w:rsid w:val="2A3864A5"/>
    <w:rsid w:val="2A3A7F62"/>
    <w:rsid w:val="2ACE1611"/>
    <w:rsid w:val="2ADD386F"/>
    <w:rsid w:val="2B8C3C52"/>
    <w:rsid w:val="2BA44D80"/>
    <w:rsid w:val="2BDB636C"/>
    <w:rsid w:val="2C2B2925"/>
    <w:rsid w:val="2C3A5674"/>
    <w:rsid w:val="2C725E4A"/>
    <w:rsid w:val="2C8C37FE"/>
    <w:rsid w:val="2CEF05C1"/>
    <w:rsid w:val="2D180861"/>
    <w:rsid w:val="2D5704A8"/>
    <w:rsid w:val="2D8D0F3A"/>
    <w:rsid w:val="2DAE631A"/>
    <w:rsid w:val="2E1D1132"/>
    <w:rsid w:val="2E7445BD"/>
    <w:rsid w:val="2EC26CB2"/>
    <w:rsid w:val="2EC909AF"/>
    <w:rsid w:val="2ED27DE6"/>
    <w:rsid w:val="2F4E65F1"/>
    <w:rsid w:val="2F5415C1"/>
    <w:rsid w:val="2FD33BF2"/>
    <w:rsid w:val="308710A4"/>
    <w:rsid w:val="30A12166"/>
    <w:rsid w:val="30DD2A72"/>
    <w:rsid w:val="30DE5FE4"/>
    <w:rsid w:val="329D4BAF"/>
    <w:rsid w:val="32A30067"/>
    <w:rsid w:val="32A95302"/>
    <w:rsid w:val="32FC5A8C"/>
    <w:rsid w:val="337F6063"/>
    <w:rsid w:val="338C130E"/>
    <w:rsid w:val="33995133"/>
    <w:rsid w:val="33A332EF"/>
    <w:rsid w:val="33BF2903"/>
    <w:rsid w:val="33C95001"/>
    <w:rsid w:val="33EB0FBE"/>
    <w:rsid w:val="33F17CED"/>
    <w:rsid w:val="341D48A3"/>
    <w:rsid w:val="34311A53"/>
    <w:rsid w:val="345B6AD0"/>
    <w:rsid w:val="34AF6E27"/>
    <w:rsid w:val="34C10220"/>
    <w:rsid w:val="34D67F04"/>
    <w:rsid w:val="34FF56AD"/>
    <w:rsid w:val="355025D0"/>
    <w:rsid w:val="35CA19F8"/>
    <w:rsid w:val="35D4129D"/>
    <w:rsid w:val="35DF17FA"/>
    <w:rsid w:val="36158D79"/>
    <w:rsid w:val="36533F59"/>
    <w:rsid w:val="36AF3103"/>
    <w:rsid w:val="37CC7CC7"/>
    <w:rsid w:val="380B1C33"/>
    <w:rsid w:val="383E19B6"/>
    <w:rsid w:val="390037A2"/>
    <w:rsid w:val="396519FE"/>
    <w:rsid w:val="39E82BB3"/>
    <w:rsid w:val="3A7FDEED"/>
    <w:rsid w:val="3AB14E2B"/>
    <w:rsid w:val="3ABF0409"/>
    <w:rsid w:val="3AEEF66E"/>
    <w:rsid w:val="3AF78246"/>
    <w:rsid w:val="3B273F0F"/>
    <w:rsid w:val="3B43343F"/>
    <w:rsid w:val="3B8D2885"/>
    <w:rsid w:val="3BAE3989"/>
    <w:rsid w:val="3BC460DE"/>
    <w:rsid w:val="3BF07952"/>
    <w:rsid w:val="3BF34868"/>
    <w:rsid w:val="3C5A141B"/>
    <w:rsid w:val="3C7D17BD"/>
    <w:rsid w:val="3C9C1A33"/>
    <w:rsid w:val="3CBB4689"/>
    <w:rsid w:val="3CFF4832"/>
    <w:rsid w:val="3D0C4E0B"/>
    <w:rsid w:val="3D3E0E74"/>
    <w:rsid w:val="3D4F12A7"/>
    <w:rsid w:val="3D583BAC"/>
    <w:rsid w:val="3D9602DB"/>
    <w:rsid w:val="3DB17760"/>
    <w:rsid w:val="3DB710DB"/>
    <w:rsid w:val="3DBBB047"/>
    <w:rsid w:val="3DD60F75"/>
    <w:rsid w:val="3DDF42CD"/>
    <w:rsid w:val="3DFC07C5"/>
    <w:rsid w:val="3E330ACA"/>
    <w:rsid w:val="3F283A52"/>
    <w:rsid w:val="3F4256E1"/>
    <w:rsid w:val="3F544847"/>
    <w:rsid w:val="3F6FB4CD"/>
    <w:rsid w:val="3F7F4B98"/>
    <w:rsid w:val="3F827606"/>
    <w:rsid w:val="3FAD456A"/>
    <w:rsid w:val="3FBAC2EA"/>
    <w:rsid w:val="3FD140EA"/>
    <w:rsid w:val="3FDF0361"/>
    <w:rsid w:val="3FDFB4B6"/>
    <w:rsid w:val="3FF75D29"/>
    <w:rsid w:val="3FFF6ED9"/>
    <w:rsid w:val="40CB44EA"/>
    <w:rsid w:val="417F4E32"/>
    <w:rsid w:val="425B6370"/>
    <w:rsid w:val="42B555FD"/>
    <w:rsid w:val="42B9574A"/>
    <w:rsid w:val="42DE0FF8"/>
    <w:rsid w:val="42EC16DC"/>
    <w:rsid w:val="43280190"/>
    <w:rsid w:val="434150E2"/>
    <w:rsid w:val="434734D5"/>
    <w:rsid w:val="434D3A87"/>
    <w:rsid w:val="439B2A45"/>
    <w:rsid w:val="445B21D4"/>
    <w:rsid w:val="447C2876"/>
    <w:rsid w:val="44B9324F"/>
    <w:rsid w:val="44C267EF"/>
    <w:rsid w:val="44F25044"/>
    <w:rsid w:val="456F4189"/>
    <w:rsid w:val="45AE2B4D"/>
    <w:rsid w:val="45C269AF"/>
    <w:rsid w:val="45DE4E6B"/>
    <w:rsid w:val="464F2FBF"/>
    <w:rsid w:val="466566A6"/>
    <w:rsid w:val="4669507C"/>
    <w:rsid w:val="468D3EB2"/>
    <w:rsid w:val="46A61876"/>
    <w:rsid w:val="46C90EEB"/>
    <w:rsid w:val="46D712D2"/>
    <w:rsid w:val="47372A84"/>
    <w:rsid w:val="475A7C56"/>
    <w:rsid w:val="47E66DF9"/>
    <w:rsid w:val="47F72214"/>
    <w:rsid w:val="48276F9D"/>
    <w:rsid w:val="4896054D"/>
    <w:rsid w:val="49920446"/>
    <w:rsid w:val="49EF45FB"/>
    <w:rsid w:val="49FC20A6"/>
    <w:rsid w:val="4B3C2D5F"/>
    <w:rsid w:val="4B591C6B"/>
    <w:rsid w:val="4BAF3531"/>
    <w:rsid w:val="4BC052C6"/>
    <w:rsid w:val="4BE07B8E"/>
    <w:rsid w:val="4C131ABE"/>
    <w:rsid w:val="4C7A57C1"/>
    <w:rsid w:val="4CDF5367"/>
    <w:rsid w:val="4CEB2AC3"/>
    <w:rsid w:val="4CEE62DB"/>
    <w:rsid w:val="4DCD63E7"/>
    <w:rsid w:val="4E193EAD"/>
    <w:rsid w:val="4E8C2811"/>
    <w:rsid w:val="4EFB6A8D"/>
    <w:rsid w:val="4F153AA3"/>
    <w:rsid w:val="4F170983"/>
    <w:rsid w:val="4F18763F"/>
    <w:rsid w:val="4F343D4D"/>
    <w:rsid w:val="4F9842DC"/>
    <w:rsid w:val="4FB07878"/>
    <w:rsid w:val="4FC13833"/>
    <w:rsid w:val="4FE5334A"/>
    <w:rsid w:val="500D4E45"/>
    <w:rsid w:val="5062621F"/>
    <w:rsid w:val="507A1C34"/>
    <w:rsid w:val="50874A7C"/>
    <w:rsid w:val="51090D81"/>
    <w:rsid w:val="51164525"/>
    <w:rsid w:val="513C1505"/>
    <w:rsid w:val="519A258E"/>
    <w:rsid w:val="52174B72"/>
    <w:rsid w:val="5224454D"/>
    <w:rsid w:val="526945D1"/>
    <w:rsid w:val="528B773D"/>
    <w:rsid w:val="52AB4326"/>
    <w:rsid w:val="52B95784"/>
    <w:rsid w:val="53146370"/>
    <w:rsid w:val="53560B84"/>
    <w:rsid w:val="536C7F5A"/>
    <w:rsid w:val="5393482C"/>
    <w:rsid w:val="53EE4E13"/>
    <w:rsid w:val="53FF4981"/>
    <w:rsid w:val="54336639"/>
    <w:rsid w:val="543F741C"/>
    <w:rsid w:val="54633103"/>
    <w:rsid w:val="54E029AD"/>
    <w:rsid w:val="54EE24E8"/>
    <w:rsid w:val="550D64A7"/>
    <w:rsid w:val="556E620B"/>
    <w:rsid w:val="558C1EE7"/>
    <w:rsid w:val="55B50141"/>
    <w:rsid w:val="55BD2CEE"/>
    <w:rsid w:val="55DB4F23"/>
    <w:rsid w:val="55FB8FC0"/>
    <w:rsid w:val="563D3E2F"/>
    <w:rsid w:val="566C0C71"/>
    <w:rsid w:val="567FB95D"/>
    <w:rsid w:val="56AD768C"/>
    <w:rsid w:val="56C500AD"/>
    <w:rsid w:val="56DC3BA7"/>
    <w:rsid w:val="56F530B6"/>
    <w:rsid w:val="574B2280"/>
    <w:rsid w:val="575F63AD"/>
    <w:rsid w:val="57763155"/>
    <w:rsid w:val="578F33DD"/>
    <w:rsid w:val="57D936E4"/>
    <w:rsid w:val="57E02CC4"/>
    <w:rsid w:val="58093FC9"/>
    <w:rsid w:val="58331046"/>
    <w:rsid w:val="58582CE8"/>
    <w:rsid w:val="588C0756"/>
    <w:rsid w:val="58CE56E3"/>
    <w:rsid w:val="58E42BBD"/>
    <w:rsid w:val="59253085"/>
    <w:rsid w:val="59282283"/>
    <w:rsid w:val="597D50D4"/>
    <w:rsid w:val="59DD395F"/>
    <w:rsid w:val="59FE72A4"/>
    <w:rsid w:val="5A2C0443"/>
    <w:rsid w:val="5A2F3A8F"/>
    <w:rsid w:val="5A3317D1"/>
    <w:rsid w:val="5A517EA9"/>
    <w:rsid w:val="5A80087F"/>
    <w:rsid w:val="5B157129"/>
    <w:rsid w:val="5B5B6EAA"/>
    <w:rsid w:val="5B99525C"/>
    <w:rsid w:val="5BAF1236"/>
    <w:rsid w:val="5C56151C"/>
    <w:rsid w:val="5C8207EE"/>
    <w:rsid w:val="5D2C42B6"/>
    <w:rsid w:val="5D3FD461"/>
    <w:rsid w:val="5D64347F"/>
    <w:rsid w:val="5D9E1657"/>
    <w:rsid w:val="5DBC0A67"/>
    <w:rsid w:val="5DCC42AC"/>
    <w:rsid w:val="5E023547"/>
    <w:rsid w:val="5E3061C1"/>
    <w:rsid w:val="5E4E04F4"/>
    <w:rsid w:val="5E711EFD"/>
    <w:rsid w:val="5EFD23AE"/>
    <w:rsid w:val="5EFF0C8B"/>
    <w:rsid w:val="5F505E02"/>
    <w:rsid w:val="5F5521EA"/>
    <w:rsid w:val="5F7C7776"/>
    <w:rsid w:val="5F7F25FA"/>
    <w:rsid w:val="5FED5AF5"/>
    <w:rsid w:val="5FF5C8F6"/>
    <w:rsid w:val="5FFCBFA2"/>
    <w:rsid w:val="5FFFCAD2"/>
    <w:rsid w:val="605B62FF"/>
    <w:rsid w:val="610B7004"/>
    <w:rsid w:val="61355E2F"/>
    <w:rsid w:val="618C17C7"/>
    <w:rsid w:val="61BE5E24"/>
    <w:rsid w:val="622F6979"/>
    <w:rsid w:val="6270003D"/>
    <w:rsid w:val="632B573B"/>
    <w:rsid w:val="63422A85"/>
    <w:rsid w:val="635C3B47"/>
    <w:rsid w:val="63676048"/>
    <w:rsid w:val="63B77210"/>
    <w:rsid w:val="6401649C"/>
    <w:rsid w:val="64106531"/>
    <w:rsid w:val="642D54E3"/>
    <w:rsid w:val="64CD66B2"/>
    <w:rsid w:val="651F307E"/>
    <w:rsid w:val="65A21E2E"/>
    <w:rsid w:val="65B53736"/>
    <w:rsid w:val="663E7534"/>
    <w:rsid w:val="66A7157D"/>
    <w:rsid w:val="66B6356E"/>
    <w:rsid w:val="66D90133"/>
    <w:rsid w:val="66F83B86"/>
    <w:rsid w:val="66FFC11E"/>
    <w:rsid w:val="670D624C"/>
    <w:rsid w:val="680211A9"/>
    <w:rsid w:val="68466B73"/>
    <w:rsid w:val="68DB613C"/>
    <w:rsid w:val="68DB72BC"/>
    <w:rsid w:val="69132EFA"/>
    <w:rsid w:val="6922138F"/>
    <w:rsid w:val="692E7D33"/>
    <w:rsid w:val="693115D2"/>
    <w:rsid w:val="69CE5072"/>
    <w:rsid w:val="69D34437"/>
    <w:rsid w:val="6A040A94"/>
    <w:rsid w:val="6A707176"/>
    <w:rsid w:val="6A7B3FB3"/>
    <w:rsid w:val="6AC077B6"/>
    <w:rsid w:val="6B1B3A0D"/>
    <w:rsid w:val="6B464BBC"/>
    <w:rsid w:val="6BAD2A66"/>
    <w:rsid w:val="6BEC66CE"/>
    <w:rsid w:val="6BFDC5ED"/>
    <w:rsid w:val="6BFF59B7"/>
    <w:rsid w:val="6C256AA0"/>
    <w:rsid w:val="6C613F7C"/>
    <w:rsid w:val="6C9C1458"/>
    <w:rsid w:val="6CAD0F6F"/>
    <w:rsid w:val="6CD92E29"/>
    <w:rsid w:val="6D633291"/>
    <w:rsid w:val="6DC42A14"/>
    <w:rsid w:val="6E0A419F"/>
    <w:rsid w:val="6E30696B"/>
    <w:rsid w:val="6E3A1BF1"/>
    <w:rsid w:val="6E533D98"/>
    <w:rsid w:val="6E564C1D"/>
    <w:rsid w:val="6E82642B"/>
    <w:rsid w:val="6EC06CF4"/>
    <w:rsid w:val="6ED742C8"/>
    <w:rsid w:val="6EEB76D5"/>
    <w:rsid w:val="6EEE3AC1"/>
    <w:rsid w:val="6EF926A7"/>
    <w:rsid w:val="6F691811"/>
    <w:rsid w:val="6F6A3147"/>
    <w:rsid w:val="6F74272E"/>
    <w:rsid w:val="6F7C6D05"/>
    <w:rsid w:val="6F9B97EC"/>
    <w:rsid w:val="6FA36659"/>
    <w:rsid w:val="6FA91512"/>
    <w:rsid w:val="6FBE278D"/>
    <w:rsid w:val="6FC5F97A"/>
    <w:rsid w:val="708C17E3"/>
    <w:rsid w:val="70F46292"/>
    <w:rsid w:val="714B4C50"/>
    <w:rsid w:val="71555718"/>
    <w:rsid w:val="7169742F"/>
    <w:rsid w:val="72225268"/>
    <w:rsid w:val="72785B7B"/>
    <w:rsid w:val="72AB2687"/>
    <w:rsid w:val="72D60AF4"/>
    <w:rsid w:val="73165530"/>
    <w:rsid w:val="731A3FEC"/>
    <w:rsid w:val="73221F8B"/>
    <w:rsid w:val="736D1458"/>
    <w:rsid w:val="73BE496B"/>
    <w:rsid w:val="73FFED99"/>
    <w:rsid w:val="74190BE5"/>
    <w:rsid w:val="744114FF"/>
    <w:rsid w:val="744A1799"/>
    <w:rsid w:val="74707431"/>
    <w:rsid w:val="748A646C"/>
    <w:rsid w:val="748F53FE"/>
    <w:rsid w:val="74962C31"/>
    <w:rsid w:val="75247824"/>
    <w:rsid w:val="752D5343"/>
    <w:rsid w:val="75750A98"/>
    <w:rsid w:val="758B555C"/>
    <w:rsid w:val="75C9000B"/>
    <w:rsid w:val="761402B1"/>
    <w:rsid w:val="762448B6"/>
    <w:rsid w:val="7642733C"/>
    <w:rsid w:val="764674AD"/>
    <w:rsid w:val="76530DD9"/>
    <w:rsid w:val="767B7B17"/>
    <w:rsid w:val="76877A70"/>
    <w:rsid w:val="76967FC0"/>
    <w:rsid w:val="76B178AE"/>
    <w:rsid w:val="76B274CD"/>
    <w:rsid w:val="76C577FD"/>
    <w:rsid w:val="76EC08E6"/>
    <w:rsid w:val="76FA1255"/>
    <w:rsid w:val="773F16B0"/>
    <w:rsid w:val="77497D0A"/>
    <w:rsid w:val="77D01E63"/>
    <w:rsid w:val="77D91717"/>
    <w:rsid w:val="78054355"/>
    <w:rsid w:val="79555DEE"/>
    <w:rsid w:val="795659E2"/>
    <w:rsid w:val="797E7A29"/>
    <w:rsid w:val="79E461EC"/>
    <w:rsid w:val="79FC0CFE"/>
    <w:rsid w:val="7A234266"/>
    <w:rsid w:val="7A3D0418"/>
    <w:rsid w:val="7A4B0019"/>
    <w:rsid w:val="7AB14320"/>
    <w:rsid w:val="7AD07E8A"/>
    <w:rsid w:val="7AE04C06"/>
    <w:rsid w:val="7B0C59FB"/>
    <w:rsid w:val="7B1E128A"/>
    <w:rsid w:val="7B5A5DBB"/>
    <w:rsid w:val="7B5D3F1C"/>
    <w:rsid w:val="7B6322B5"/>
    <w:rsid w:val="7BC01C9A"/>
    <w:rsid w:val="7BDF09E9"/>
    <w:rsid w:val="7BF5BBAE"/>
    <w:rsid w:val="7BFD1DDF"/>
    <w:rsid w:val="7BFFC847"/>
    <w:rsid w:val="7C0C230E"/>
    <w:rsid w:val="7C232FFC"/>
    <w:rsid w:val="7C324FED"/>
    <w:rsid w:val="7C7D5A81"/>
    <w:rsid w:val="7C9C621F"/>
    <w:rsid w:val="7CA61568"/>
    <w:rsid w:val="7CED1F1F"/>
    <w:rsid w:val="7CF02FDB"/>
    <w:rsid w:val="7D083FA0"/>
    <w:rsid w:val="7D1943FF"/>
    <w:rsid w:val="7D472D1A"/>
    <w:rsid w:val="7D5A0EF2"/>
    <w:rsid w:val="7D893333"/>
    <w:rsid w:val="7DE20C95"/>
    <w:rsid w:val="7DEB5335"/>
    <w:rsid w:val="7DEFCE5D"/>
    <w:rsid w:val="7DFFC509"/>
    <w:rsid w:val="7E3F83AE"/>
    <w:rsid w:val="7E7F1055"/>
    <w:rsid w:val="7E8B5CAE"/>
    <w:rsid w:val="7EA360F3"/>
    <w:rsid w:val="7EB548D6"/>
    <w:rsid w:val="7EEC75F6"/>
    <w:rsid w:val="7EF46ED2"/>
    <w:rsid w:val="7EFE1AFE"/>
    <w:rsid w:val="7F08297D"/>
    <w:rsid w:val="7F2E22E0"/>
    <w:rsid w:val="7F59987A"/>
    <w:rsid w:val="7F6D52C1"/>
    <w:rsid w:val="7F7E49ED"/>
    <w:rsid w:val="7FB0104A"/>
    <w:rsid w:val="7FCFE228"/>
    <w:rsid w:val="7FFD3801"/>
    <w:rsid w:val="7FFFB774"/>
    <w:rsid w:val="9AE6B885"/>
    <w:rsid w:val="ABFCBF82"/>
    <w:rsid w:val="AF7B8F19"/>
    <w:rsid w:val="B6F72BDB"/>
    <w:rsid w:val="B7D3BE1A"/>
    <w:rsid w:val="B7FDC63E"/>
    <w:rsid w:val="BBF9E8E4"/>
    <w:rsid w:val="BDF7034F"/>
    <w:rsid w:val="BF7FB90F"/>
    <w:rsid w:val="BF8E147C"/>
    <w:rsid w:val="BF9F2CC7"/>
    <w:rsid w:val="BFD9A7ED"/>
    <w:rsid w:val="BFF19243"/>
    <w:rsid w:val="BFFF22C8"/>
    <w:rsid w:val="CBEF0251"/>
    <w:rsid w:val="CFCE55EB"/>
    <w:rsid w:val="D7D593EF"/>
    <w:rsid w:val="D7DA82CE"/>
    <w:rsid w:val="D7FF0AD7"/>
    <w:rsid w:val="D9DCA516"/>
    <w:rsid w:val="DC5F06A4"/>
    <w:rsid w:val="DD76B914"/>
    <w:rsid w:val="DDC329E2"/>
    <w:rsid w:val="E5BE0634"/>
    <w:rsid w:val="EB79DD54"/>
    <w:rsid w:val="EDB631DB"/>
    <w:rsid w:val="EDF3050A"/>
    <w:rsid w:val="EDFDF039"/>
    <w:rsid w:val="EF7BC7B3"/>
    <w:rsid w:val="EFFFEE7C"/>
    <w:rsid w:val="F3FB2FEC"/>
    <w:rsid w:val="F45A9DFE"/>
    <w:rsid w:val="F7DBA5B1"/>
    <w:rsid w:val="F8FC9B0E"/>
    <w:rsid w:val="FA7FC9D6"/>
    <w:rsid w:val="FB770F42"/>
    <w:rsid w:val="FB7ADAFE"/>
    <w:rsid w:val="FBCFF0FD"/>
    <w:rsid w:val="FBE73BE3"/>
    <w:rsid w:val="FBF51F98"/>
    <w:rsid w:val="FC9DAA65"/>
    <w:rsid w:val="FD6F6378"/>
    <w:rsid w:val="FD7F98A4"/>
    <w:rsid w:val="FE178104"/>
    <w:rsid w:val="FE6E201B"/>
    <w:rsid w:val="FE9FDD07"/>
    <w:rsid w:val="FF1BAD5A"/>
    <w:rsid w:val="FF7BD172"/>
    <w:rsid w:val="FF7F4080"/>
    <w:rsid w:val="FFAADE33"/>
    <w:rsid w:val="FFAD65DD"/>
    <w:rsid w:val="FFBB56CB"/>
    <w:rsid w:val="FFCFCBBE"/>
    <w:rsid w:val="FFDB525E"/>
    <w:rsid w:val="FFDC108D"/>
    <w:rsid w:val="FFED17B5"/>
    <w:rsid w:val="FFF25BF0"/>
    <w:rsid w:val="FFF7B381"/>
    <w:rsid w:val="FFFA5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6"/>
    <w:basedOn w:val="1"/>
    <w:next w:val="1"/>
    <w:qFormat/>
    <w:uiPriority w:val="0"/>
    <w:pPr>
      <w:keepNext/>
      <w:keepLines/>
      <w:spacing w:line="360" w:lineRule="auto"/>
      <w:outlineLvl w:val="5"/>
    </w:pPr>
    <w:rPr>
      <w:b/>
      <w:bCs/>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8"/>
    <w:unhideWhenUsed/>
    <w:qFormat/>
    <w:uiPriority w:val="0"/>
    <w:pPr>
      <w:spacing w:after="120"/>
    </w:pPr>
  </w:style>
  <w:style w:type="paragraph" w:styleId="8">
    <w:name w:val="Body Text 2"/>
    <w:basedOn w:val="1"/>
    <w:unhideWhenUsed/>
    <w:qFormat/>
    <w:uiPriority w:val="0"/>
    <w:pPr>
      <w:spacing w:after="120" w:line="480" w:lineRule="auto"/>
    </w:pPr>
  </w:style>
  <w:style w:type="paragraph" w:styleId="9">
    <w:name w:val="Body Text Indent"/>
    <w:basedOn w:val="1"/>
    <w:next w:val="1"/>
    <w:qFormat/>
    <w:uiPriority w:val="0"/>
    <w:pPr>
      <w:ind w:firstLine="830" w:firstLineChars="352"/>
    </w:pPr>
    <w:rPr>
      <w:rFonts w:ascii="仿宋_GB2312" w:eastAsia="仿宋_GB2312"/>
      <w:kern w:val="0"/>
      <w:sz w:val="32"/>
      <w:szCs w:val="20"/>
    </w:rPr>
  </w:style>
  <w:style w:type="paragraph" w:styleId="10">
    <w:name w:val="List 2"/>
    <w:basedOn w:val="1"/>
    <w:unhideWhenUsed/>
    <w:qFormat/>
    <w:uiPriority w:val="99"/>
    <w:pPr>
      <w:ind w:left="100" w:leftChars="200" w:hanging="200" w:hangingChars="200"/>
      <w:contextualSpacing/>
    </w:pPr>
  </w:style>
  <w:style w:type="paragraph" w:styleId="11">
    <w:name w:val="Plain Text"/>
    <w:basedOn w:val="1"/>
    <w:next w:val="1"/>
    <w:qFormat/>
    <w:uiPriority w:val="0"/>
    <w:rPr>
      <w:rFonts w:ascii="宋体" w:hAnsi="Courier New"/>
      <w:kern w:val="0"/>
      <w:sz w:val="20"/>
      <w:szCs w:val="21"/>
    </w:rPr>
  </w:style>
  <w:style w:type="paragraph" w:styleId="12">
    <w:name w:val="Balloon Text"/>
    <w:basedOn w:val="1"/>
    <w:link w:val="28"/>
    <w:qFormat/>
    <w:uiPriority w:val="0"/>
    <w:rPr>
      <w:sz w:val="18"/>
      <w:szCs w:val="18"/>
    </w:rPr>
  </w:style>
  <w:style w:type="paragraph" w:styleId="13">
    <w:name w:val="footer"/>
    <w:basedOn w:val="1"/>
    <w:unhideWhenUsed/>
    <w:qFormat/>
    <w:uiPriority w:val="99"/>
    <w:pPr>
      <w:tabs>
        <w:tab w:val="center" w:pos="4153"/>
        <w:tab w:val="right" w:pos="8306"/>
      </w:tabs>
      <w:snapToGrid w:val="0"/>
      <w:jc w:val="left"/>
    </w:pPr>
    <w:rPr>
      <w:kern w:val="0"/>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List"/>
    <w:basedOn w:val="1"/>
    <w:qFormat/>
    <w:uiPriority w:val="0"/>
    <w:pPr>
      <w:ind w:left="200" w:hanging="200" w:hangingChars="200"/>
    </w:pPr>
    <w:rPr>
      <w:sz w:val="28"/>
    </w:rPr>
  </w:style>
  <w:style w:type="paragraph" w:styleId="16">
    <w:name w:val="toc 2"/>
    <w:basedOn w:val="1"/>
    <w:next w:val="1"/>
    <w:unhideWhenUsed/>
    <w:qFormat/>
    <w:uiPriority w:val="39"/>
    <w:pPr>
      <w:tabs>
        <w:tab w:val="right" w:leader="dot" w:pos="8296"/>
      </w:tabs>
      <w:ind w:left="420" w:leftChars="200"/>
    </w:pPr>
  </w:style>
  <w:style w:type="paragraph" w:styleId="17">
    <w:name w:val="Normal (Web)"/>
    <w:basedOn w:val="1"/>
    <w:qFormat/>
    <w:uiPriority w:val="0"/>
    <w:rPr>
      <w:sz w:val="24"/>
    </w:rPr>
  </w:style>
  <w:style w:type="paragraph" w:styleId="18">
    <w:name w:val="Body Text First Indent 2"/>
    <w:basedOn w:val="9"/>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1">
    <w:name w:val="Strong"/>
    <w:basedOn w:val="20"/>
    <w:qFormat/>
    <w:uiPriority w:val="0"/>
    <w:rPr>
      <w:b/>
    </w:rPr>
  </w:style>
  <w:style w:type="character" w:styleId="22">
    <w:name w:val="page number"/>
    <w:basedOn w:val="20"/>
    <w:qFormat/>
    <w:uiPriority w:val="0"/>
  </w:style>
  <w:style w:type="character" w:styleId="23">
    <w:name w:val="Hyperlink"/>
    <w:basedOn w:val="20"/>
    <w:qFormat/>
    <w:uiPriority w:val="0"/>
    <w:rPr>
      <w:color w:val="0000FF"/>
      <w:u w:val="single"/>
    </w:rPr>
  </w:style>
  <w:style w:type="character" w:styleId="24">
    <w:name w:val="annotation reference"/>
    <w:basedOn w:val="20"/>
    <w:qFormat/>
    <w:uiPriority w:val="0"/>
    <w:rPr>
      <w:sz w:val="21"/>
      <w:szCs w:val="21"/>
    </w:rPr>
  </w:style>
  <w:style w:type="paragraph" w:customStyle="1" w:styleId="25">
    <w:name w:val="Body Text First Indent1"/>
    <w:basedOn w:val="13"/>
    <w:qFormat/>
    <w:uiPriority w:val="0"/>
    <w:pPr>
      <w:spacing w:line="360" w:lineRule="auto"/>
      <w:ind w:firstLine="420" w:firstLineChars="100"/>
    </w:pPr>
  </w:style>
  <w:style w:type="paragraph" w:customStyle="1" w:styleId="26">
    <w:name w:val="表格文字"/>
    <w:basedOn w:val="1"/>
    <w:next w:val="7"/>
    <w:qFormat/>
    <w:uiPriority w:val="0"/>
    <w:pPr>
      <w:spacing w:before="25" w:after="25"/>
      <w:jc w:val="left"/>
    </w:pPr>
    <w:rPr>
      <w:bCs/>
      <w:spacing w:val="10"/>
      <w:kern w:val="0"/>
      <w:sz w:val="24"/>
      <w:szCs w:val="20"/>
    </w:rPr>
  </w:style>
  <w:style w:type="character" w:customStyle="1" w:styleId="27">
    <w:name w:val="font11"/>
    <w:qFormat/>
    <w:uiPriority w:val="0"/>
    <w:rPr>
      <w:rFonts w:hint="eastAsia" w:ascii="微软雅黑" w:hAnsi="微软雅黑" w:eastAsia="微软雅黑" w:cs="微软雅黑"/>
      <w:color w:val="000000"/>
      <w:sz w:val="20"/>
      <w:szCs w:val="20"/>
      <w:u w:val="none"/>
    </w:rPr>
  </w:style>
  <w:style w:type="character" w:customStyle="1" w:styleId="28">
    <w:name w:val="批注框文本 Char"/>
    <w:basedOn w:val="20"/>
    <w:link w:val="1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45</Pages>
  <Words>1336</Words>
  <Characters>1419</Characters>
  <Lines>103</Lines>
  <Paragraphs>29</Paragraphs>
  <TotalTime>9</TotalTime>
  <ScaleCrop>false</ScaleCrop>
  <LinksUpToDate>false</LinksUpToDate>
  <CharactersWithSpaces>1478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2025-06-07T15:21:00Z</dcterms:created>
  <dc:creator>Administrator</dc:creator>
  <cp:lastModifiedBy>NTKO</cp:lastModifiedBy>
  <cp:lastPrinted>2025-08-05T07:21:00Z</cp:lastPrinted>
  <dcterms:modified xsi:type="dcterms:W3CDTF">2025-08-06T07:59:22Z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eyJoZGlkIjoiOTY2YzAyNmQ4MjVlYzA4NGE1YzkzODZiYWExZTM5MjcifQ==</vt:lpwstr>
  </property>
  <property fmtid="{D5CDD505-2E9C-101B-9397-08002B2CF9AE}" pid="4" name="ICV">
    <vt:lpwstr>0A436CEFD49B462E90FB718708DA0C61_12</vt:lpwstr>
  </property>
</Properties>
</file>