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E990BB">
      <w:pPr>
        <w:rPr>
          <w:highlight w:val="none"/>
        </w:rPr>
      </w:pPr>
    </w:p>
    <w:p w14:paraId="15C6931F">
      <w:pPr>
        <w:adjustRightInd w:val="0"/>
        <w:snapToGrid w:val="0"/>
        <w:spacing w:before="156" w:beforeLines="50" w:line="240" w:lineRule="auto"/>
        <w:jc w:val="center"/>
        <w:rPr>
          <w:rFonts w:hint="eastAsia" w:ascii="宋体" w:hAnsi="宋体" w:eastAsia="宋体" w:cs="宋体"/>
          <w:b/>
          <w:bCs/>
          <w:sz w:val="44"/>
          <w:szCs w:val="44"/>
          <w:highlight w:val="none"/>
          <w:lang w:eastAsia="zh-CN"/>
        </w:rPr>
      </w:pPr>
      <w:r>
        <w:rPr>
          <w:rFonts w:hint="eastAsia" w:ascii="宋体" w:hAnsi="宋体" w:eastAsia="宋体" w:cs="宋体"/>
          <w:b/>
          <w:bCs/>
          <w:sz w:val="44"/>
          <w:szCs w:val="44"/>
          <w:highlight w:val="none"/>
          <w:lang w:eastAsia="zh-CN"/>
        </w:rPr>
        <w:t>桂江（莲花大桥至桂江河口）航道扩建工程</w:t>
      </w:r>
    </w:p>
    <w:p w14:paraId="2371E53D">
      <w:pPr>
        <w:adjustRightInd w:val="0"/>
        <w:snapToGrid w:val="0"/>
        <w:spacing w:before="156" w:beforeLines="50" w:line="240" w:lineRule="auto"/>
        <w:jc w:val="center"/>
        <w:rPr>
          <w:rFonts w:hint="eastAsia" w:ascii="宋体" w:hAnsi="宋体" w:eastAsia="宋体" w:cs="宋体"/>
          <w:b/>
          <w:bCs/>
          <w:sz w:val="44"/>
          <w:szCs w:val="44"/>
          <w:highlight w:val="none"/>
          <w:lang w:eastAsia="zh-CN"/>
        </w:rPr>
      </w:pPr>
      <w:r>
        <w:rPr>
          <w:rFonts w:hint="eastAsia" w:ascii="宋体" w:hAnsi="宋体" w:eastAsia="宋体" w:cs="宋体"/>
          <w:b/>
          <w:bCs/>
          <w:sz w:val="44"/>
          <w:szCs w:val="44"/>
          <w:highlight w:val="none"/>
        </w:rPr>
        <w:t>工程可行性研究</w:t>
      </w:r>
      <w:r>
        <w:rPr>
          <w:rFonts w:hint="eastAsia" w:ascii="宋体" w:hAnsi="宋体" w:eastAsia="宋体" w:cs="宋体"/>
          <w:b/>
          <w:bCs/>
          <w:sz w:val="44"/>
          <w:szCs w:val="44"/>
          <w:highlight w:val="none"/>
          <w:lang w:eastAsia="zh-CN"/>
        </w:rPr>
        <w:t>服务</w:t>
      </w:r>
    </w:p>
    <w:p w14:paraId="0B49F4F1">
      <w:pPr>
        <w:snapToGrid w:val="0"/>
        <w:spacing w:before="156" w:beforeLines="50" w:line="360" w:lineRule="auto"/>
        <w:jc w:val="center"/>
        <w:rPr>
          <w:rFonts w:hint="eastAsia" w:ascii="黑体" w:hAnsi="黑体" w:eastAsia="黑体" w:cs="黑体"/>
          <w:sz w:val="72"/>
          <w:szCs w:val="72"/>
          <w:highlight w:val="none"/>
        </w:rPr>
      </w:pPr>
    </w:p>
    <w:p w14:paraId="2D151007">
      <w:pPr>
        <w:snapToGrid w:val="0"/>
        <w:spacing w:before="156" w:beforeLines="50" w:line="360" w:lineRule="auto"/>
        <w:jc w:val="center"/>
        <w:rPr>
          <w:rFonts w:hint="eastAsia" w:ascii="黑体" w:hAnsi="黑体" w:eastAsia="黑体" w:cs="黑体"/>
          <w:sz w:val="72"/>
          <w:szCs w:val="72"/>
          <w:highlight w:val="none"/>
          <w:lang w:eastAsia="zh-CN"/>
        </w:rPr>
      </w:pPr>
      <w:r>
        <w:rPr>
          <w:rFonts w:hint="eastAsia" w:ascii="黑体" w:hAnsi="黑体" w:eastAsia="黑体" w:cs="黑体"/>
          <w:sz w:val="72"/>
          <w:szCs w:val="72"/>
          <w:highlight w:val="none"/>
        </w:rPr>
        <w:t>采购</w:t>
      </w:r>
      <w:r>
        <w:rPr>
          <w:rFonts w:hint="eastAsia" w:ascii="黑体" w:hAnsi="黑体" w:eastAsia="黑体" w:cs="黑体"/>
          <w:sz w:val="72"/>
          <w:szCs w:val="72"/>
          <w:highlight w:val="none"/>
          <w:lang w:eastAsia="zh-CN"/>
        </w:rPr>
        <w:t>方案</w:t>
      </w:r>
    </w:p>
    <w:p w14:paraId="1C14B9FB">
      <w:pPr>
        <w:snapToGrid w:val="0"/>
        <w:spacing w:before="156" w:beforeLines="50" w:line="360" w:lineRule="auto"/>
        <w:jc w:val="center"/>
        <w:rPr>
          <w:rFonts w:hint="eastAsia" w:ascii="黑体" w:hAnsi="黑体" w:eastAsia="黑体" w:cs="黑体"/>
          <w:sz w:val="72"/>
          <w:szCs w:val="72"/>
          <w:highlight w:val="none"/>
        </w:rPr>
      </w:pPr>
    </w:p>
    <w:p w14:paraId="622F9910">
      <w:pPr>
        <w:spacing w:line="360" w:lineRule="auto"/>
        <w:jc w:val="center"/>
        <w:rPr>
          <w:rFonts w:hint="eastAsia" w:ascii="宋体" w:hAnsi="宋体"/>
          <w:b/>
          <w:sz w:val="32"/>
          <w:szCs w:val="32"/>
          <w:highlight w:val="none"/>
        </w:rPr>
      </w:pPr>
    </w:p>
    <w:p w14:paraId="570FF492">
      <w:pPr>
        <w:spacing w:line="480" w:lineRule="auto"/>
        <w:jc w:val="center"/>
        <w:rPr>
          <w:rFonts w:hint="eastAsia" w:ascii="宋体" w:hAnsi="宋体"/>
          <w:b/>
          <w:sz w:val="32"/>
          <w:szCs w:val="32"/>
          <w:highlight w:val="none"/>
        </w:rPr>
      </w:pPr>
    </w:p>
    <w:p w14:paraId="1A266540">
      <w:pPr>
        <w:pStyle w:val="32"/>
        <w:rPr>
          <w:rFonts w:hint="eastAsia" w:ascii="宋体" w:hAnsi="宋体"/>
          <w:b/>
          <w:sz w:val="32"/>
          <w:szCs w:val="32"/>
          <w:highlight w:val="none"/>
        </w:rPr>
      </w:pPr>
    </w:p>
    <w:p w14:paraId="4E07046B">
      <w:pPr>
        <w:spacing w:line="480" w:lineRule="auto"/>
        <w:ind w:firstLine="1285" w:firstLineChars="400"/>
        <w:rPr>
          <w:rFonts w:hint="eastAsia" w:ascii="仿宋_GB2312" w:hAnsi="宋体" w:eastAsia="仿宋_GB2312"/>
          <w:b/>
          <w:sz w:val="32"/>
          <w:szCs w:val="32"/>
          <w:highlight w:val="none"/>
        </w:rPr>
      </w:pPr>
    </w:p>
    <w:p w14:paraId="7E41513D">
      <w:pPr>
        <w:spacing w:line="360" w:lineRule="auto"/>
        <w:jc w:val="center"/>
        <w:rPr>
          <w:rFonts w:hint="eastAsia" w:ascii="宋体" w:hAnsi="宋体" w:cs="宋体"/>
          <w:b/>
          <w:sz w:val="32"/>
          <w:szCs w:val="32"/>
          <w:highlight w:val="none"/>
        </w:rPr>
      </w:pPr>
      <w:r>
        <w:rPr>
          <w:rFonts w:hint="eastAsia" w:ascii="宋体" w:hAnsi="宋体" w:cs="宋体"/>
          <w:b/>
          <w:sz w:val="32"/>
          <w:szCs w:val="32"/>
          <w:highlight w:val="none"/>
        </w:rPr>
        <w:t>采购人：广西壮族自治区港航发展中心</w:t>
      </w:r>
    </w:p>
    <w:p w14:paraId="2AD67F3B">
      <w:pPr>
        <w:spacing w:line="360" w:lineRule="auto"/>
        <w:jc w:val="center"/>
        <w:rPr>
          <w:rFonts w:hint="eastAsia" w:ascii="宋体" w:hAnsi="宋体" w:cs="宋体"/>
          <w:b/>
          <w:sz w:val="32"/>
          <w:szCs w:val="32"/>
          <w:highlight w:val="none"/>
        </w:rPr>
      </w:pPr>
      <w:r>
        <w:rPr>
          <w:rFonts w:hint="eastAsia" w:ascii="宋体" w:hAnsi="宋体" w:cs="宋体"/>
          <w:b/>
          <w:bCs/>
          <w:w w:val="95"/>
          <w:sz w:val="32"/>
          <w:szCs w:val="32"/>
          <w:highlight w:val="none"/>
        </w:rPr>
        <w:t>2025年</w:t>
      </w:r>
      <w:r>
        <w:rPr>
          <w:rFonts w:hint="eastAsia" w:ascii="宋体" w:hAnsi="宋体" w:cs="宋体"/>
          <w:b/>
          <w:bCs/>
          <w:w w:val="95"/>
          <w:sz w:val="32"/>
          <w:szCs w:val="32"/>
          <w:highlight w:val="none"/>
          <w:lang w:val="en-US" w:eastAsia="zh-CN"/>
        </w:rPr>
        <w:t>9</w:t>
      </w:r>
      <w:r>
        <w:rPr>
          <w:rFonts w:hint="eastAsia" w:ascii="宋体" w:hAnsi="宋体" w:cs="宋体"/>
          <w:b/>
          <w:bCs/>
          <w:w w:val="95"/>
          <w:sz w:val="32"/>
          <w:szCs w:val="32"/>
          <w:highlight w:val="none"/>
        </w:rPr>
        <w:t>月</w:t>
      </w:r>
    </w:p>
    <w:p w14:paraId="01DBCDD5">
      <w:pPr>
        <w:spacing w:line="360" w:lineRule="auto"/>
        <w:jc w:val="center"/>
        <w:rPr>
          <w:rFonts w:hint="eastAsia" w:ascii="宋体" w:hAnsi="宋体" w:cs="宋体"/>
          <w:b/>
          <w:bCs/>
          <w:kern w:val="0"/>
          <w:sz w:val="32"/>
          <w:szCs w:val="32"/>
          <w:highlight w:val="none"/>
        </w:rPr>
      </w:pPr>
    </w:p>
    <w:p w14:paraId="68741E39">
      <w:pPr>
        <w:pStyle w:val="21"/>
        <w:tabs>
          <w:tab w:val="right" w:leader="dot" w:pos="8931"/>
          <w:tab w:val="clear" w:pos="8296"/>
        </w:tabs>
        <w:adjustRightInd w:val="0"/>
        <w:snapToGrid w:val="0"/>
        <w:spacing w:line="264" w:lineRule="auto"/>
        <w:ind w:left="0" w:leftChars="0"/>
        <w:rPr>
          <w:rFonts w:hint="eastAsia" w:ascii="宋体" w:hAnsi="宋体"/>
          <w:b/>
          <w:sz w:val="32"/>
          <w:szCs w:val="32"/>
          <w:highlight w:val="none"/>
        </w:rPr>
      </w:pPr>
      <w:r>
        <w:rPr>
          <w:rFonts w:ascii="宋体" w:hAnsi="宋体"/>
          <w:b/>
          <w:sz w:val="44"/>
          <w:szCs w:val="44"/>
          <w:highlight w:val="none"/>
        </w:rPr>
        <w:br w:type="page"/>
      </w:r>
    </w:p>
    <w:sdt>
      <w:sdtPr>
        <w:rPr>
          <w:rFonts w:ascii="宋体" w:hAnsi="宋体" w:eastAsia="宋体" w:cs="Times New Roman"/>
          <w:kern w:val="2"/>
          <w:sz w:val="21"/>
          <w:szCs w:val="24"/>
          <w:lang w:val="en-US" w:eastAsia="zh-CN" w:bidi="ar-SA"/>
        </w:rPr>
        <w:id w:val="147480604"/>
        <w15:color w:val="DBDBDB"/>
        <w:docPartObj>
          <w:docPartGallery w:val="Table of Contents"/>
          <w:docPartUnique/>
        </w:docPartObj>
      </w:sdtPr>
      <w:sdtEndPr>
        <w:rPr>
          <w:rFonts w:hint="eastAsia" w:ascii="宋体" w:hAnsi="宋体" w:eastAsia="宋体" w:cs="Times New Roman"/>
          <w:kern w:val="2"/>
          <w:sz w:val="21"/>
          <w:szCs w:val="32"/>
          <w:highlight w:val="none"/>
          <w:lang w:val="en-US" w:eastAsia="zh-CN" w:bidi="ar-SA"/>
        </w:rPr>
      </w:sdtEndPr>
      <w:sdtContent>
        <w:p w14:paraId="274F682C">
          <w:pPr>
            <w:spacing w:before="0" w:beforeLines="0" w:after="0" w:afterLines="0" w:line="240" w:lineRule="auto"/>
            <w:ind w:left="0" w:leftChars="0" w:right="0" w:rightChars="0" w:firstLine="0" w:firstLineChars="0"/>
            <w:jc w:val="center"/>
          </w:pPr>
          <w:r>
            <w:rPr>
              <w:rFonts w:ascii="宋体" w:hAnsi="宋体" w:eastAsia="宋体"/>
              <w:b/>
              <w:bCs/>
              <w:sz w:val="32"/>
              <w:szCs w:val="32"/>
            </w:rPr>
            <w:t>目</w:t>
          </w:r>
          <w:r>
            <w:rPr>
              <w:rFonts w:hint="eastAsia" w:ascii="宋体" w:hAnsi="宋体"/>
              <w:b/>
              <w:bCs/>
              <w:sz w:val="32"/>
              <w:szCs w:val="32"/>
              <w:lang w:val="en-US" w:eastAsia="zh-CN"/>
            </w:rPr>
            <w:t xml:space="preserve"> </w:t>
          </w:r>
          <w:r>
            <w:rPr>
              <w:rFonts w:ascii="宋体" w:hAnsi="宋体" w:eastAsia="宋体"/>
              <w:b/>
              <w:bCs/>
              <w:sz w:val="32"/>
              <w:szCs w:val="32"/>
            </w:rPr>
            <w:t>录</w:t>
          </w:r>
        </w:p>
        <w:p w14:paraId="3B9ED063">
          <w:pPr>
            <w:pStyle w:val="19"/>
            <w:tabs>
              <w:tab w:val="right" w:leader="dot" w:pos="8879"/>
            </w:tabs>
            <w:rPr>
              <w:rFonts w:hint="eastAsia" w:ascii="宋体" w:hAnsi="宋体" w:cs="宋体"/>
            </w:rPr>
          </w:pPr>
          <w:r>
            <w:rPr>
              <w:rFonts w:hint="eastAsia" w:ascii="宋体" w:hAnsi="宋体" w:cs="宋体"/>
              <w:b/>
              <w:sz w:val="32"/>
              <w:szCs w:val="32"/>
              <w:highlight w:val="none"/>
            </w:rPr>
            <w:fldChar w:fldCharType="begin"/>
          </w:r>
          <w:r>
            <w:rPr>
              <w:rFonts w:hint="eastAsia" w:ascii="宋体" w:hAnsi="宋体" w:cs="宋体"/>
              <w:b/>
              <w:sz w:val="32"/>
              <w:szCs w:val="32"/>
              <w:highlight w:val="none"/>
            </w:rPr>
            <w:instrText xml:space="preserve">TOC \o "1-2" \h \u </w:instrText>
          </w:r>
          <w:r>
            <w:rPr>
              <w:rFonts w:hint="eastAsia" w:ascii="宋体" w:hAnsi="宋体" w:cs="宋体"/>
              <w:b/>
              <w:sz w:val="32"/>
              <w:szCs w:val="32"/>
              <w:highlight w:val="none"/>
            </w:rPr>
            <w:fldChar w:fldCharType="separate"/>
          </w:r>
          <w:r>
            <w:rPr>
              <w:rFonts w:hint="eastAsia" w:ascii="宋体" w:hAnsi="宋体" w:cs="宋体"/>
              <w:szCs w:val="32"/>
              <w:highlight w:val="none"/>
            </w:rPr>
            <w:fldChar w:fldCharType="begin"/>
          </w:r>
          <w:r>
            <w:rPr>
              <w:rFonts w:hint="eastAsia" w:ascii="宋体" w:hAnsi="宋体" w:cs="宋体"/>
              <w:szCs w:val="32"/>
              <w:highlight w:val="none"/>
            </w:rPr>
            <w:instrText xml:space="preserve"> HYPERLINK \l _Toc27074 </w:instrText>
          </w:r>
          <w:r>
            <w:rPr>
              <w:rFonts w:hint="eastAsia" w:ascii="宋体" w:hAnsi="宋体" w:cs="宋体"/>
              <w:szCs w:val="32"/>
              <w:highlight w:val="none"/>
            </w:rPr>
            <w:fldChar w:fldCharType="separate"/>
          </w:r>
          <w:r>
            <w:rPr>
              <w:rFonts w:hint="eastAsia" w:ascii="宋体" w:hAnsi="宋体" w:cs="宋体"/>
              <w:szCs w:val="28"/>
              <w:highlight w:val="none"/>
            </w:rPr>
            <w:t>第一章 采购</w:t>
          </w:r>
          <w:r>
            <w:rPr>
              <w:rFonts w:hint="eastAsia" w:ascii="宋体" w:hAnsi="宋体" w:cs="宋体"/>
              <w:szCs w:val="28"/>
              <w:highlight w:val="none"/>
              <w:lang w:eastAsia="zh-CN"/>
            </w:rPr>
            <w:t>方案</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_Toc27074 \h </w:instrText>
          </w:r>
          <w:r>
            <w:rPr>
              <w:rFonts w:hint="eastAsia" w:ascii="宋体" w:hAnsi="宋体" w:cs="宋体"/>
            </w:rPr>
            <w:fldChar w:fldCharType="separate"/>
          </w:r>
          <w:r>
            <w:rPr>
              <w:rFonts w:hint="eastAsia" w:ascii="宋体" w:hAnsi="宋体" w:cs="宋体"/>
            </w:rPr>
            <w:t>2</w:t>
          </w:r>
          <w:r>
            <w:rPr>
              <w:rFonts w:hint="eastAsia" w:ascii="宋体" w:hAnsi="宋体" w:cs="宋体"/>
            </w:rPr>
            <w:fldChar w:fldCharType="end"/>
          </w:r>
          <w:r>
            <w:rPr>
              <w:rFonts w:hint="eastAsia" w:ascii="宋体" w:hAnsi="宋体" w:cs="宋体"/>
              <w:szCs w:val="32"/>
              <w:highlight w:val="none"/>
            </w:rPr>
            <w:fldChar w:fldCharType="end"/>
          </w:r>
        </w:p>
        <w:p w14:paraId="3AEF1DF1">
          <w:pPr>
            <w:pStyle w:val="19"/>
            <w:tabs>
              <w:tab w:val="right" w:leader="dot" w:pos="8879"/>
            </w:tabs>
            <w:rPr>
              <w:rFonts w:hint="eastAsia" w:ascii="宋体" w:hAnsi="宋体" w:cs="宋体"/>
            </w:rPr>
          </w:pPr>
          <w:r>
            <w:rPr>
              <w:rFonts w:hint="eastAsia" w:ascii="宋体" w:hAnsi="宋体" w:cs="宋体"/>
              <w:szCs w:val="32"/>
              <w:highlight w:val="none"/>
            </w:rPr>
            <w:fldChar w:fldCharType="begin"/>
          </w:r>
          <w:r>
            <w:rPr>
              <w:rFonts w:hint="eastAsia" w:ascii="宋体" w:hAnsi="宋体" w:cs="宋体"/>
              <w:szCs w:val="32"/>
              <w:highlight w:val="none"/>
            </w:rPr>
            <w:instrText xml:space="preserve"> HYPERLINK \l _Toc15557 </w:instrText>
          </w:r>
          <w:r>
            <w:rPr>
              <w:rFonts w:hint="eastAsia" w:ascii="宋体" w:hAnsi="宋体" w:cs="宋体"/>
              <w:szCs w:val="32"/>
              <w:highlight w:val="none"/>
            </w:rPr>
            <w:fldChar w:fldCharType="separate"/>
          </w:r>
          <w:r>
            <w:rPr>
              <w:rFonts w:hint="eastAsia" w:ascii="宋体" w:hAnsi="宋体" w:cs="宋体"/>
              <w:szCs w:val="28"/>
              <w:highlight w:val="none"/>
            </w:rPr>
            <w:t>第二章 供应商须知</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_Toc15557 \h </w:instrText>
          </w:r>
          <w:r>
            <w:rPr>
              <w:rFonts w:hint="eastAsia" w:ascii="宋体" w:hAnsi="宋体" w:cs="宋体"/>
            </w:rPr>
            <w:fldChar w:fldCharType="separate"/>
          </w:r>
          <w:r>
            <w:rPr>
              <w:rFonts w:hint="eastAsia" w:ascii="宋体" w:hAnsi="宋体" w:cs="宋体"/>
            </w:rPr>
            <w:t>6</w:t>
          </w:r>
          <w:r>
            <w:rPr>
              <w:rFonts w:hint="eastAsia" w:ascii="宋体" w:hAnsi="宋体" w:cs="宋体"/>
            </w:rPr>
            <w:fldChar w:fldCharType="end"/>
          </w:r>
          <w:r>
            <w:rPr>
              <w:rFonts w:hint="eastAsia" w:ascii="宋体" w:hAnsi="宋体" w:cs="宋体"/>
              <w:szCs w:val="32"/>
              <w:highlight w:val="none"/>
            </w:rPr>
            <w:fldChar w:fldCharType="end"/>
          </w:r>
        </w:p>
        <w:p w14:paraId="680A3AC1">
          <w:pPr>
            <w:pStyle w:val="19"/>
            <w:tabs>
              <w:tab w:val="right" w:leader="dot" w:pos="8879"/>
            </w:tabs>
            <w:rPr>
              <w:rFonts w:hint="eastAsia" w:ascii="宋体" w:hAnsi="宋体" w:cs="宋体"/>
            </w:rPr>
          </w:pPr>
          <w:r>
            <w:rPr>
              <w:rFonts w:hint="eastAsia" w:ascii="宋体" w:hAnsi="宋体" w:cs="宋体"/>
              <w:szCs w:val="32"/>
              <w:highlight w:val="none"/>
            </w:rPr>
            <w:fldChar w:fldCharType="begin"/>
          </w:r>
          <w:r>
            <w:rPr>
              <w:rFonts w:hint="eastAsia" w:ascii="宋体" w:hAnsi="宋体" w:cs="宋体"/>
              <w:szCs w:val="32"/>
              <w:highlight w:val="none"/>
            </w:rPr>
            <w:instrText xml:space="preserve"> HYPERLINK \l _Toc14791 </w:instrText>
          </w:r>
          <w:r>
            <w:rPr>
              <w:rFonts w:hint="eastAsia" w:ascii="宋体" w:hAnsi="宋体" w:cs="宋体"/>
              <w:szCs w:val="32"/>
              <w:highlight w:val="none"/>
            </w:rPr>
            <w:fldChar w:fldCharType="separate"/>
          </w:r>
          <w:r>
            <w:rPr>
              <w:rFonts w:hint="eastAsia" w:ascii="宋体" w:hAnsi="宋体" w:cs="宋体"/>
              <w:szCs w:val="28"/>
              <w:highlight w:val="none"/>
            </w:rPr>
            <w:t>第三章 采购需求</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_Toc14791 \h </w:instrText>
          </w:r>
          <w:r>
            <w:rPr>
              <w:rFonts w:hint="eastAsia" w:ascii="宋体" w:hAnsi="宋体" w:cs="宋体"/>
            </w:rPr>
            <w:fldChar w:fldCharType="separate"/>
          </w:r>
          <w:r>
            <w:rPr>
              <w:rFonts w:hint="eastAsia" w:ascii="宋体" w:hAnsi="宋体" w:cs="宋体"/>
            </w:rPr>
            <w:t>7</w:t>
          </w:r>
          <w:r>
            <w:rPr>
              <w:rFonts w:hint="eastAsia" w:ascii="宋体" w:hAnsi="宋体" w:cs="宋体"/>
            </w:rPr>
            <w:fldChar w:fldCharType="end"/>
          </w:r>
          <w:r>
            <w:rPr>
              <w:rFonts w:hint="eastAsia" w:ascii="宋体" w:hAnsi="宋体" w:cs="宋体"/>
              <w:szCs w:val="32"/>
              <w:highlight w:val="none"/>
            </w:rPr>
            <w:fldChar w:fldCharType="end"/>
          </w:r>
        </w:p>
        <w:p w14:paraId="4F0D1362">
          <w:pPr>
            <w:pStyle w:val="19"/>
            <w:tabs>
              <w:tab w:val="right" w:leader="dot" w:pos="8879"/>
            </w:tabs>
            <w:rPr>
              <w:rFonts w:hint="eastAsia" w:ascii="宋体" w:hAnsi="宋体" w:cs="宋体"/>
            </w:rPr>
          </w:pPr>
          <w:r>
            <w:rPr>
              <w:rFonts w:hint="eastAsia" w:ascii="宋体" w:hAnsi="宋体" w:cs="宋体"/>
              <w:szCs w:val="32"/>
              <w:highlight w:val="none"/>
            </w:rPr>
            <w:fldChar w:fldCharType="begin"/>
          </w:r>
          <w:r>
            <w:rPr>
              <w:rFonts w:hint="eastAsia" w:ascii="宋体" w:hAnsi="宋体" w:cs="宋体"/>
              <w:szCs w:val="32"/>
              <w:highlight w:val="none"/>
            </w:rPr>
            <w:instrText xml:space="preserve"> HYPERLINK \l _Toc3595 </w:instrText>
          </w:r>
          <w:r>
            <w:rPr>
              <w:rFonts w:hint="eastAsia" w:ascii="宋体" w:hAnsi="宋体" w:cs="宋体"/>
              <w:szCs w:val="32"/>
              <w:highlight w:val="none"/>
            </w:rPr>
            <w:fldChar w:fldCharType="separate"/>
          </w:r>
          <w:r>
            <w:rPr>
              <w:rFonts w:hint="eastAsia" w:ascii="宋体" w:hAnsi="宋体" w:cs="宋体"/>
              <w:szCs w:val="28"/>
              <w:highlight w:val="none"/>
            </w:rPr>
            <w:t>第四章  评审办法</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_Toc3595 \h </w:instrText>
          </w:r>
          <w:r>
            <w:rPr>
              <w:rFonts w:hint="eastAsia" w:ascii="宋体" w:hAnsi="宋体" w:cs="宋体"/>
            </w:rPr>
            <w:fldChar w:fldCharType="separate"/>
          </w:r>
          <w:r>
            <w:rPr>
              <w:rFonts w:hint="eastAsia" w:ascii="宋体" w:hAnsi="宋体" w:cs="宋体"/>
            </w:rPr>
            <w:t>11</w:t>
          </w:r>
          <w:r>
            <w:rPr>
              <w:rFonts w:hint="eastAsia" w:ascii="宋体" w:hAnsi="宋体" w:cs="宋体"/>
            </w:rPr>
            <w:fldChar w:fldCharType="end"/>
          </w:r>
          <w:r>
            <w:rPr>
              <w:rFonts w:hint="eastAsia" w:ascii="宋体" w:hAnsi="宋体" w:cs="宋体"/>
              <w:szCs w:val="32"/>
              <w:highlight w:val="none"/>
            </w:rPr>
            <w:fldChar w:fldCharType="end"/>
          </w:r>
        </w:p>
        <w:p w14:paraId="220AB592">
          <w:pPr>
            <w:pStyle w:val="21"/>
            <w:tabs>
              <w:tab w:val="right" w:leader="dot" w:pos="8879"/>
              <w:tab w:val="clear" w:pos="8296"/>
            </w:tabs>
            <w:rPr>
              <w:rFonts w:hint="eastAsia" w:ascii="宋体" w:hAnsi="宋体" w:cs="宋体"/>
            </w:rPr>
          </w:pPr>
          <w:r>
            <w:rPr>
              <w:rFonts w:hint="eastAsia" w:ascii="宋体" w:hAnsi="宋体" w:cs="宋体"/>
              <w:szCs w:val="32"/>
              <w:highlight w:val="none"/>
            </w:rPr>
            <w:fldChar w:fldCharType="begin"/>
          </w:r>
          <w:r>
            <w:rPr>
              <w:rFonts w:hint="eastAsia" w:ascii="宋体" w:hAnsi="宋体" w:cs="宋体"/>
              <w:szCs w:val="32"/>
              <w:highlight w:val="none"/>
            </w:rPr>
            <w:instrText xml:space="preserve"> HYPERLINK \l _Toc26385 </w:instrText>
          </w:r>
          <w:r>
            <w:rPr>
              <w:rFonts w:hint="eastAsia" w:ascii="宋体" w:hAnsi="宋体" w:cs="宋体"/>
              <w:szCs w:val="32"/>
              <w:highlight w:val="none"/>
            </w:rPr>
            <w:fldChar w:fldCharType="separate"/>
          </w:r>
          <w:r>
            <w:rPr>
              <w:rFonts w:hint="eastAsia" w:ascii="宋体" w:hAnsi="宋体" w:cs="宋体"/>
              <w:highlight w:val="none"/>
            </w:rPr>
            <w:t>第一节  评审程序和评审方法</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_Toc26385 \h </w:instrText>
          </w:r>
          <w:r>
            <w:rPr>
              <w:rFonts w:hint="eastAsia" w:ascii="宋体" w:hAnsi="宋体" w:cs="宋体"/>
            </w:rPr>
            <w:fldChar w:fldCharType="separate"/>
          </w:r>
          <w:r>
            <w:rPr>
              <w:rFonts w:hint="eastAsia" w:ascii="宋体" w:hAnsi="宋体" w:cs="宋体"/>
            </w:rPr>
            <w:t>11</w:t>
          </w:r>
          <w:r>
            <w:rPr>
              <w:rFonts w:hint="eastAsia" w:ascii="宋体" w:hAnsi="宋体" w:cs="宋体"/>
            </w:rPr>
            <w:fldChar w:fldCharType="end"/>
          </w:r>
          <w:r>
            <w:rPr>
              <w:rFonts w:hint="eastAsia" w:ascii="宋体" w:hAnsi="宋体" w:cs="宋体"/>
              <w:szCs w:val="32"/>
              <w:highlight w:val="none"/>
            </w:rPr>
            <w:fldChar w:fldCharType="end"/>
          </w:r>
        </w:p>
        <w:p w14:paraId="22A1D958">
          <w:pPr>
            <w:pStyle w:val="21"/>
            <w:tabs>
              <w:tab w:val="right" w:leader="dot" w:pos="8879"/>
              <w:tab w:val="clear" w:pos="8296"/>
            </w:tabs>
            <w:rPr>
              <w:rFonts w:hint="eastAsia" w:ascii="宋体" w:hAnsi="宋体" w:cs="宋体"/>
            </w:rPr>
          </w:pPr>
          <w:r>
            <w:rPr>
              <w:rFonts w:hint="eastAsia" w:ascii="宋体" w:hAnsi="宋体" w:cs="宋体"/>
              <w:szCs w:val="32"/>
              <w:highlight w:val="none"/>
            </w:rPr>
            <w:fldChar w:fldCharType="begin"/>
          </w:r>
          <w:r>
            <w:rPr>
              <w:rFonts w:hint="eastAsia" w:ascii="宋体" w:hAnsi="宋体" w:cs="宋体"/>
              <w:szCs w:val="32"/>
              <w:highlight w:val="none"/>
            </w:rPr>
            <w:instrText xml:space="preserve"> HYPERLINK \l _Toc29563 </w:instrText>
          </w:r>
          <w:r>
            <w:rPr>
              <w:rFonts w:hint="eastAsia" w:ascii="宋体" w:hAnsi="宋体" w:cs="宋体"/>
              <w:szCs w:val="32"/>
              <w:highlight w:val="none"/>
            </w:rPr>
            <w:fldChar w:fldCharType="separate"/>
          </w:r>
          <w:r>
            <w:rPr>
              <w:rFonts w:hint="eastAsia" w:ascii="宋体" w:hAnsi="宋体" w:cs="宋体"/>
              <w:highlight w:val="none"/>
            </w:rPr>
            <w:t>第二节  评审标准</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_Toc29563 \h </w:instrText>
          </w:r>
          <w:r>
            <w:rPr>
              <w:rFonts w:hint="eastAsia" w:ascii="宋体" w:hAnsi="宋体" w:cs="宋体"/>
            </w:rPr>
            <w:fldChar w:fldCharType="separate"/>
          </w:r>
          <w:r>
            <w:rPr>
              <w:rFonts w:hint="eastAsia" w:ascii="宋体" w:hAnsi="宋体" w:cs="宋体"/>
            </w:rPr>
            <w:t>14</w:t>
          </w:r>
          <w:r>
            <w:rPr>
              <w:rFonts w:hint="eastAsia" w:ascii="宋体" w:hAnsi="宋体" w:cs="宋体"/>
            </w:rPr>
            <w:fldChar w:fldCharType="end"/>
          </w:r>
          <w:r>
            <w:rPr>
              <w:rFonts w:hint="eastAsia" w:ascii="宋体" w:hAnsi="宋体" w:cs="宋体"/>
              <w:szCs w:val="32"/>
              <w:highlight w:val="none"/>
            </w:rPr>
            <w:fldChar w:fldCharType="end"/>
          </w:r>
        </w:p>
        <w:p w14:paraId="6CFE966C">
          <w:pPr>
            <w:pStyle w:val="19"/>
            <w:tabs>
              <w:tab w:val="right" w:leader="dot" w:pos="8879"/>
            </w:tabs>
            <w:rPr>
              <w:rFonts w:hint="eastAsia" w:ascii="宋体" w:hAnsi="宋体" w:cs="宋体"/>
            </w:rPr>
          </w:pPr>
          <w:r>
            <w:rPr>
              <w:rFonts w:hint="eastAsia" w:ascii="宋体" w:hAnsi="宋体" w:cs="宋体"/>
              <w:szCs w:val="32"/>
              <w:highlight w:val="none"/>
            </w:rPr>
            <w:fldChar w:fldCharType="begin"/>
          </w:r>
          <w:r>
            <w:rPr>
              <w:rFonts w:hint="eastAsia" w:ascii="宋体" w:hAnsi="宋体" w:cs="宋体"/>
              <w:szCs w:val="32"/>
              <w:highlight w:val="none"/>
            </w:rPr>
            <w:instrText xml:space="preserve"> HYPERLINK \l _Toc31993 </w:instrText>
          </w:r>
          <w:r>
            <w:rPr>
              <w:rFonts w:hint="eastAsia" w:ascii="宋体" w:hAnsi="宋体" w:cs="宋体"/>
              <w:szCs w:val="32"/>
              <w:highlight w:val="none"/>
            </w:rPr>
            <w:fldChar w:fldCharType="separate"/>
          </w:r>
          <w:r>
            <w:rPr>
              <w:rFonts w:hint="eastAsia" w:ascii="宋体" w:hAnsi="宋体" w:cs="宋体"/>
              <w:szCs w:val="28"/>
              <w:highlight w:val="none"/>
            </w:rPr>
            <w:t>第五章 响应文件格式</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_Toc31993 \h </w:instrText>
          </w:r>
          <w:r>
            <w:rPr>
              <w:rFonts w:hint="eastAsia" w:ascii="宋体" w:hAnsi="宋体" w:cs="宋体"/>
            </w:rPr>
            <w:fldChar w:fldCharType="separate"/>
          </w:r>
          <w:r>
            <w:rPr>
              <w:rFonts w:hint="eastAsia" w:ascii="宋体" w:hAnsi="宋体" w:cs="宋体"/>
            </w:rPr>
            <w:t>16</w:t>
          </w:r>
          <w:r>
            <w:rPr>
              <w:rFonts w:hint="eastAsia" w:ascii="宋体" w:hAnsi="宋体" w:cs="宋体"/>
            </w:rPr>
            <w:fldChar w:fldCharType="end"/>
          </w:r>
          <w:r>
            <w:rPr>
              <w:rFonts w:hint="eastAsia" w:ascii="宋体" w:hAnsi="宋体" w:cs="宋体"/>
              <w:szCs w:val="32"/>
              <w:highlight w:val="none"/>
            </w:rPr>
            <w:fldChar w:fldCharType="end"/>
          </w:r>
        </w:p>
        <w:p w14:paraId="3A289B9C">
          <w:pPr>
            <w:pStyle w:val="21"/>
            <w:tabs>
              <w:tab w:val="right" w:leader="dot" w:pos="8879"/>
              <w:tab w:val="clear" w:pos="8296"/>
            </w:tabs>
            <w:rPr>
              <w:rFonts w:hint="eastAsia" w:ascii="宋体" w:hAnsi="宋体" w:cs="宋体"/>
            </w:rPr>
          </w:pPr>
          <w:r>
            <w:rPr>
              <w:rFonts w:hint="eastAsia" w:ascii="宋体" w:hAnsi="宋体" w:cs="宋体"/>
              <w:szCs w:val="32"/>
              <w:highlight w:val="none"/>
            </w:rPr>
            <w:fldChar w:fldCharType="begin"/>
          </w:r>
          <w:r>
            <w:rPr>
              <w:rFonts w:hint="eastAsia" w:ascii="宋体" w:hAnsi="宋体" w:cs="宋体"/>
              <w:szCs w:val="32"/>
              <w:highlight w:val="none"/>
            </w:rPr>
            <w:instrText xml:space="preserve"> HYPERLINK \l _Toc13495 </w:instrText>
          </w:r>
          <w:r>
            <w:rPr>
              <w:rFonts w:hint="eastAsia" w:ascii="宋体" w:hAnsi="宋体" w:cs="宋体"/>
              <w:szCs w:val="32"/>
              <w:highlight w:val="none"/>
            </w:rPr>
            <w:fldChar w:fldCharType="separate"/>
          </w:r>
          <w:r>
            <w:rPr>
              <w:rFonts w:hint="eastAsia" w:ascii="宋体" w:hAnsi="宋体" w:cs="宋体"/>
              <w:bCs/>
              <w:szCs w:val="36"/>
              <w:highlight w:val="none"/>
            </w:rPr>
            <w:t>目录</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_Toc13495 \h </w:instrText>
          </w:r>
          <w:r>
            <w:rPr>
              <w:rFonts w:hint="eastAsia" w:ascii="宋体" w:hAnsi="宋体" w:cs="宋体"/>
            </w:rPr>
            <w:fldChar w:fldCharType="separate"/>
          </w:r>
          <w:r>
            <w:rPr>
              <w:rFonts w:hint="eastAsia" w:ascii="宋体" w:hAnsi="宋体" w:cs="宋体"/>
            </w:rPr>
            <w:t>18</w:t>
          </w:r>
          <w:r>
            <w:rPr>
              <w:rFonts w:hint="eastAsia" w:ascii="宋体" w:hAnsi="宋体" w:cs="宋体"/>
            </w:rPr>
            <w:fldChar w:fldCharType="end"/>
          </w:r>
          <w:r>
            <w:rPr>
              <w:rFonts w:hint="eastAsia" w:ascii="宋体" w:hAnsi="宋体" w:cs="宋体"/>
              <w:szCs w:val="32"/>
              <w:highlight w:val="none"/>
            </w:rPr>
            <w:fldChar w:fldCharType="end"/>
          </w:r>
        </w:p>
        <w:p w14:paraId="1FA7BE41">
          <w:pPr>
            <w:pStyle w:val="21"/>
            <w:tabs>
              <w:tab w:val="right" w:leader="dot" w:pos="8879"/>
              <w:tab w:val="clear" w:pos="8296"/>
            </w:tabs>
            <w:rPr>
              <w:rFonts w:hint="eastAsia" w:ascii="宋体" w:hAnsi="宋体" w:cs="宋体"/>
            </w:rPr>
          </w:pPr>
          <w:r>
            <w:rPr>
              <w:rFonts w:hint="eastAsia" w:ascii="宋体" w:hAnsi="宋体" w:cs="宋体"/>
              <w:szCs w:val="32"/>
              <w:highlight w:val="none"/>
            </w:rPr>
            <w:fldChar w:fldCharType="begin"/>
          </w:r>
          <w:r>
            <w:rPr>
              <w:rFonts w:hint="eastAsia" w:ascii="宋体" w:hAnsi="宋体" w:cs="宋体"/>
              <w:szCs w:val="32"/>
              <w:highlight w:val="none"/>
            </w:rPr>
            <w:instrText xml:space="preserve"> HYPERLINK \l _Toc12166 </w:instrText>
          </w:r>
          <w:r>
            <w:rPr>
              <w:rFonts w:hint="eastAsia" w:ascii="宋体" w:hAnsi="宋体" w:cs="宋体"/>
              <w:szCs w:val="32"/>
              <w:highlight w:val="none"/>
            </w:rPr>
            <w:fldChar w:fldCharType="separate"/>
          </w:r>
          <w:r>
            <w:rPr>
              <w:rFonts w:hint="eastAsia" w:ascii="宋体" w:hAnsi="宋体" w:eastAsia="宋体" w:cs="宋体"/>
              <w:szCs w:val="36"/>
              <w:highlight w:val="none"/>
            </w:rPr>
            <w:t>一、</w:t>
          </w:r>
          <w:r>
            <w:rPr>
              <w:rFonts w:hint="eastAsia" w:ascii="宋体" w:hAnsi="宋体" w:eastAsia="宋体" w:cs="宋体"/>
              <w:szCs w:val="36"/>
              <w:highlight w:val="none"/>
              <w:lang w:eastAsia="zh-CN"/>
            </w:rPr>
            <w:t>投标</w:t>
          </w:r>
          <w:r>
            <w:rPr>
              <w:rFonts w:hint="eastAsia" w:ascii="宋体" w:hAnsi="宋体" w:eastAsia="宋体" w:cs="宋体"/>
              <w:szCs w:val="36"/>
              <w:highlight w:val="none"/>
            </w:rPr>
            <w:t>函</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_Toc12166 \h </w:instrText>
          </w:r>
          <w:r>
            <w:rPr>
              <w:rFonts w:hint="eastAsia" w:ascii="宋体" w:hAnsi="宋体" w:cs="宋体"/>
            </w:rPr>
            <w:fldChar w:fldCharType="separate"/>
          </w:r>
          <w:r>
            <w:rPr>
              <w:rFonts w:hint="eastAsia" w:ascii="宋体" w:hAnsi="宋体" w:cs="宋体"/>
            </w:rPr>
            <w:t>19</w:t>
          </w:r>
          <w:r>
            <w:rPr>
              <w:rFonts w:hint="eastAsia" w:ascii="宋体" w:hAnsi="宋体" w:cs="宋体"/>
            </w:rPr>
            <w:fldChar w:fldCharType="end"/>
          </w:r>
          <w:r>
            <w:rPr>
              <w:rFonts w:hint="eastAsia" w:ascii="宋体" w:hAnsi="宋体" w:cs="宋体"/>
              <w:szCs w:val="32"/>
              <w:highlight w:val="none"/>
            </w:rPr>
            <w:fldChar w:fldCharType="end"/>
          </w:r>
        </w:p>
        <w:p w14:paraId="5D78702F">
          <w:pPr>
            <w:pStyle w:val="21"/>
            <w:tabs>
              <w:tab w:val="right" w:leader="dot" w:pos="8879"/>
              <w:tab w:val="clear" w:pos="8296"/>
            </w:tabs>
            <w:rPr>
              <w:rFonts w:hint="eastAsia" w:ascii="宋体" w:hAnsi="宋体" w:cs="宋体"/>
            </w:rPr>
          </w:pPr>
          <w:r>
            <w:rPr>
              <w:rFonts w:hint="eastAsia" w:ascii="宋体" w:hAnsi="宋体" w:cs="宋体"/>
              <w:szCs w:val="32"/>
              <w:highlight w:val="none"/>
            </w:rPr>
            <w:fldChar w:fldCharType="begin"/>
          </w:r>
          <w:r>
            <w:rPr>
              <w:rFonts w:hint="eastAsia" w:ascii="宋体" w:hAnsi="宋体" w:cs="宋体"/>
              <w:szCs w:val="32"/>
              <w:highlight w:val="none"/>
            </w:rPr>
            <w:instrText xml:space="preserve"> HYPERLINK \l _Toc15603 </w:instrText>
          </w:r>
          <w:r>
            <w:rPr>
              <w:rFonts w:hint="eastAsia" w:ascii="宋体" w:hAnsi="宋体" w:cs="宋体"/>
              <w:szCs w:val="32"/>
              <w:highlight w:val="none"/>
            </w:rPr>
            <w:fldChar w:fldCharType="separate"/>
          </w:r>
          <w:r>
            <w:rPr>
              <w:rFonts w:hint="eastAsia" w:ascii="宋体" w:hAnsi="宋体" w:eastAsia="宋体" w:cs="宋体"/>
              <w:szCs w:val="36"/>
              <w:highlight w:val="none"/>
            </w:rPr>
            <w:t>二、法定代表人身份证明</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_Toc15603 \h </w:instrText>
          </w:r>
          <w:r>
            <w:rPr>
              <w:rFonts w:hint="eastAsia" w:ascii="宋体" w:hAnsi="宋体" w:cs="宋体"/>
            </w:rPr>
            <w:fldChar w:fldCharType="separate"/>
          </w:r>
          <w:r>
            <w:rPr>
              <w:rFonts w:hint="eastAsia" w:ascii="宋体" w:hAnsi="宋体" w:cs="宋体"/>
            </w:rPr>
            <w:t>20</w:t>
          </w:r>
          <w:r>
            <w:rPr>
              <w:rFonts w:hint="eastAsia" w:ascii="宋体" w:hAnsi="宋体" w:cs="宋体"/>
            </w:rPr>
            <w:fldChar w:fldCharType="end"/>
          </w:r>
          <w:r>
            <w:rPr>
              <w:rFonts w:hint="eastAsia" w:ascii="宋体" w:hAnsi="宋体" w:cs="宋体"/>
              <w:szCs w:val="32"/>
              <w:highlight w:val="none"/>
            </w:rPr>
            <w:fldChar w:fldCharType="end"/>
          </w:r>
        </w:p>
        <w:p w14:paraId="7E0F62E0">
          <w:pPr>
            <w:pStyle w:val="21"/>
            <w:tabs>
              <w:tab w:val="right" w:leader="dot" w:pos="8879"/>
              <w:tab w:val="clear" w:pos="8296"/>
            </w:tabs>
            <w:rPr>
              <w:rFonts w:hint="eastAsia" w:ascii="宋体" w:hAnsi="宋体" w:cs="宋体"/>
            </w:rPr>
          </w:pPr>
          <w:r>
            <w:rPr>
              <w:rFonts w:hint="eastAsia" w:ascii="宋体" w:hAnsi="宋体" w:cs="宋体"/>
              <w:szCs w:val="32"/>
              <w:highlight w:val="none"/>
            </w:rPr>
            <w:fldChar w:fldCharType="begin"/>
          </w:r>
          <w:r>
            <w:rPr>
              <w:rFonts w:hint="eastAsia" w:ascii="宋体" w:hAnsi="宋体" w:cs="宋体"/>
              <w:szCs w:val="32"/>
              <w:highlight w:val="none"/>
            </w:rPr>
            <w:instrText xml:space="preserve"> HYPERLINK \l _Toc12118 </w:instrText>
          </w:r>
          <w:r>
            <w:rPr>
              <w:rFonts w:hint="eastAsia" w:ascii="宋体" w:hAnsi="宋体" w:cs="宋体"/>
              <w:szCs w:val="32"/>
              <w:highlight w:val="none"/>
            </w:rPr>
            <w:fldChar w:fldCharType="separate"/>
          </w:r>
          <w:r>
            <w:rPr>
              <w:rFonts w:hint="eastAsia" w:ascii="宋体" w:hAnsi="宋体" w:eastAsia="宋体" w:cs="宋体"/>
              <w:szCs w:val="36"/>
              <w:highlight w:val="none"/>
            </w:rPr>
            <w:t>二、授权委托书</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_Toc12118 \h </w:instrText>
          </w:r>
          <w:r>
            <w:rPr>
              <w:rFonts w:hint="eastAsia" w:ascii="宋体" w:hAnsi="宋体" w:cs="宋体"/>
            </w:rPr>
            <w:fldChar w:fldCharType="separate"/>
          </w:r>
          <w:r>
            <w:rPr>
              <w:rFonts w:hint="eastAsia" w:ascii="宋体" w:hAnsi="宋体" w:cs="宋体"/>
            </w:rPr>
            <w:t>21</w:t>
          </w:r>
          <w:r>
            <w:rPr>
              <w:rFonts w:hint="eastAsia" w:ascii="宋体" w:hAnsi="宋体" w:cs="宋体"/>
            </w:rPr>
            <w:fldChar w:fldCharType="end"/>
          </w:r>
          <w:r>
            <w:rPr>
              <w:rFonts w:hint="eastAsia" w:ascii="宋体" w:hAnsi="宋体" w:cs="宋体"/>
              <w:szCs w:val="32"/>
              <w:highlight w:val="none"/>
            </w:rPr>
            <w:fldChar w:fldCharType="end"/>
          </w:r>
        </w:p>
        <w:p w14:paraId="4D01354D">
          <w:pPr>
            <w:pStyle w:val="21"/>
            <w:tabs>
              <w:tab w:val="right" w:leader="dot" w:pos="8879"/>
              <w:tab w:val="clear" w:pos="8296"/>
            </w:tabs>
            <w:rPr>
              <w:rFonts w:hint="eastAsia" w:ascii="宋体" w:hAnsi="宋体" w:cs="宋体"/>
            </w:rPr>
          </w:pPr>
          <w:r>
            <w:rPr>
              <w:rFonts w:hint="eastAsia" w:ascii="宋体" w:hAnsi="宋体" w:cs="宋体"/>
              <w:szCs w:val="32"/>
              <w:highlight w:val="none"/>
            </w:rPr>
            <w:fldChar w:fldCharType="begin"/>
          </w:r>
          <w:r>
            <w:rPr>
              <w:rFonts w:hint="eastAsia" w:ascii="宋体" w:hAnsi="宋体" w:cs="宋体"/>
              <w:szCs w:val="32"/>
              <w:highlight w:val="none"/>
            </w:rPr>
            <w:instrText xml:space="preserve"> HYPERLINK \l _Toc2974 </w:instrText>
          </w:r>
          <w:r>
            <w:rPr>
              <w:rFonts w:hint="eastAsia" w:ascii="宋体" w:hAnsi="宋体" w:cs="宋体"/>
              <w:szCs w:val="32"/>
              <w:highlight w:val="none"/>
            </w:rPr>
            <w:fldChar w:fldCharType="separate"/>
          </w:r>
          <w:r>
            <w:rPr>
              <w:rFonts w:hint="eastAsia" w:ascii="宋体" w:hAnsi="宋体" w:eastAsia="宋体" w:cs="宋体"/>
              <w:szCs w:val="36"/>
              <w:highlight w:val="none"/>
            </w:rPr>
            <w:t>三、报价清单</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_Toc2974 \h </w:instrText>
          </w:r>
          <w:r>
            <w:rPr>
              <w:rFonts w:hint="eastAsia" w:ascii="宋体" w:hAnsi="宋体" w:cs="宋体"/>
            </w:rPr>
            <w:fldChar w:fldCharType="separate"/>
          </w:r>
          <w:r>
            <w:rPr>
              <w:rFonts w:hint="eastAsia" w:ascii="宋体" w:hAnsi="宋体" w:cs="宋体"/>
            </w:rPr>
            <w:t>22</w:t>
          </w:r>
          <w:r>
            <w:rPr>
              <w:rFonts w:hint="eastAsia" w:ascii="宋体" w:hAnsi="宋体" w:cs="宋体"/>
            </w:rPr>
            <w:fldChar w:fldCharType="end"/>
          </w:r>
          <w:r>
            <w:rPr>
              <w:rFonts w:hint="eastAsia" w:ascii="宋体" w:hAnsi="宋体" w:cs="宋体"/>
              <w:szCs w:val="32"/>
              <w:highlight w:val="none"/>
            </w:rPr>
            <w:fldChar w:fldCharType="end"/>
          </w:r>
        </w:p>
        <w:p w14:paraId="3AACBFA7">
          <w:pPr>
            <w:pStyle w:val="21"/>
            <w:tabs>
              <w:tab w:val="right" w:leader="dot" w:pos="8879"/>
              <w:tab w:val="clear" w:pos="8296"/>
            </w:tabs>
            <w:rPr>
              <w:rFonts w:hint="eastAsia" w:ascii="宋体" w:hAnsi="宋体" w:cs="宋体"/>
            </w:rPr>
          </w:pPr>
          <w:r>
            <w:rPr>
              <w:rFonts w:hint="eastAsia" w:ascii="宋体" w:hAnsi="宋体" w:cs="宋体"/>
              <w:szCs w:val="32"/>
              <w:highlight w:val="none"/>
            </w:rPr>
            <w:fldChar w:fldCharType="begin"/>
          </w:r>
          <w:r>
            <w:rPr>
              <w:rFonts w:hint="eastAsia" w:ascii="宋体" w:hAnsi="宋体" w:cs="宋体"/>
              <w:szCs w:val="32"/>
              <w:highlight w:val="none"/>
            </w:rPr>
            <w:instrText xml:space="preserve"> HYPERLINK \l _Toc4639 </w:instrText>
          </w:r>
          <w:r>
            <w:rPr>
              <w:rFonts w:hint="eastAsia" w:ascii="宋体" w:hAnsi="宋体" w:cs="宋体"/>
              <w:szCs w:val="32"/>
              <w:highlight w:val="none"/>
            </w:rPr>
            <w:fldChar w:fldCharType="separate"/>
          </w:r>
          <w:r>
            <w:rPr>
              <w:rFonts w:hint="eastAsia" w:ascii="宋体" w:hAnsi="宋体" w:eastAsia="宋体" w:cs="宋体"/>
              <w:szCs w:val="36"/>
              <w:highlight w:val="none"/>
            </w:rPr>
            <w:t>四、</w:t>
          </w:r>
          <w:r>
            <w:rPr>
              <w:rFonts w:hint="eastAsia" w:ascii="宋体" w:hAnsi="宋体" w:eastAsia="宋体" w:cs="宋体"/>
              <w:szCs w:val="36"/>
              <w:highlight w:val="none"/>
              <w:lang w:eastAsia="zh-CN"/>
            </w:rPr>
            <w:t>资格审查</w:t>
          </w:r>
          <w:r>
            <w:rPr>
              <w:rFonts w:hint="eastAsia" w:ascii="宋体" w:hAnsi="宋体" w:eastAsia="宋体" w:cs="宋体"/>
              <w:szCs w:val="36"/>
              <w:highlight w:val="none"/>
            </w:rPr>
            <w:t>资料</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_Toc4639 \h </w:instrText>
          </w:r>
          <w:r>
            <w:rPr>
              <w:rFonts w:hint="eastAsia" w:ascii="宋体" w:hAnsi="宋体" w:cs="宋体"/>
            </w:rPr>
            <w:fldChar w:fldCharType="separate"/>
          </w:r>
          <w:r>
            <w:rPr>
              <w:rFonts w:hint="eastAsia" w:ascii="宋体" w:hAnsi="宋体" w:cs="宋体"/>
            </w:rPr>
            <w:t>24</w:t>
          </w:r>
          <w:r>
            <w:rPr>
              <w:rFonts w:hint="eastAsia" w:ascii="宋体" w:hAnsi="宋体" w:cs="宋体"/>
            </w:rPr>
            <w:fldChar w:fldCharType="end"/>
          </w:r>
          <w:r>
            <w:rPr>
              <w:rFonts w:hint="eastAsia" w:ascii="宋体" w:hAnsi="宋体" w:cs="宋体"/>
              <w:szCs w:val="32"/>
              <w:highlight w:val="none"/>
            </w:rPr>
            <w:fldChar w:fldCharType="end"/>
          </w:r>
        </w:p>
        <w:p w14:paraId="332BDAD0">
          <w:pPr>
            <w:pStyle w:val="21"/>
            <w:tabs>
              <w:tab w:val="right" w:leader="dot" w:pos="8879"/>
              <w:tab w:val="clear" w:pos="8296"/>
            </w:tabs>
            <w:rPr>
              <w:rFonts w:hint="eastAsia" w:ascii="宋体" w:hAnsi="宋体" w:cs="宋体"/>
            </w:rPr>
          </w:pPr>
          <w:r>
            <w:rPr>
              <w:rFonts w:hint="eastAsia" w:ascii="宋体" w:hAnsi="宋体" w:cs="宋体"/>
              <w:szCs w:val="32"/>
              <w:highlight w:val="none"/>
            </w:rPr>
            <w:fldChar w:fldCharType="begin"/>
          </w:r>
          <w:r>
            <w:rPr>
              <w:rFonts w:hint="eastAsia" w:ascii="宋体" w:hAnsi="宋体" w:cs="宋体"/>
              <w:szCs w:val="32"/>
              <w:highlight w:val="none"/>
            </w:rPr>
            <w:instrText xml:space="preserve"> HYPERLINK \l _Toc19324 </w:instrText>
          </w:r>
          <w:r>
            <w:rPr>
              <w:rFonts w:hint="eastAsia" w:ascii="宋体" w:hAnsi="宋体" w:cs="宋体"/>
              <w:szCs w:val="32"/>
              <w:highlight w:val="none"/>
            </w:rPr>
            <w:fldChar w:fldCharType="separate"/>
          </w:r>
          <w:r>
            <w:rPr>
              <w:rFonts w:hint="eastAsia" w:ascii="宋体" w:hAnsi="宋体" w:eastAsia="宋体" w:cs="宋体"/>
              <w:szCs w:val="36"/>
              <w:highlight w:val="none"/>
            </w:rPr>
            <w:t>五、</w:t>
          </w:r>
          <w:r>
            <w:rPr>
              <w:rFonts w:hint="eastAsia" w:ascii="宋体" w:hAnsi="宋体" w:eastAsia="宋体" w:cs="宋体"/>
              <w:szCs w:val="36"/>
              <w:highlight w:val="none"/>
              <w:lang w:eastAsia="zh-CN"/>
            </w:rPr>
            <w:t>工程可行性研究</w:t>
          </w:r>
          <w:r>
            <w:rPr>
              <w:rFonts w:hint="eastAsia" w:ascii="宋体" w:hAnsi="宋体" w:eastAsia="宋体" w:cs="宋体"/>
              <w:szCs w:val="36"/>
              <w:highlight w:val="none"/>
            </w:rPr>
            <w:t>方案</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_Toc19324 \h </w:instrText>
          </w:r>
          <w:r>
            <w:rPr>
              <w:rFonts w:hint="eastAsia" w:ascii="宋体" w:hAnsi="宋体" w:cs="宋体"/>
            </w:rPr>
            <w:fldChar w:fldCharType="separate"/>
          </w:r>
          <w:r>
            <w:rPr>
              <w:rFonts w:hint="eastAsia" w:ascii="宋体" w:hAnsi="宋体" w:cs="宋体"/>
            </w:rPr>
            <w:t>31</w:t>
          </w:r>
          <w:r>
            <w:rPr>
              <w:rFonts w:hint="eastAsia" w:ascii="宋体" w:hAnsi="宋体" w:cs="宋体"/>
            </w:rPr>
            <w:fldChar w:fldCharType="end"/>
          </w:r>
          <w:r>
            <w:rPr>
              <w:rFonts w:hint="eastAsia" w:ascii="宋体" w:hAnsi="宋体" w:cs="宋体"/>
              <w:szCs w:val="32"/>
              <w:highlight w:val="none"/>
            </w:rPr>
            <w:fldChar w:fldCharType="end"/>
          </w:r>
        </w:p>
        <w:p w14:paraId="4445A1FD">
          <w:pPr>
            <w:pStyle w:val="21"/>
            <w:tabs>
              <w:tab w:val="right" w:leader="dot" w:pos="8879"/>
              <w:tab w:val="clear" w:pos="8296"/>
            </w:tabs>
            <w:rPr>
              <w:rFonts w:hint="eastAsia" w:ascii="宋体" w:hAnsi="宋体" w:cs="宋体"/>
            </w:rPr>
          </w:pPr>
          <w:r>
            <w:rPr>
              <w:rFonts w:hint="eastAsia" w:ascii="宋体" w:hAnsi="宋体" w:cs="宋体"/>
              <w:szCs w:val="32"/>
              <w:highlight w:val="none"/>
            </w:rPr>
            <w:fldChar w:fldCharType="begin"/>
          </w:r>
          <w:r>
            <w:rPr>
              <w:rFonts w:hint="eastAsia" w:ascii="宋体" w:hAnsi="宋体" w:cs="宋体"/>
              <w:szCs w:val="32"/>
              <w:highlight w:val="none"/>
            </w:rPr>
            <w:instrText xml:space="preserve"> HYPERLINK \l _Toc7160 </w:instrText>
          </w:r>
          <w:r>
            <w:rPr>
              <w:rFonts w:hint="eastAsia" w:ascii="宋体" w:hAnsi="宋体" w:cs="宋体"/>
              <w:szCs w:val="32"/>
              <w:highlight w:val="none"/>
            </w:rPr>
            <w:fldChar w:fldCharType="separate"/>
          </w:r>
          <w:r>
            <w:rPr>
              <w:rFonts w:hint="eastAsia" w:ascii="宋体" w:hAnsi="宋体" w:eastAsia="宋体" w:cs="宋体"/>
              <w:szCs w:val="36"/>
              <w:highlight w:val="none"/>
            </w:rPr>
            <w:t>六、其他资料</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_Toc7160 \h </w:instrText>
          </w:r>
          <w:r>
            <w:rPr>
              <w:rFonts w:hint="eastAsia" w:ascii="宋体" w:hAnsi="宋体" w:cs="宋体"/>
            </w:rPr>
            <w:fldChar w:fldCharType="separate"/>
          </w:r>
          <w:r>
            <w:rPr>
              <w:rFonts w:hint="eastAsia" w:ascii="宋体" w:hAnsi="宋体" w:cs="宋体"/>
            </w:rPr>
            <w:t>32</w:t>
          </w:r>
          <w:r>
            <w:rPr>
              <w:rFonts w:hint="eastAsia" w:ascii="宋体" w:hAnsi="宋体" w:cs="宋体"/>
            </w:rPr>
            <w:fldChar w:fldCharType="end"/>
          </w:r>
          <w:r>
            <w:rPr>
              <w:rFonts w:hint="eastAsia" w:ascii="宋体" w:hAnsi="宋体" w:cs="宋体"/>
              <w:szCs w:val="32"/>
              <w:highlight w:val="none"/>
            </w:rPr>
            <w:fldChar w:fldCharType="end"/>
          </w:r>
        </w:p>
        <w:p w14:paraId="198FEC72">
          <w:pPr>
            <w:pStyle w:val="19"/>
            <w:tabs>
              <w:tab w:val="right" w:leader="dot" w:pos="8879"/>
            </w:tabs>
            <w:rPr>
              <w:rFonts w:hint="eastAsia" w:ascii="宋体" w:hAnsi="宋体" w:cs="宋体"/>
            </w:rPr>
          </w:pPr>
          <w:r>
            <w:rPr>
              <w:rFonts w:hint="eastAsia" w:ascii="宋体" w:hAnsi="宋体" w:cs="宋体"/>
              <w:szCs w:val="32"/>
              <w:highlight w:val="none"/>
            </w:rPr>
            <w:fldChar w:fldCharType="begin"/>
          </w:r>
          <w:r>
            <w:rPr>
              <w:rFonts w:hint="eastAsia" w:ascii="宋体" w:hAnsi="宋体" w:cs="宋体"/>
              <w:szCs w:val="32"/>
              <w:highlight w:val="none"/>
            </w:rPr>
            <w:instrText xml:space="preserve"> HYPERLINK \l _Toc19259 </w:instrText>
          </w:r>
          <w:r>
            <w:rPr>
              <w:rFonts w:hint="eastAsia" w:ascii="宋体" w:hAnsi="宋体" w:cs="宋体"/>
              <w:szCs w:val="32"/>
              <w:highlight w:val="none"/>
            </w:rPr>
            <w:fldChar w:fldCharType="separate"/>
          </w:r>
          <w:r>
            <w:rPr>
              <w:rFonts w:hint="eastAsia" w:ascii="宋体" w:hAnsi="宋体" w:cs="宋体"/>
              <w:highlight w:val="none"/>
            </w:rPr>
            <w:t>第六章 合同条款</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_Toc19259 \h </w:instrText>
          </w:r>
          <w:r>
            <w:rPr>
              <w:rFonts w:hint="eastAsia" w:ascii="宋体" w:hAnsi="宋体" w:cs="宋体"/>
            </w:rPr>
            <w:fldChar w:fldCharType="separate"/>
          </w:r>
          <w:r>
            <w:rPr>
              <w:rFonts w:hint="eastAsia" w:ascii="宋体" w:hAnsi="宋体" w:cs="宋体"/>
            </w:rPr>
            <w:t>33</w:t>
          </w:r>
          <w:r>
            <w:rPr>
              <w:rFonts w:hint="eastAsia" w:ascii="宋体" w:hAnsi="宋体" w:cs="宋体"/>
            </w:rPr>
            <w:fldChar w:fldCharType="end"/>
          </w:r>
          <w:r>
            <w:rPr>
              <w:rFonts w:hint="eastAsia" w:ascii="宋体" w:hAnsi="宋体" w:cs="宋体"/>
              <w:szCs w:val="32"/>
              <w:highlight w:val="none"/>
            </w:rPr>
            <w:fldChar w:fldCharType="end"/>
          </w:r>
        </w:p>
        <w:p w14:paraId="00448A82">
          <w:pPr>
            <w:pStyle w:val="21"/>
            <w:tabs>
              <w:tab w:val="right" w:leader="dot" w:pos="8879"/>
              <w:tab w:val="clear" w:pos="8296"/>
            </w:tabs>
            <w:rPr>
              <w:rFonts w:hint="eastAsia" w:ascii="宋体" w:hAnsi="宋体" w:cs="宋体"/>
            </w:rPr>
          </w:pPr>
          <w:r>
            <w:rPr>
              <w:rFonts w:hint="eastAsia" w:ascii="宋体" w:hAnsi="宋体" w:cs="宋体"/>
              <w:szCs w:val="32"/>
              <w:highlight w:val="none"/>
            </w:rPr>
            <w:fldChar w:fldCharType="begin"/>
          </w:r>
          <w:r>
            <w:rPr>
              <w:rFonts w:hint="eastAsia" w:ascii="宋体" w:hAnsi="宋体" w:cs="宋体"/>
              <w:szCs w:val="32"/>
              <w:highlight w:val="none"/>
            </w:rPr>
            <w:instrText xml:space="preserve"> HYPERLINK \l _Toc22523 </w:instrText>
          </w:r>
          <w:r>
            <w:rPr>
              <w:rFonts w:hint="eastAsia" w:ascii="宋体" w:hAnsi="宋体" w:cs="宋体"/>
              <w:szCs w:val="32"/>
              <w:highlight w:val="none"/>
            </w:rPr>
            <w:fldChar w:fldCharType="separate"/>
          </w:r>
          <w:r>
            <w:rPr>
              <w:rFonts w:hint="eastAsia" w:ascii="宋体" w:hAnsi="宋体" w:eastAsia="宋体" w:cs="宋体"/>
              <w:szCs w:val="32"/>
              <w:highlight w:val="none"/>
            </w:rPr>
            <w:t>第一节  通用合同条款</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_Toc22523 \h </w:instrText>
          </w:r>
          <w:r>
            <w:rPr>
              <w:rFonts w:hint="eastAsia" w:ascii="宋体" w:hAnsi="宋体" w:cs="宋体"/>
            </w:rPr>
            <w:fldChar w:fldCharType="separate"/>
          </w:r>
          <w:r>
            <w:rPr>
              <w:rFonts w:hint="eastAsia" w:ascii="宋体" w:hAnsi="宋体" w:cs="宋体"/>
            </w:rPr>
            <w:t>33</w:t>
          </w:r>
          <w:r>
            <w:rPr>
              <w:rFonts w:hint="eastAsia" w:ascii="宋体" w:hAnsi="宋体" w:cs="宋体"/>
            </w:rPr>
            <w:fldChar w:fldCharType="end"/>
          </w:r>
          <w:r>
            <w:rPr>
              <w:rFonts w:hint="eastAsia" w:ascii="宋体" w:hAnsi="宋体" w:cs="宋体"/>
              <w:szCs w:val="32"/>
              <w:highlight w:val="none"/>
            </w:rPr>
            <w:fldChar w:fldCharType="end"/>
          </w:r>
        </w:p>
        <w:p w14:paraId="05C7E025">
          <w:pPr>
            <w:pStyle w:val="21"/>
            <w:tabs>
              <w:tab w:val="right" w:leader="dot" w:pos="8879"/>
              <w:tab w:val="clear" w:pos="8296"/>
            </w:tabs>
            <w:rPr>
              <w:rFonts w:hint="eastAsia" w:ascii="宋体" w:hAnsi="宋体" w:cs="宋体"/>
            </w:rPr>
          </w:pPr>
          <w:r>
            <w:rPr>
              <w:rFonts w:hint="eastAsia" w:ascii="宋体" w:hAnsi="宋体" w:cs="宋体"/>
              <w:szCs w:val="32"/>
              <w:highlight w:val="none"/>
            </w:rPr>
            <w:fldChar w:fldCharType="begin"/>
          </w:r>
          <w:r>
            <w:rPr>
              <w:rFonts w:hint="eastAsia" w:ascii="宋体" w:hAnsi="宋体" w:cs="宋体"/>
              <w:szCs w:val="32"/>
              <w:highlight w:val="none"/>
            </w:rPr>
            <w:instrText xml:space="preserve"> HYPERLINK \l _Toc11278 </w:instrText>
          </w:r>
          <w:r>
            <w:rPr>
              <w:rFonts w:hint="eastAsia" w:ascii="宋体" w:hAnsi="宋体" w:cs="宋体"/>
              <w:szCs w:val="32"/>
              <w:highlight w:val="none"/>
            </w:rPr>
            <w:fldChar w:fldCharType="separate"/>
          </w:r>
          <w:r>
            <w:rPr>
              <w:rFonts w:hint="eastAsia" w:ascii="宋体" w:hAnsi="宋体" w:cs="宋体"/>
              <w:highlight w:val="none"/>
            </w:rPr>
            <w:t>第二节 专用合同条款</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_Toc11278 \h </w:instrText>
          </w:r>
          <w:r>
            <w:rPr>
              <w:rFonts w:hint="eastAsia" w:ascii="宋体" w:hAnsi="宋体" w:cs="宋体"/>
            </w:rPr>
            <w:fldChar w:fldCharType="separate"/>
          </w:r>
          <w:r>
            <w:rPr>
              <w:rFonts w:hint="eastAsia" w:ascii="宋体" w:hAnsi="宋体" w:cs="宋体"/>
            </w:rPr>
            <w:t>40</w:t>
          </w:r>
          <w:r>
            <w:rPr>
              <w:rFonts w:hint="eastAsia" w:ascii="宋体" w:hAnsi="宋体" w:cs="宋体"/>
            </w:rPr>
            <w:fldChar w:fldCharType="end"/>
          </w:r>
          <w:r>
            <w:rPr>
              <w:rFonts w:hint="eastAsia" w:ascii="宋体" w:hAnsi="宋体" w:cs="宋体"/>
              <w:szCs w:val="32"/>
              <w:highlight w:val="none"/>
            </w:rPr>
            <w:fldChar w:fldCharType="end"/>
          </w:r>
        </w:p>
        <w:p w14:paraId="622B4EDB">
          <w:pPr>
            <w:pStyle w:val="21"/>
            <w:tabs>
              <w:tab w:val="right" w:leader="dot" w:pos="8879"/>
              <w:tab w:val="clear" w:pos="8296"/>
            </w:tabs>
            <w:rPr>
              <w:rFonts w:hint="eastAsia" w:ascii="宋体" w:hAnsi="宋体" w:cs="宋体"/>
            </w:rPr>
          </w:pPr>
          <w:r>
            <w:rPr>
              <w:rFonts w:hint="eastAsia" w:ascii="宋体" w:hAnsi="宋体" w:cs="宋体"/>
              <w:szCs w:val="32"/>
              <w:highlight w:val="none"/>
            </w:rPr>
            <w:fldChar w:fldCharType="begin"/>
          </w:r>
          <w:r>
            <w:rPr>
              <w:rFonts w:hint="eastAsia" w:ascii="宋体" w:hAnsi="宋体" w:cs="宋体"/>
              <w:szCs w:val="32"/>
              <w:highlight w:val="none"/>
            </w:rPr>
            <w:instrText xml:space="preserve"> HYPERLINK \l _Toc8973 </w:instrText>
          </w:r>
          <w:r>
            <w:rPr>
              <w:rFonts w:hint="eastAsia" w:ascii="宋体" w:hAnsi="宋体" w:cs="宋体"/>
              <w:szCs w:val="32"/>
              <w:highlight w:val="none"/>
            </w:rPr>
            <w:fldChar w:fldCharType="separate"/>
          </w:r>
          <w:r>
            <w:rPr>
              <w:rFonts w:hint="eastAsia" w:ascii="宋体" w:hAnsi="宋体" w:cs="宋体"/>
              <w:szCs w:val="21"/>
              <w:highlight w:val="none"/>
            </w:rPr>
            <w:t>附件1  合同协议书</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_Toc8973 \h </w:instrText>
          </w:r>
          <w:r>
            <w:rPr>
              <w:rFonts w:hint="eastAsia" w:ascii="宋体" w:hAnsi="宋体" w:cs="宋体"/>
            </w:rPr>
            <w:fldChar w:fldCharType="separate"/>
          </w:r>
          <w:r>
            <w:rPr>
              <w:rFonts w:hint="eastAsia" w:ascii="宋体" w:hAnsi="宋体" w:cs="宋体"/>
            </w:rPr>
            <w:t>49</w:t>
          </w:r>
          <w:r>
            <w:rPr>
              <w:rFonts w:hint="eastAsia" w:ascii="宋体" w:hAnsi="宋体" w:cs="宋体"/>
            </w:rPr>
            <w:fldChar w:fldCharType="end"/>
          </w:r>
          <w:r>
            <w:rPr>
              <w:rFonts w:hint="eastAsia" w:ascii="宋体" w:hAnsi="宋体" w:cs="宋体"/>
              <w:szCs w:val="32"/>
              <w:highlight w:val="none"/>
            </w:rPr>
            <w:fldChar w:fldCharType="end"/>
          </w:r>
        </w:p>
        <w:p w14:paraId="54FA2D06">
          <w:pPr>
            <w:pStyle w:val="21"/>
            <w:tabs>
              <w:tab w:val="right" w:leader="dot" w:pos="8879"/>
              <w:tab w:val="clear" w:pos="8296"/>
            </w:tabs>
            <w:rPr>
              <w:rFonts w:hint="eastAsia" w:ascii="宋体" w:hAnsi="宋体" w:cs="宋体"/>
            </w:rPr>
          </w:pPr>
          <w:r>
            <w:rPr>
              <w:rFonts w:hint="eastAsia" w:ascii="宋体" w:hAnsi="宋体" w:cs="宋体"/>
              <w:szCs w:val="32"/>
              <w:highlight w:val="none"/>
            </w:rPr>
            <w:fldChar w:fldCharType="begin"/>
          </w:r>
          <w:r>
            <w:rPr>
              <w:rFonts w:hint="eastAsia" w:ascii="宋体" w:hAnsi="宋体" w:cs="宋体"/>
              <w:szCs w:val="32"/>
              <w:highlight w:val="none"/>
            </w:rPr>
            <w:instrText xml:space="preserve"> HYPERLINK \l _Toc32217 </w:instrText>
          </w:r>
          <w:r>
            <w:rPr>
              <w:rFonts w:hint="eastAsia" w:ascii="宋体" w:hAnsi="宋体" w:cs="宋体"/>
              <w:szCs w:val="32"/>
              <w:highlight w:val="none"/>
            </w:rPr>
            <w:fldChar w:fldCharType="separate"/>
          </w:r>
          <w:r>
            <w:rPr>
              <w:rFonts w:hint="eastAsia" w:ascii="宋体" w:hAnsi="宋体" w:cs="宋体"/>
              <w:szCs w:val="21"/>
              <w:highlight w:val="none"/>
            </w:rPr>
            <w:t>附件2  廉政合同</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_Toc32217 \h </w:instrText>
          </w:r>
          <w:r>
            <w:rPr>
              <w:rFonts w:hint="eastAsia" w:ascii="宋体" w:hAnsi="宋体" w:cs="宋体"/>
            </w:rPr>
            <w:fldChar w:fldCharType="separate"/>
          </w:r>
          <w:r>
            <w:rPr>
              <w:rFonts w:hint="eastAsia" w:ascii="宋体" w:hAnsi="宋体" w:cs="宋体"/>
            </w:rPr>
            <w:t>51</w:t>
          </w:r>
          <w:r>
            <w:rPr>
              <w:rFonts w:hint="eastAsia" w:ascii="宋体" w:hAnsi="宋体" w:cs="宋体"/>
            </w:rPr>
            <w:fldChar w:fldCharType="end"/>
          </w:r>
          <w:r>
            <w:rPr>
              <w:rFonts w:hint="eastAsia" w:ascii="宋体" w:hAnsi="宋体" w:cs="宋体"/>
              <w:szCs w:val="32"/>
              <w:highlight w:val="none"/>
            </w:rPr>
            <w:fldChar w:fldCharType="end"/>
          </w:r>
        </w:p>
        <w:p w14:paraId="49B8533D">
          <w:pPr>
            <w:spacing w:line="400" w:lineRule="exact"/>
            <w:rPr>
              <w:rFonts w:hint="eastAsia" w:ascii="宋体" w:hAnsi="宋体" w:eastAsia="宋体" w:cs="Times New Roman"/>
              <w:kern w:val="2"/>
              <w:sz w:val="21"/>
              <w:szCs w:val="32"/>
              <w:highlight w:val="none"/>
              <w:lang w:val="en-US" w:eastAsia="zh-CN" w:bidi="ar-SA"/>
            </w:rPr>
          </w:pPr>
          <w:r>
            <w:rPr>
              <w:rFonts w:hint="eastAsia" w:ascii="宋体" w:hAnsi="宋体" w:cs="宋体"/>
              <w:szCs w:val="32"/>
              <w:highlight w:val="none"/>
            </w:rPr>
            <w:fldChar w:fldCharType="end"/>
          </w:r>
        </w:p>
      </w:sdtContent>
    </w:sdt>
    <w:p w14:paraId="20281DA7">
      <w:pPr>
        <w:spacing w:line="400" w:lineRule="exact"/>
        <w:rPr>
          <w:rFonts w:hint="eastAsia" w:ascii="宋体" w:hAnsi="宋体" w:eastAsia="宋体" w:cs="Times New Roman"/>
          <w:kern w:val="2"/>
          <w:sz w:val="21"/>
          <w:szCs w:val="32"/>
          <w:highlight w:val="none"/>
          <w:lang w:val="en-US" w:eastAsia="zh-CN" w:bidi="ar-SA"/>
        </w:rPr>
      </w:pPr>
    </w:p>
    <w:p w14:paraId="27025BB8">
      <w:pPr>
        <w:spacing w:line="400" w:lineRule="exact"/>
        <w:rPr>
          <w:rFonts w:hint="eastAsia" w:ascii="宋体" w:hAnsi="宋体"/>
          <w:b/>
          <w:sz w:val="32"/>
          <w:szCs w:val="32"/>
          <w:highlight w:val="none"/>
        </w:rPr>
      </w:pPr>
    </w:p>
    <w:p w14:paraId="54348F9E">
      <w:pPr>
        <w:spacing w:line="400" w:lineRule="exact"/>
        <w:rPr>
          <w:rFonts w:hint="eastAsia" w:ascii="宋体" w:hAnsi="宋体"/>
          <w:b/>
          <w:sz w:val="32"/>
          <w:szCs w:val="32"/>
          <w:highlight w:val="none"/>
        </w:rPr>
        <w:sectPr>
          <w:headerReference r:id="rId4" w:type="first"/>
          <w:footerReference r:id="rId6" w:type="first"/>
          <w:headerReference r:id="rId3" w:type="default"/>
          <w:footerReference r:id="rId5" w:type="default"/>
          <w:pgSz w:w="11906" w:h="16838"/>
          <w:pgMar w:top="1440" w:right="1440" w:bottom="1440" w:left="1587" w:header="851" w:footer="992" w:gutter="0"/>
          <w:pgNumType w:start="0"/>
          <w:cols w:space="720" w:num="1"/>
          <w:titlePg/>
          <w:docGrid w:type="lines" w:linePitch="312" w:charSpace="0"/>
        </w:sectPr>
      </w:pPr>
    </w:p>
    <w:p w14:paraId="3F5E3688">
      <w:pPr>
        <w:pStyle w:val="2"/>
        <w:spacing w:before="0" w:after="0" w:line="360" w:lineRule="auto"/>
        <w:jc w:val="center"/>
        <w:rPr>
          <w:rFonts w:hint="eastAsia" w:eastAsia="宋体"/>
          <w:sz w:val="28"/>
          <w:szCs w:val="28"/>
          <w:highlight w:val="none"/>
          <w:lang w:eastAsia="zh-CN"/>
        </w:rPr>
      </w:pPr>
      <w:bookmarkStart w:id="0" w:name="_Toc25608"/>
      <w:bookmarkStart w:id="1" w:name="_Toc27769"/>
      <w:bookmarkStart w:id="2" w:name="_Toc27074"/>
      <w:r>
        <w:rPr>
          <w:rFonts w:hint="eastAsia"/>
          <w:sz w:val="28"/>
          <w:szCs w:val="28"/>
          <w:highlight w:val="none"/>
        </w:rPr>
        <w:t>第一章 采购</w:t>
      </w:r>
      <w:bookmarkEnd w:id="0"/>
      <w:bookmarkEnd w:id="1"/>
      <w:bookmarkEnd w:id="2"/>
      <w:r>
        <w:rPr>
          <w:rFonts w:hint="eastAsia"/>
          <w:sz w:val="28"/>
          <w:szCs w:val="28"/>
          <w:highlight w:val="none"/>
          <w:lang w:eastAsia="zh-CN"/>
        </w:rPr>
        <w:t>公告</w:t>
      </w:r>
    </w:p>
    <w:p w14:paraId="1C5EE469">
      <w:pPr>
        <w:spacing w:line="360" w:lineRule="auto"/>
        <w:ind w:firstLine="354" w:firstLineChars="147"/>
        <w:rPr>
          <w:rFonts w:hint="eastAsia" w:ascii="黑体" w:hAnsi="黑体" w:eastAsia="黑体"/>
          <w:b/>
          <w:sz w:val="24"/>
          <w:highlight w:val="none"/>
        </w:rPr>
      </w:pPr>
      <w:bookmarkStart w:id="3" w:name="_Toc44229878"/>
      <w:bookmarkStart w:id="4" w:name="_Toc35393629"/>
      <w:bookmarkStart w:id="5" w:name="_Toc28359012"/>
      <w:bookmarkStart w:id="6" w:name="_Toc28359089"/>
      <w:bookmarkStart w:id="7" w:name="_Toc71365905"/>
      <w:bookmarkStart w:id="8" w:name="_Toc35393798"/>
      <w:bookmarkStart w:id="9" w:name="_Hlk37430271"/>
    </w:p>
    <w:bookmarkEnd w:id="3"/>
    <w:bookmarkEnd w:id="4"/>
    <w:bookmarkEnd w:id="5"/>
    <w:bookmarkEnd w:id="6"/>
    <w:bookmarkEnd w:id="7"/>
    <w:bookmarkEnd w:id="8"/>
    <w:bookmarkEnd w:id="9"/>
    <w:p w14:paraId="7F6D6449">
      <w:pPr>
        <w:spacing w:line="360" w:lineRule="auto"/>
        <w:ind w:firstLine="354" w:firstLineChars="147"/>
        <w:rPr>
          <w:rFonts w:hint="eastAsia" w:ascii="黑体" w:hAnsi="黑体" w:eastAsia="黑体"/>
          <w:b/>
          <w:sz w:val="24"/>
          <w:highlight w:val="none"/>
        </w:rPr>
      </w:pPr>
      <w:r>
        <w:rPr>
          <w:rFonts w:hint="eastAsia" w:ascii="黑体" w:hAnsi="黑体" w:eastAsia="黑体"/>
          <w:b/>
          <w:sz w:val="24"/>
          <w:highlight w:val="none"/>
        </w:rPr>
        <w:t>一、项目基本情况</w:t>
      </w:r>
    </w:p>
    <w:p w14:paraId="22AD440D">
      <w:pPr>
        <w:spacing w:line="360" w:lineRule="auto"/>
        <w:ind w:firstLine="480" w:firstLineChars="200"/>
        <w:rPr>
          <w:rFonts w:hint="eastAsia" w:ascii="宋体" w:hAnsi="宋体" w:eastAsia="宋体" w:cs="宋体"/>
          <w:bCs/>
          <w:sz w:val="24"/>
          <w:highlight w:val="none"/>
          <w:lang w:eastAsia="zh-CN"/>
        </w:rPr>
      </w:pPr>
      <w:r>
        <w:rPr>
          <w:rFonts w:hint="eastAsia" w:ascii="宋体" w:hAnsi="宋体" w:cs="宋体"/>
          <w:bCs/>
          <w:sz w:val="24"/>
          <w:highlight w:val="none"/>
          <w:lang w:val="en-US" w:eastAsia="zh-CN"/>
        </w:rPr>
        <w:t>1.</w:t>
      </w:r>
      <w:r>
        <w:rPr>
          <w:rFonts w:hint="eastAsia" w:ascii="宋体" w:hAnsi="宋体" w:cs="宋体"/>
          <w:bCs/>
          <w:sz w:val="24"/>
          <w:highlight w:val="none"/>
        </w:rPr>
        <w:t>采购项目名称：</w:t>
      </w:r>
      <w:bookmarkStart w:id="10" w:name="OLE_LINK4"/>
      <w:r>
        <w:rPr>
          <w:rFonts w:hint="eastAsia" w:ascii="宋体" w:hAnsi="宋体" w:cs="宋体"/>
          <w:bCs/>
          <w:sz w:val="24"/>
          <w:highlight w:val="none"/>
          <w:lang w:eastAsia="zh-CN"/>
        </w:rPr>
        <w:t>桂江（莲花大桥至桂江河口）航道扩建工程</w:t>
      </w:r>
      <w:r>
        <w:rPr>
          <w:rFonts w:hint="eastAsia" w:ascii="宋体" w:hAnsi="宋体" w:cs="宋体"/>
          <w:bCs/>
          <w:sz w:val="24"/>
          <w:highlight w:val="none"/>
        </w:rPr>
        <w:t>工程可行性研究</w:t>
      </w:r>
      <w:bookmarkEnd w:id="10"/>
      <w:r>
        <w:rPr>
          <w:rFonts w:hint="eastAsia" w:ascii="宋体" w:hAnsi="宋体" w:cs="宋体"/>
          <w:bCs/>
          <w:sz w:val="24"/>
          <w:highlight w:val="none"/>
          <w:lang w:eastAsia="zh-CN"/>
        </w:rPr>
        <w:t>服务</w:t>
      </w:r>
    </w:p>
    <w:p w14:paraId="6C186031">
      <w:pPr>
        <w:spacing w:line="360" w:lineRule="auto"/>
        <w:ind w:firstLine="480" w:firstLineChars="200"/>
        <w:rPr>
          <w:rFonts w:hint="eastAsia" w:ascii="宋体" w:hAnsi="宋体" w:cs="宋体"/>
          <w:bCs/>
          <w:sz w:val="24"/>
          <w:highlight w:val="none"/>
        </w:rPr>
      </w:pPr>
      <w:r>
        <w:rPr>
          <w:rFonts w:hint="eastAsia" w:ascii="宋体" w:hAnsi="宋体" w:cs="宋体"/>
          <w:bCs/>
          <w:sz w:val="24"/>
          <w:highlight w:val="none"/>
          <w:lang w:val="en-US" w:eastAsia="zh-CN"/>
        </w:rPr>
        <w:t>2.</w:t>
      </w:r>
      <w:r>
        <w:rPr>
          <w:rFonts w:hint="eastAsia" w:ascii="宋体" w:hAnsi="宋体" w:cs="宋体"/>
          <w:bCs/>
          <w:sz w:val="24"/>
          <w:highlight w:val="none"/>
        </w:rPr>
        <w:t>项目地点：桂江莲花大桥至桂江河口河段。</w:t>
      </w:r>
    </w:p>
    <w:p w14:paraId="0C09EADA">
      <w:pPr>
        <w:spacing w:line="360" w:lineRule="auto"/>
        <w:ind w:firstLine="480" w:firstLineChars="200"/>
        <w:rPr>
          <w:rFonts w:hint="eastAsia" w:ascii="宋体" w:hAnsi="宋体" w:cs="宋体"/>
          <w:bCs/>
          <w:sz w:val="24"/>
          <w:highlight w:val="none"/>
        </w:rPr>
      </w:pPr>
      <w:r>
        <w:rPr>
          <w:rFonts w:hint="eastAsia" w:ascii="宋体" w:hAnsi="宋体" w:cs="宋体"/>
          <w:bCs/>
          <w:sz w:val="24"/>
          <w:highlight w:val="none"/>
          <w:lang w:val="en-US" w:eastAsia="zh-CN"/>
        </w:rPr>
        <w:t>3.</w:t>
      </w:r>
      <w:r>
        <w:rPr>
          <w:rFonts w:hint="eastAsia" w:ascii="宋体" w:hAnsi="宋体" w:cs="宋体"/>
          <w:bCs/>
          <w:sz w:val="24"/>
          <w:highlight w:val="none"/>
        </w:rPr>
        <w:t>项目概况：</w:t>
      </w:r>
      <w:bookmarkStart w:id="11" w:name="OLE_LINK5"/>
      <w:r>
        <w:rPr>
          <w:rFonts w:hint="eastAsia" w:ascii="宋体" w:hAnsi="宋体" w:cs="宋体"/>
          <w:bCs/>
          <w:sz w:val="24"/>
          <w:highlight w:val="none"/>
        </w:rPr>
        <w:t>桂江航道自桂江莲花大桥至桂江河口河段，航道里程长约8.3</w:t>
      </w:r>
      <w:r>
        <w:rPr>
          <w:rFonts w:hint="eastAsia" w:ascii="宋体" w:hAnsi="宋体" w:cs="宋体"/>
          <w:bCs/>
          <w:sz w:val="24"/>
          <w:highlight w:val="none"/>
          <w:lang w:eastAsia="zh-CN"/>
        </w:rPr>
        <w:t>公里</w:t>
      </w:r>
      <w:r>
        <w:rPr>
          <w:rFonts w:hint="eastAsia" w:ascii="宋体" w:hAnsi="宋体" w:cs="宋体"/>
          <w:bCs/>
          <w:sz w:val="24"/>
          <w:highlight w:val="none"/>
        </w:rPr>
        <w:t>，已按Ⅲ级航道建设，建设航道尺度为3.0</w:t>
      </w:r>
      <w:r>
        <w:rPr>
          <w:rFonts w:hint="eastAsia" w:ascii="宋体" w:hAnsi="宋体" w:cs="宋体"/>
          <w:bCs/>
          <w:sz w:val="24"/>
          <w:highlight w:val="none"/>
          <w:lang w:eastAsia="zh-CN"/>
        </w:rPr>
        <w:t>米</w:t>
      </w:r>
      <w:r>
        <w:rPr>
          <w:rFonts w:hint="eastAsia" w:ascii="宋体" w:hAnsi="宋体" w:cs="宋体"/>
          <w:bCs/>
          <w:sz w:val="24"/>
          <w:highlight w:val="none"/>
        </w:rPr>
        <w:t>×60</w:t>
      </w:r>
      <w:r>
        <w:rPr>
          <w:rFonts w:hint="eastAsia" w:ascii="宋体" w:hAnsi="宋体" w:cs="宋体"/>
          <w:bCs/>
          <w:sz w:val="24"/>
          <w:highlight w:val="none"/>
          <w:lang w:eastAsia="zh-CN"/>
        </w:rPr>
        <w:t>米</w:t>
      </w:r>
      <w:r>
        <w:rPr>
          <w:rFonts w:hint="eastAsia" w:ascii="宋体" w:hAnsi="宋体" w:cs="宋体"/>
          <w:bCs/>
          <w:sz w:val="24"/>
          <w:highlight w:val="none"/>
        </w:rPr>
        <w:t>×480</w:t>
      </w:r>
      <w:r>
        <w:rPr>
          <w:rFonts w:hint="eastAsia" w:ascii="宋体" w:hAnsi="宋体" w:cs="宋体"/>
          <w:bCs/>
          <w:sz w:val="24"/>
          <w:highlight w:val="none"/>
          <w:lang w:eastAsia="zh-CN"/>
        </w:rPr>
        <w:t>米</w:t>
      </w:r>
      <w:r>
        <w:rPr>
          <w:rFonts w:hint="eastAsia" w:ascii="宋体" w:hAnsi="宋体" w:cs="宋体"/>
          <w:bCs/>
          <w:sz w:val="24"/>
          <w:highlight w:val="none"/>
        </w:rPr>
        <w:t>，设计代表船型为1000 吨级货船和1000 吨级多用途集装箱船，设计最低通航水位为1.90</w:t>
      </w:r>
      <w:r>
        <w:rPr>
          <w:rFonts w:hint="eastAsia" w:ascii="宋体" w:hAnsi="宋体" w:cs="宋体"/>
          <w:bCs/>
          <w:sz w:val="24"/>
          <w:highlight w:val="none"/>
          <w:lang w:eastAsia="zh-CN"/>
        </w:rPr>
        <w:t>米</w:t>
      </w:r>
      <w:r>
        <w:rPr>
          <w:rFonts w:hint="eastAsia" w:ascii="宋体" w:hAnsi="宋体" w:cs="宋体"/>
          <w:bCs/>
          <w:sz w:val="24"/>
          <w:highlight w:val="none"/>
        </w:rPr>
        <w:t>。由于下游西江段航道整治等多种因素影响，设计最低通航水位已经下降至1.21</w:t>
      </w:r>
      <w:r>
        <w:rPr>
          <w:rFonts w:hint="eastAsia" w:ascii="宋体" w:hAnsi="宋体" w:cs="宋体"/>
          <w:bCs/>
          <w:sz w:val="24"/>
          <w:highlight w:val="none"/>
          <w:lang w:eastAsia="zh-CN"/>
        </w:rPr>
        <w:t>米</w:t>
      </w:r>
      <w:r>
        <w:rPr>
          <w:rFonts w:hint="eastAsia" w:ascii="宋体" w:hAnsi="宋体" w:cs="宋体"/>
          <w:bCs/>
          <w:sz w:val="24"/>
          <w:highlight w:val="none"/>
        </w:rPr>
        <w:t>，降低约0.69</w:t>
      </w:r>
      <w:r>
        <w:rPr>
          <w:rFonts w:hint="eastAsia" w:ascii="宋体" w:hAnsi="宋体" w:cs="宋体"/>
          <w:bCs/>
          <w:sz w:val="24"/>
          <w:highlight w:val="none"/>
          <w:lang w:eastAsia="zh-CN"/>
        </w:rPr>
        <w:t>米</w:t>
      </w:r>
      <w:r>
        <w:rPr>
          <w:rFonts w:hint="eastAsia" w:ascii="宋体" w:hAnsi="宋体" w:cs="宋体"/>
          <w:bCs/>
          <w:sz w:val="24"/>
          <w:highlight w:val="none"/>
        </w:rPr>
        <w:t>，同时桂江航道工程（平乐至马江段）、桂江航道工程（马江至莲花大桥段）已经开工建设，根据桂江航道工程（马江至莲花大桥段）施工图设计，其中旺村坝下河段位于梧州工业区集中区范围，规划了较多的港口岸线，未来船舶密度较大，且旺村坝下河段为天然航道，河道较窄，旺村坝下航段炸礁范围考虑航道边线以外5～10</w:t>
      </w:r>
      <w:r>
        <w:rPr>
          <w:rFonts w:hint="eastAsia" w:ascii="宋体" w:hAnsi="宋体" w:cs="宋体"/>
          <w:bCs/>
          <w:sz w:val="24"/>
          <w:highlight w:val="none"/>
          <w:lang w:eastAsia="zh-CN"/>
        </w:rPr>
        <w:t>米</w:t>
      </w:r>
      <w:r>
        <w:rPr>
          <w:rFonts w:hint="eastAsia" w:ascii="宋体" w:hAnsi="宋体" w:cs="宋体"/>
          <w:bCs/>
          <w:sz w:val="24"/>
          <w:highlight w:val="none"/>
        </w:rPr>
        <w:t xml:space="preserve"> 的区域。旺村坝下至莲花大桥段航道设计航道尺度为3.5 米×70 米×480 米（水深×宽度×最小弯曲半径）。</w:t>
      </w:r>
    </w:p>
    <w:p w14:paraId="7383591A">
      <w:pPr>
        <w:spacing w:line="360" w:lineRule="auto"/>
        <w:ind w:firstLine="480" w:firstLineChars="200"/>
        <w:rPr>
          <w:rFonts w:hint="eastAsia" w:ascii="宋体" w:hAnsi="宋体" w:cs="宋体"/>
          <w:bCs/>
          <w:sz w:val="24"/>
          <w:highlight w:val="none"/>
        </w:rPr>
      </w:pPr>
      <w:r>
        <w:rPr>
          <w:rFonts w:hint="eastAsia" w:ascii="宋体" w:hAnsi="宋体" w:cs="宋体"/>
          <w:bCs/>
          <w:sz w:val="24"/>
          <w:highlight w:val="none"/>
        </w:rPr>
        <w:t>因此，</w:t>
      </w:r>
      <w:r>
        <w:rPr>
          <w:rFonts w:hint="eastAsia" w:ascii="宋体" w:hAnsi="宋体" w:cs="宋体"/>
          <w:bCs/>
          <w:sz w:val="24"/>
          <w:highlight w:val="none"/>
          <w:lang w:eastAsia="zh-CN"/>
        </w:rPr>
        <w:t>桂江航道（莲花大桥至桂江河口段）设计最低通航水位、航道尺度与在建桂江航道工程（马江至莲花大桥段）未衔接，</w:t>
      </w:r>
      <w:r>
        <w:rPr>
          <w:rFonts w:hint="eastAsia" w:ascii="宋体" w:hAnsi="宋体" w:cs="宋体"/>
          <w:bCs/>
          <w:sz w:val="24"/>
          <w:highlight w:val="none"/>
        </w:rPr>
        <w:t>需开展</w:t>
      </w:r>
      <w:r>
        <w:rPr>
          <w:rFonts w:hint="eastAsia" w:ascii="宋体" w:hAnsi="宋体" w:cs="宋体"/>
          <w:bCs/>
          <w:sz w:val="24"/>
          <w:highlight w:val="none"/>
          <w:lang w:eastAsia="zh-CN"/>
        </w:rPr>
        <w:t>桂江（莲花大桥至桂江河口）航道扩建工程</w:t>
      </w:r>
      <w:r>
        <w:rPr>
          <w:rFonts w:hint="eastAsia" w:ascii="宋体" w:hAnsi="宋体" w:cs="宋体"/>
          <w:bCs/>
          <w:sz w:val="24"/>
          <w:highlight w:val="none"/>
        </w:rPr>
        <w:t>工程可行性研究工作。</w:t>
      </w:r>
    </w:p>
    <w:p w14:paraId="7E2F1DDA">
      <w:pPr>
        <w:spacing w:line="360" w:lineRule="auto"/>
        <w:ind w:firstLine="480" w:firstLineChars="200"/>
        <w:rPr>
          <w:rFonts w:hint="eastAsia" w:ascii="宋体" w:hAnsi="宋体" w:cs="宋体"/>
          <w:sz w:val="24"/>
          <w:highlight w:val="none"/>
        </w:rPr>
      </w:pPr>
      <w:bookmarkStart w:id="12" w:name="OLE_LINK1"/>
      <w:r>
        <w:rPr>
          <w:rFonts w:hint="eastAsia" w:ascii="宋体" w:hAnsi="宋体" w:cs="宋体"/>
          <w:bCs/>
          <w:sz w:val="24"/>
          <w:highlight w:val="none"/>
          <w:lang w:eastAsia="zh-CN"/>
        </w:rPr>
        <w:t>桂江（莲花大桥至桂江河口）航道扩建工程</w:t>
      </w:r>
      <w:r>
        <w:rPr>
          <w:rFonts w:hint="eastAsia" w:ascii="宋体" w:hAnsi="宋体" w:cs="宋体"/>
          <w:bCs/>
          <w:sz w:val="24"/>
          <w:highlight w:val="none"/>
        </w:rPr>
        <w:t>，航道里程长约8.3</w:t>
      </w:r>
      <w:r>
        <w:rPr>
          <w:rFonts w:hint="eastAsia" w:ascii="宋体" w:hAnsi="宋体" w:cs="宋体"/>
          <w:bCs/>
          <w:sz w:val="24"/>
          <w:highlight w:val="none"/>
          <w:lang w:eastAsia="zh-CN"/>
        </w:rPr>
        <w:t>公里</w:t>
      </w:r>
      <w:r>
        <w:rPr>
          <w:rFonts w:hint="eastAsia" w:ascii="宋体" w:hAnsi="宋体" w:cs="宋体"/>
          <w:bCs/>
          <w:sz w:val="24"/>
          <w:highlight w:val="none"/>
        </w:rPr>
        <w:t>，按Ⅲ级航道建设，设计航道尺度：3.5米×70 米×480 米（水深×宽度×最小弯曲半径），设计最低通航水位1.21</w:t>
      </w:r>
      <w:r>
        <w:rPr>
          <w:rFonts w:hint="eastAsia" w:ascii="宋体" w:hAnsi="宋体" w:cs="宋体"/>
          <w:bCs/>
          <w:sz w:val="24"/>
          <w:highlight w:val="none"/>
          <w:lang w:eastAsia="zh-CN"/>
        </w:rPr>
        <w:t>米</w:t>
      </w:r>
      <w:r>
        <w:rPr>
          <w:rFonts w:hint="eastAsia" w:ascii="宋体" w:hAnsi="宋体" w:cs="宋体"/>
          <w:bCs/>
          <w:sz w:val="24"/>
          <w:highlight w:val="none"/>
        </w:rPr>
        <w:t>，主要工程内容包括生态疏浚炸礁工程、生态护岸工程、航标工程及配套工程等。</w:t>
      </w:r>
    </w:p>
    <w:bookmarkEnd w:id="11"/>
    <w:bookmarkEnd w:id="12"/>
    <w:p w14:paraId="70991D51">
      <w:pPr>
        <w:spacing w:line="360" w:lineRule="auto"/>
        <w:ind w:firstLine="480" w:firstLineChars="200"/>
        <w:rPr>
          <w:rFonts w:hint="eastAsia" w:ascii="宋体" w:hAnsi="宋体" w:cs="宋体"/>
          <w:bCs/>
          <w:sz w:val="24"/>
          <w:highlight w:val="none"/>
        </w:rPr>
      </w:pPr>
      <w:r>
        <w:rPr>
          <w:rFonts w:hint="eastAsia" w:ascii="宋体" w:hAnsi="宋体" w:cs="宋体"/>
          <w:bCs/>
          <w:sz w:val="24"/>
          <w:highlight w:val="none"/>
          <w:lang w:eastAsia="zh-CN"/>
        </w:rPr>
        <w:t>4</w:t>
      </w:r>
      <w:r>
        <w:rPr>
          <w:rFonts w:hint="eastAsia" w:ascii="宋体" w:hAnsi="宋体" w:cs="宋体"/>
          <w:bCs/>
          <w:sz w:val="24"/>
          <w:highlight w:val="none"/>
          <w:lang w:val="en-US" w:eastAsia="zh-CN"/>
        </w:rPr>
        <w:t>.</w:t>
      </w:r>
      <w:r>
        <w:rPr>
          <w:rFonts w:hint="eastAsia" w:ascii="宋体" w:hAnsi="宋体" w:cs="宋体"/>
          <w:bCs/>
          <w:sz w:val="24"/>
          <w:highlight w:val="none"/>
        </w:rPr>
        <w:t>本次采购内容：</w:t>
      </w:r>
      <w:r>
        <w:rPr>
          <w:rFonts w:hint="eastAsia" w:ascii="宋体" w:hAnsi="宋体" w:cs="宋体"/>
          <w:bCs/>
          <w:sz w:val="24"/>
          <w:highlight w:val="none"/>
          <w:lang w:eastAsia="zh-CN"/>
        </w:rPr>
        <w:t>工程</w:t>
      </w:r>
      <w:r>
        <w:rPr>
          <w:rFonts w:hint="eastAsia" w:ascii="宋体" w:hAnsi="宋体" w:cs="宋体"/>
          <w:bCs/>
          <w:sz w:val="24"/>
          <w:highlight w:val="none"/>
        </w:rPr>
        <w:t>可行性研究报告编制和</w:t>
      </w:r>
      <w:r>
        <w:rPr>
          <w:rFonts w:hint="eastAsia" w:ascii="宋体" w:hAnsi="宋体" w:cs="宋体"/>
          <w:bCs/>
          <w:sz w:val="24"/>
          <w:highlight w:val="none"/>
          <w:lang w:eastAsia="zh-CN"/>
        </w:rPr>
        <w:t>必要的工程测量</w:t>
      </w:r>
      <w:r>
        <w:rPr>
          <w:rFonts w:hint="eastAsia" w:ascii="宋体" w:hAnsi="宋体" w:cs="宋体"/>
          <w:bCs/>
          <w:sz w:val="24"/>
          <w:highlight w:val="none"/>
        </w:rPr>
        <w:t>。</w:t>
      </w:r>
    </w:p>
    <w:p w14:paraId="63ECEF7E">
      <w:pPr>
        <w:spacing w:line="360" w:lineRule="auto"/>
        <w:ind w:firstLine="480" w:firstLineChars="200"/>
        <w:jc w:val="left"/>
        <w:rPr>
          <w:rFonts w:hint="default" w:ascii="宋体" w:hAnsi="宋体" w:eastAsia="宋体" w:cs="宋体"/>
          <w:bCs/>
          <w:sz w:val="24"/>
          <w:highlight w:val="none"/>
          <w:lang w:val="en-US" w:eastAsia="zh-CN"/>
        </w:rPr>
      </w:pPr>
      <w:r>
        <w:rPr>
          <w:rFonts w:hint="eastAsia" w:ascii="宋体" w:hAnsi="宋体" w:cs="宋体"/>
          <w:bCs/>
          <w:sz w:val="24"/>
          <w:highlight w:val="none"/>
          <w:lang w:val="en-US" w:eastAsia="zh-CN"/>
        </w:rPr>
        <w:t>5.采购预算：50万元。</w:t>
      </w:r>
    </w:p>
    <w:p w14:paraId="3D06A6A2">
      <w:pPr>
        <w:spacing w:line="360" w:lineRule="auto"/>
        <w:ind w:firstLine="480" w:firstLineChars="200"/>
        <w:jc w:val="left"/>
        <w:rPr>
          <w:rFonts w:hint="eastAsia" w:ascii="仿宋_GB2312" w:hAnsi="仿宋" w:eastAsia="仿宋_GB2312" w:cs="宋体"/>
          <w:bCs/>
          <w:kern w:val="0"/>
          <w:sz w:val="24"/>
          <w:szCs w:val="24"/>
          <w:highlight w:val="none"/>
        </w:rPr>
      </w:pPr>
      <w:r>
        <w:rPr>
          <w:rFonts w:hint="eastAsia" w:ascii="宋体" w:hAnsi="宋体" w:cs="宋体"/>
          <w:bCs/>
          <w:sz w:val="24"/>
          <w:highlight w:val="none"/>
          <w:lang w:val="en-US" w:eastAsia="zh-CN"/>
        </w:rPr>
        <w:t>6.</w:t>
      </w:r>
      <w:r>
        <w:rPr>
          <w:rFonts w:hint="eastAsia" w:ascii="宋体" w:hAnsi="宋体" w:cs="宋体"/>
          <w:bCs/>
          <w:sz w:val="24"/>
          <w:highlight w:val="none"/>
        </w:rPr>
        <w:t>采购最高限价：50万元，报价超过50万元的响应文件为无效。</w:t>
      </w:r>
    </w:p>
    <w:p w14:paraId="58D948F3">
      <w:pPr>
        <w:spacing w:line="360" w:lineRule="auto"/>
        <w:ind w:firstLine="480" w:firstLineChars="200"/>
        <w:rPr>
          <w:rFonts w:hint="default" w:ascii="宋体" w:hAnsi="宋体" w:eastAsia="宋体" w:cs="宋体"/>
          <w:bCs/>
          <w:sz w:val="24"/>
          <w:highlight w:val="none"/>
          <w:lang w:val="en-US" w:eastAsia="zh-CN"/>
        </w:rPr>
      </w:pPr>
      <w:r>
        <w:rPr>
          <w:rFonts w:hint="eastAsia" w:ascii="宋体" w:hAnsi="宋体" w:cs="宋体"/>
          <w:bCs/>
          <w:sz w:val="24"/>
          <w:highlight w:val="none"/>
          <w:lang w:val="en-US" w:eastAsia="zh-CN"/>
        </w:rPr>
        <w:t>7.采购方式：自行采购。</w:t>
      </w:r>
    </w:p>
    <w:p w14:paraId="43337895">
      <w:pPr>
        <w:spacing w:line="360" w:lineRule="auto"/>
        <w:ind w:firstLine="480" w:firstLineChars="200"/>
        <w:rPr>
          <w:rFonts w:hint="eastAsia" w:ascii="宋体" w:hAnsi="宋体" w:cs="宋体"/>
          <w:bCs/>
          <w:sz w:val="24"/>
          <w:highlight w:val="none"/>
        </w:rPr>
      </w:pPr>
      <w:r>
        <w:rPr>
          <w:rFonts w:hint="eastAsia" w:ascii="宋体" w:hAnsi="宋体" w:cs="宋体"/>
          <w:bCs/>
          <w:sz w:val="24"/>
          <w:highlight w:val="none"/>
          <w:lang w:val="en-US" w:eastAsia="zh-CN"/>
        </w:rPr>
        <w:t>8.</w:t>
      </w:r>
      <w:r>
        <w:rPr>
          <w:rFonts w:hint="eastAsia" w:ascii="宋体" w:hAnsi="宋体" w:cs="宋体"/>
          <w:bCs/>
          <w:sz w:val="24"/>
          <w:highlight w:val="none"/>
        </w:rPr>
        <w:t xml:space="preserve">采购需求： </w:t>
      </w:r>
    </w:p>
    <w:p w14:paraId="53864D2F">
      <w:pPr>
        <w:spacing w:line="360" w:lineRule="auto"/>
        <w:ind w:firstLine="480" w:firstLineChars="200"/>
        <w:rPr>
          <w:rFonts w:hint="eastAsia" w:ascii="宋体" w:hAnsi="宋体" w:cs="宋体"/>
          <w:bCs/>
          <w:sz w:val="24"/>
          <w:highlight w:val="none"/>
        </w:rPr>
      </w:pPr>
    </w:p>
    <w:p w14:paraId="3A27C834">
      <w:pPr>
        <w:spacing w:line="360" w:lineRule="auto"/>
        <w:ind w:firstLine="480" w:firstLineChars="200"/>
        <w:rPr>
          <w:rFonts w:hint="eastAsia" w:ascii="宋体" w:hAnsi="宋体" w:cs="宋体"/>
          <w:bCs/>
          <w:sz w:val="24"/>
          <w:highlight w:val="none"/>
        </w:rPr>
      </w:pPr>
    </w:p>
    <w:tbl>
      <w:tblPr>
        <w:tblStyle w:val="2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57" w:type="dxa"/>
          <w:left w:w="108" w:type="dxa"/>
          <w:bottom w:w="57" w:type="dxa"/>
          <w:right w:w="108" w:type="dxa"/>
        </w:tblCellMar>
      </w:tblPr>
      <w:tblGrid>
        <w:gridCol w:w="776"/>
        <w:gridCol w:w="1590"/>
        <w:gridCol w:w="1005"/>
        <w:gridCol w:w="5384"/>
      </w:tblGrid>
      <w:tr w14:paraId="0A70BB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57" w:type="dxa"/>
            <w:left w:w="108" w:type="dxa"/>
            <w:bottom w:w="57" w:type="dxa"/>
            <w:right w:w="108" w:type="dxa"/>
          </w:tblCellMar>
        </w:tblPrEx>
        <w:trPr>
          <w:cantSplit/>
        </w:trPr>
        <w:tc>
          <w:tcPr>
            <w:tcW w:w="776" w:type="dxa"/>
            <w:tcBorders>
              <w:top w:val="single" w:color="auto" w:sz="4" w:space="0"/>
              <w:left w:val="single" w:color="auto" w:sz="4" w:space="0"/>
              <w:bottom w:val="single" w:color="auto" w:sz="4" w:space="0"/>
              <w:right w:val="single" w:color="auto" w:sz="4" w:space="0"/>
            </w:tcBorders>
            <w:vAlign w:val="center"/>
          </w:tcPr>
          <w:p w14:paraId="28A5BCE7">
            <w:pPr>
              <w:adjustRightInd w:val="0"/>
              <w:snapToGrid w:val="0"/>
              <w:jc w:val="center"/>
              <w:rPr>
                <w:rFonts w:hint="eastAsia" w:ascii="宋体" w:hAnsi="宋体"/>
                <w:sz w:val="24"/>
                <w:szCs w:val="24"/>
                <w:highlight w:val="none"/>
              </w:rPr>
            </w:pPr>
            <w:r>
              <w:rPr>
                <w:rFonts w:hint="eastAsia" w:ascii="宋体" w:hAnsi="宋体"/>
                <w:sz w:val="24"/>
                <w:szCs w:val="24"/>
                <w:highlight w:val="none"/>
              </w:rPr>
              <w:t>序号</w:t>
            </w:r>
          </w:p>
        </w:tc>
        <w:tc>
          <w:tcPr>
            <w:tcW w:w="1590" w:type="dxa"/>
            <w:tcBorders>
              <w:top w:val="single" w:color="auto" w:sz="4" w:space="0"/>
              <w:left w:val="single" w:color="auto" w:sz="4" w:space="0"/>
              <w:bottom w:val="single" w:color="auto" w:sz="4" w:space="0"/>
              <w:right w:val="single" w:color="auto" w:sz="4" w:space="0"/>
            </w:tcBorders>
            <w:vAlign w:val="center"/>
          </w:tcPr>
          <w:p w14:paraId="794CBC69">
            <w:pPr>
              <w:adjustRightInd w:val="0"/>
              <w:snapToGrid w:val="0"/>
              <w:jc w:val="center"/>
              <w:rPr>
                <w:rFonts w:hint="eastAsia" w:ascii="宋体" w:hAnsi="宋体"/>
                <w:sz w:val="24"/>
                <w:szCs w:val="24"/>
                <w:highlight w:val="none"/>
              </w:rPr>
            </w:pPr>
            <w:r>
              <w:rPr>
                <w:rFonts w:hint="eastAsia" w:ascii="宋体" w:hAnsi="宋体"/>
                <w:sz w:val="24"/>
                <w:szCs w:val="24"/>
                <w:highlight w:val="none"/>
              </w:rPr>
              <w:t>标的名称</w:t>
            </w:r>
          </w:p>
        </w:tc>
        <w:tc>
          <w:tcPr>
            <w:tcW w:w="1005" w:type="dxa"/>
            <w:tcBorders>
              <w:top w:val="single" w:color="auto" w:sz="4" w:space="0"/>
              <w:left w:val="single" w:color="auto" w:sz="4" w:space="0"/>
              <w:bottom w:val="single" w:color="auto" w:sz="4" w:space="0"/>
              <w:right w:val="single" w:color="auto" w:sz="4" w:space="0"/>
            </w:tcBorders>
            <w:vAlign w:val="center"/>
          </w:tcPr>
          <w:p w14:paraId="0FE507D3">
            <w:pPr>
              <w:adjustRightInd w:val="0"/>
              <w:snapToGrid w:val="0"/>
              <w:jc w:val="center"/>
              <w:rPr>
                <w:rFonts w:hint="eastAsia" w:ascii="宋体" w:hAnsi="宋体"/>
                <w:sz w:val="24"/>
                <w:szCs w:val="24"/>
                <w:highlight w:val="none"/>
              </w:rPr>
            </w:pPr>
            <w:r>
              <w:rPr>
                <w:rFonts w:hint="eastAsia" w:ascii="宋体" w:hAnsi="宋体"/>
                <w:sz w:val="24"/>
                <w:szCs w:val="24"/>
                <w:highlight w:val="none"/>
              </w:rPr>
              <w:t>数量及</w:t>
            </w:r>
          </w:p>
          <w:p w14:paraId="6069F0E8">
            <w:pPr>
              <w:adjustRightInd w:val="0"/>
              <w:snapToGrid w:val="0"/>
              <w:jc w:val="center"/>
              <w:rPr>
                <w:rFonts w:hint="eastAsia" w:ascii="宋体" w:hAnsi="宋体"/>
                <w:sz w:val="24"/>
                <w:szCs w:val="24"/>
                <w:highlight w:val="none"/>
              </w:rPr>
            </w:pPr>
            <w:r>
              <w:rPr>
                <w:rFonts w:hint="eastAsia" w:ascii="宋体" w:hAnsi="宋体"/>
                <w:sz w:val="24"/>
                <w:szCs w:val="24"/>
                <w:highlight w:val="none"/>
              </w:rPr>
              <w:t>单位</w:t>
            </w:r>
          </w:p>
        </w:tc>
        <w:tc>
          <w:tcPr>
            <w:tcW w:w="5384" w:type="dxa"/>
            <w:tcBorders>
              <w:top w:val="single" w:color="auto" w:sz="4" w:space="0"/>
              <w:left w:val="single" w:color="auto" w:sz="4" w:space="0"/>
              <w:bottom w:val="single" w:color="auto" w:sz="4" w:space="0"/>
              <w:right w:val="single" w:color="auto" w:sz="4" w:space="0"/>
            </w:tcBorders>
            <w:vAlign w:val="center"/>
          </w:tcPr>
          <w:p w14:paraId="5B4BEA84">
            <w:pPr>
              <w:adjustRightInd w:val="0"/>
              <w:snapToGrid w:val="0"/>
              <w:jc w:val="center"/>
              <w:rPr>
                <w:rFonts w:hint="eastAsia" w:ascii="宋体" w:hAnsi="宋体"/>
                <w:sz w:val="24"/>
                <w:szCs w:val="24"/>
                <w:highlight w:val="none"/>
              </w:rPr>
            </w:pPr>
            <w:r>
              <w:rPr>
                <w:rFonts w:hint="eastAsia" w:ascii="宋体" w:hAnsi="宋体"/>
                <w:sz w:val="24"/>
                <w:szCs w:val="24"/>
                <w:highlight w:val="none"/>
              </w:rPr>
              <w:t>简要服务要求或者技术需求</w:t>
            </w:r>
          </w:p>
        </w:tc>
      </w:tr>
      <w:tr w14:paraId="49F0C3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57" w:type="dxa"/>
            <w:left w:w="108" w:type="dxa"/>
            <w:bottom w:w="57" w:type="dxa"/>
            <w:right w:w="108" w:type="dxa"/>
          </w:tblCellMar>
        </w:tblPrEx>
        <w:trPr>
          <w:cantSplit/>
        </w:trPr>
        <w:tc>
          <w:tcPr>
            <w:tcW w:w="776" w:type="dxa"/>
            <w:tcBorders>
              <w:top w:val="single" w:color="auto" w:sz="4" w:space="0"/>
              <w:left w:val="single" w:color="auto" w:sz="4" w:space="0"/>
              <w:bottom w:val="single" w:color="auto" w:sz="4" w:space="0"/>
              <w:right w:val="single" w:color="auto" w:sz="4" w:space="0"/>
            </w:tcBorders>
            <w:vAlign w:val="center"/>
          </w:tcPr>
          <w:p w14:paraId="21E60AC7">
            <w:pPr>
              <w:snapToGrid w:val="0"/>
              <w:spacing w:line="360" w:lineRule="auto"/>
              <w:jc w:val="center"/>
              <w:rPr>
                <w:rFonts w:hint="eastAsia" w:ascii="宋体" w:hAnsi="宋体"/>
                <w:sz w:val="24"/>
                <w:szCs w:val="24"/>
                <w:highlight w:val="none"/>
              </w:rPr>
            </w:pPr>
            <w:r>
              <w:rPr>
                <w:rFonts w:hint="eastAsia" w:ascii="宋体" w:hAnsi="宋体"/>
                <w:sz w:val="24"/>
                <w:szCs w:val="24"/>
                <w:highlight w:val="none"/>
              </w:rPr>
              <w:t>1</w:t>
            </w:r>
          </w:p>
        </w:tc>
        <w:tc>
          <w:tcPr>
            <w:tcW w:w="1590" w:type="dxa"/>
            <w:tcBorders>
              <w:top w:val="single" w:color="auto" w:sz="4" w:space="0"/>
              <w:left w:val="single" w:color="auto" w:sz="4" w:space="0"/>
              <w:bottom w:val="single" w:color="auto" w:sz="4" w:space="0"/>
              <w:right w:val="single" w:color="auto" w:sz="4" w:space="0"/>
            </w:tcBorders>
            <w:vAlign w:val="center"/>
          </w:tcPr>
          <w:p w14:paraId="1138370F">
            <w:pPr>
              <w:snapToGrid w:val="0"/>
              <w:spacing w:line="360" w:lineRule="auto"/>
              <w:rPr>
                <w:rFonts w:hint="eastAsia" w:ascii="宋体" w:hAnsi="宋体"/>
                <w:sz w:val="24"/>
                <w:szCs w:val="24"/>
                <w:highlight w:val="none"/>
              </w:rPr>
            </w:pPr>
            <w:r>
              <w:rPr>
                <w:rFonts w:hint="eastAsia" w:ascii="宋体" w:hAnsi="宋体"/>
                <w:sz w:val="24"/>
                <w:szCs w:val="24"/>
                <w:highlight w:val="none"/>
                <w:lang w:eastAsia="zh-CN"/>
              </w:rPr>
              <w:t>桂江（莲花大桥至桂江河口）航道扩建工程</w:t>
            </w:r>
            <w:r>
              <w:rPr>
                <w:rFonts w:hint="eastAsia" w:ascii="宋体" w:hAnsi="宋体"/>
                <w:sz w:val="24"/>
                <w:szCs w:val="24"/>
                <w:highlight w:val="none"/>
              </w:rPr>
              <w:t>工程可行性研究</w:t>
            </w:r>
          </w:p>
        </w:tc>
        <w:tc>
          <w:tcPr>
            <w:tcW w:w="1005" w:type="dxa"/>
            <w:tcBorders>
              <w:top w:val="single" w:color="auto" w:sz="4" w:space="0"/>
              <w:left w:val="single" w:color="auto" w:sz="4" w:space="0"/>
              <w:bottom w:val="single" w:color="auto" w:sz="4" w:space="0"/>
              <w:right w:val="single" w:color="auto" w:sz="4" w:space="0"/>
            </w:tcBorders>
            <w:vAlign w:val="center"/>
          </w:tcPr>
          <w:p w14:paraId="34A4E7DB">
            <w:pPr>
              <w:keepNext/>
              <w:snapToGrid w:val="0"/>
              <w:spacing w:line="360" w:lineRule="auto"/>
              <w:jc w:val="center"/>
              <w:rPr>
                <w:rFonts w:hint="eastAsia" w:ascii="宋体" w:hAnsi="宋体"/>
                <w:sz w:val="24"/>
                <w:szCs w:val="24"/>
                <w:highlight w:val="none"/>
              </w:rPr>
            </w:pPr>
            <w:r>
              <w:rPr>
                <w:rFonts w:hint="eastAsia" w:ascii="宋体" w:hAnsi="宋体"/>
                <w:sz w:val="24"/>
                <w:szCs w:val="24"/>
                <w:highlight w:val="none"/>
              </w:rPr>
              <w:t>1项</w:t>
            </w:r>
          </w:p>
        </w:tc>
        <w:tc>
          <w:tcPr>
            <w:tcW w:w="5384" w:type="dxa"/>
            <w:tcBorders>
              <w:top w:val="single" w:color="auto" w:sz="4" w:space="0"/>
              <w:left w:val="single" w:color="auto" w:sz="4" w:space="0"/>
              <w:bottom w:val="single" w:color="auto" w:sz="4" w:space="0"/>
              <w:right w:val="single" w:color="auto" w:sz="4" w:space="0"/>
            </w:tcBorders>
            <w:vAlign w:val="center"/>
          </w:tcPr>
          <w:p w14:paraId="355F993F">
            <w:pPr>
              <w:pStyle w:val="6"/>
              <w:ind w:firstLine="480" w:firstLineChars="200"/>
              <w:rPr>
                <w:rFonts w:hint="eastAsia" w:ascii="宋体" w:hAnsi="宋体"/>
                <w:b w:val="0"/>
                <w:bCs w:val="0"/>
                <w:sz w:val="24"/>
                <w:szCs w:val="24"/>
                <w:highlight w:val="none"/>
              </w:rPr>
            </w:pPr>
            <w:r>
              <w:rPr>
                <w:rFonts w:hint="eastAsia" w:ascii="宋体" w:hAnsi="宋体"/>
                <w:b w:val="0"/>
                <w:bCs w:val="0"/>
                <w:sz w:val="24"/>
                <w:szCs w:val="24"/>
                <w:highlight w:val="none"/>
                <w:lang w:eastAsia="zh-CN"/>
              </w:rPr>
              <w:t>桂江（莲花大桥至桂江河口）航道扩建工程</w:t>
            </w:r>
            <w:r>
              <w:rPr>
                <w:rFonts w:hint="eastAsia" w:ascii="宋体" w:hAnsi="宋体"/>
                <w:b w:val="0"/>
                <w:bCs w:val="0"/>
                <w:sz w:val="24"/>
                <w:szCs w:val="24"/>
                <w:highlight w:val="none"/>
              </w:rPr>
              <w:t>，航道里程长约8.3</w:t>
            </w:r>
            <w:r>
              <w:rPr>
                <w:rFonts w:hint="eastAsia" w:ascii="宋体" w:hAnsi="宋体"/>
                <w:b w:val="0"/>
                <w:bCs w:val="0"/>
                <w:sz w:val="24"/>
                <w:szCs w:val="24"/>
                <w:highlight w:val="none"/>
                <w:lang w:eastAsia="zh-CN"/>
              </w:rPr>
              <w:t>公里</w:t>
            </w:r>
            <w:r>
              <w:rPr>
                <w:rFonts w:hint="eastAsia" w:ascii="宋体" w:hAnsi="宋体"/>
                <w:b w:val="0"/>
                <w:bCs w:val="0"/>
                <w:sz w:val="24"/>
                <w:szCs w:val="24"/>
                <w:highlight w:val="none"/>
              </w:rPr>
              <w:t>，按Ⅲ级航道建设，设计航道尺度：3.5米×70 米×480 米（水深×宽度×最小弯曲半径），设计最低通航水位1.21</w:t>
            </w:r>
            <w:r>
              <w:rPr>
                <w:rFonts w:hint="eastAsia" w:ascii="宋体" w:hAnsi="宋体"/>
                <w:b w:val="0"/>
                <w:bCs w:val="0"/>
                <w:sz w:val="24"/>
                <w:szCs w:val="24"/>
                <w:highlight w:val="none"/>
                <w:lang w:eastAsia="zh-CN"/>
              </w:rPr>
              <w:t>米</w:t>
            </w:r>
            <w:r>
              <w:rPr>
                <w:rFonts w:hint="eastAsia" w:ascii="宋体" w:hAnsi="宋体"/>
                <w:b w:val="0"/>
                <w:bCs w:val="0"/>
                <w:sz w:val="24"/>
                <w:szCs w:val="24"/>
                <w:highlight w:val="none"/>
              </w:rPr>
              <w:t>，主要工程内容包括生态疏浚炸礁工程、生态护岸工程、航标工程及配套工程等。</w:t>
            </w:r>
          </w:p>
          <w:p w14:paraId="2F86D3D0">
            <w:pPr>
              <w:pStyle w:val="6"/>
              <w:ind w:firstLine="480" w:firstLineChars="200"/>
              <w:rPr>
                <w:b w:val="0"/>
                <w:bCs w:val="0"/>
                <w:sz w:val="24"/>
                <w:szCs w:val="24"/>
                <w:highlight w:val="none"/>
              </w:rPr>
            </w:pPr>
            <w:r>
              <w:rPr>
                <w:rFonts w:hint="eastAsia"/>
                <w:b w:val="0"/>
                <w:bCs w:val="0"/>
                <w:sz w:val="24"/>
                <w:szCs w:val="24"/>
                <w:highlight w:val="none"/>
              </w:rPr>
              <w:t>主要内容：</w:t>
            </w:r>
            <w:r>
              <w:rPr>
                <w:rFonts w:hint="eastAsia" w:ascii="宋体" w:hAnsi="宋体" w:cs="宋体"/>
                <w:b w:val="0"/>
                <w:bCs w:val="0"/>
                <w:sz w:val="24"/>
                <w:szCs w:val="24"/>
                <w:highlight w:val="none"/>
              </w:rPr>
              <w:t>开展</w:t>
            </w:r>
            <w:r>
              <w:rPr>
                <w:rFonts w:hint="eastAsia" w:ascii="宋体" w:hAnsi="宋体" w:cs="宋体"/>
                <w:b w:val="0"/>
                <w:bCs w:val="0"/>
                <w:sz w:val="24"/>
                <w:szCs w:val="24"/>
                <w:highlight w:val="none"/>
                <w:lang w:eastAsia="zh-CN"/>
              </w:rPr>
              <w:t>必要的工程</w:t>
            </w:r>
            <w:r>
              <w:rPr>
                <w:rFonts w:hint="eastAsia" w:ascii="宋体" w:hAnsi="宋体" w:cs="宋体"/>
                <w:b w:val="0"/>
                <w:bCs w:val="0"/>
                <w:sz w:val="24"/>
                <w:szCs w:val="24"/>
                <w:highlight w:val="none"/>
              </w:rPr>
              <w:t>测量，测量面积约为3.4平方公里；编制</w:t>
            </w:r>
            <w:r>
              <w:rPr>
                <w:rFonts w:hint="eastAsia" w:ascii="宋体" w:hAnsi="宋体" w:cs="宋体"/>
                <w:b w:val="0"/>
                <w:bCs w:val="0"/>
                <w:sz w:val="24"/>
                <w:szCs w:val="24"/>
                <w:highlight w:val="none"/>
                <w:lang w:eastAsia="zh-CN"/>
              </w:rPr>
              <w:t>桂江（莲花大桥至桂江河口）航道扩建工程</w:t>
            </w:r>
            <w:r>
              <w:rPr>
                <w:rFonts w:hint="eastAsia" w:ascii="宋体" w:hAnsi="宋体" w:cs="宋体"/>
                <w:b w:val="0"/>
                <w:bCs w:val="0"/>
                <w:sz w:val="24"/>
                <w:szCs w:val="24"/>
                <w:highlight w:val="none"/>
              </w:rPr>
              <w:t>工程可行性研究报告</w:t>
            </w:r>
            <w:r>
              <w:rPr>
                <w:rFonts w:hint="eastAsia"/>
                <w:b w:val="0"/>
                <w:bCs w:val="0"/>
                <w:sz w:val="24"/>
                <w:szCs w:val="24"/>
                <w:highlight w:val="none"/>
              </w:rPr>
              <w:t>。</w:t>
            </w:r>
          </w:p>
          <w:p w14:paraId="3DCFD7EB">
            <w:pPr>
              <w:rPr>
                <w:rFonts w:hint="eastAsia" w:ascii="Times New Roman" w:hAnsi="Times New Roman"/>
                <w:szCs w:val="24"/>
                <w:highlight w:val="none"/>
              </w:rPr>
            </w:pPr>
            <w:r>
              <w:rPr>
                <w:rFonts w:hint="eastAsia" w:ascii="宋体" w:hAnsi="宋体"/>
                <w:b w:val="0"/>
                <w:bCs w:val="0"/>
                <w:sz w:val="24"/>
                <w:szCs w:val="24"/>
                <w:highlight w:val="none"/>
                <w:lang w:eastAsia="zh-CN"/>
              </w:rPr>
              <w:t>详见第三章《采购需求》。</w:t>
            </w:r>
          </w:p>
        </w:tc>
      </w:tr>
    </w:tbl>
    <w:p w14:paraId="348119FE">
      <w:pPr>
        <w:spacing w:line="360" w:lineRule="auto"/>
        <w:ind w:firstLine="480" w:firstLineChars="200"/>
        <w:rPr>
          <w:rFonts w:hint="eastAsia" w:ascii="宋体" w:hAnsi="宋体" w:cs="宋体"/>
          <w:bCs/>
          <w:sz w:val="24"/>
          <w:highlight w:val="none"/>
        </w:rPr>
      </w:pPr>
      <w:r>
        <w:rPr>
          <w:rFonts w:hint="eastAsia" w:ascii="宋体" w:hAnsi="宋体" w:cs="宋体"/>
          <w:bCs/>
          <w:sz w:val="24"/>
          <w:highlight w:val="none"/>
          <w:lang w:val="en-US" w:eastAsia="zh-CN"/>
        </w:rPr>
        <w:t>9.</w:t>
      </w:r>
      <w:r>
        <w:rPr>
          <w:rFonts w:hint="eastAsia" w:ascii="宋体" w:hAnsi="宋体" w:cs="宋体"/>
          <w:bCs/>
          <w:sz w:val="24"/>
          <w:highlight w:val="none"/>
        </w:rPr>
        <w:t>合同履行期限：</w:t>
      </w:r>
    </w:p>
    <w:p w14:paraId="57CF07E1">
      <w:pPr>
        <w:spacing w:line="360" w:lineRule="auto"/>
        <w:ind w:firstLine="480" w:firstLineChars="200"/>
        <w:rPr>
          <w:rFonts w:hint="eastAsia" w:ascii="宋体" w:hAnsi="宋体" w:cs="宋体"/>
          <w:sz w:val="24"/>
          <w:highlight w:val="none"/>
          <w:lang w:bidi="ar"/>
        </w:rPr>
      </w:pPr>
      <w:r>
        <w:rPr>
          <w:rFonts w:hint="eastAsia" w:ascii="宋体" w:hAnsi="宋体" w:cs="宋体"/>
          <w:bCs/>
          <w:sz w:val="24"/>
          <w:highlight w:val="none"/>
        </w:rPr>
        <w:t>服务总工期：</w:t>
      </w:r>
      <w:r>
        <w:rPr>
          <w:rFonts w:hint="eastAsia" w:ascii="宋体" w:hAnsi="宋体" w:cs="宋体"/>
          <w:b/>
          <w:bCs/>
          <w:snapToGrid w:val="0"/>
          <w:kern w:val="0"/>
          <w:sz w:val="24"/>
          <w:highlight w:val="none"/>
        </w:rPr>
        <w:t>合同签订后60日历天</w:t>
      </w:r>
      <w:r>
        <w:rPr>
          <w:rFonts w:hint="eastAsia" w:ascii="宋体" w:hAnsi="宋体" w:cs="宋体"/>
          <w:sz w:val="24"/>
          <w:highlight w:val="none"/>
          <w:lang w:bidi="ar"/>
        </w:rPr>
        <w:t>。具体如下：签订合同后45日历天内提交工程可行性研究报告送审稿，并在工程可行性研究报告</w:t>
      </w:r>
      <w:r>
        <w:rPr>
          <w:rFonts w:hint="eastAsia" w:ascii="宋体" w:hAnsi="宋体" w:cs="宋体"/>
          <w:sz w:val="24"/>
          <w:highlight w:val="none"/>
          <w:lang w:eastAsia="zh-CN" w:bidi="ar"/>
        </w:rPr>
        <w:t>评审会后15日内</w:t>
      </w:r>
      <w:r>
        <w:rPr>
          <w:rFonts w:hint="eastAsia" w:ascii="宋体" w:hAnsi="宋体" w:cs="宋体"/>
          <w:sz w:val="24"/>
          <w:highlight w:val="none"/>
          <w:lang w:bidi="ar"/>
        </w:rPr>
        <w:t>完成报批稿。并配合采购人最终取得批复。</w:t>
      </w:r>
    </w:p>
    <w:p w14:paraId="3DECFD0F">
      <w:pPr>
        <w:spacing w:line="360" w:lineRule="auto"/>
        <w:ind w:firstLine="480" w:firstLineChars="200"/>
        <w:rPr>
          <w:rFonts w:hint="eastAsia" w:ascii="宋体" w:hAnsi="宋体" w:cs="宋体"/>
          <w:bCs/>
          <w:sz w:val="24"/>
          <w:highlight w:val="none"/>
        </w:rPr>
      </w:pPr>
      <w:r>
        <w:rPr>
          <w:rFonts w:hint="eastAsia" w:ascii="宋体" w:hAnsi="宋体" w:cs="宋体"/>
          <w:sz w:val="24"/>
          <w:highlight w:val="none"/>
          <w:lang w:bidi="ar"/>
        </w:rPr>
        <w:t>主管部门审查、审批时间另行计算。</w:t>
      </w:r>
    </w:p>
    <w:p w14:paraId="3C6E1E14">
      <w:pPr>
        <w:spacing w:line="360" w:lineRule="auto"/>
        <w:ind w:firstLine="480" w:firstLineChars="200"/>
        <w:rPr>
          <w:rFonts w:hint="eastAsia" w:ascii="宋体" w:hAnsi="宋体" w:cs="宋体"/>
          <w:bCs/>
          <w:sz w:val="24"/>
          <w:highlight w:val="none"/>
        </w:rPr>
      </w:pPr>
      <w:r>
        <w:rPr>
          <w:rFonts w:hint="eastAsia" w:ascii="宋体" w:hAnsi="宋体" w:cs="宋体"/>
          <w:bCs/>
          <w:sz w:val="24"/>
          <w:highlight w:val="none"/>
          <w:lang w:val="en-US" w:eastAsia="zh-CN"/>
        </w:rPr>
        <w:t>10.</w:t>
      </w:r>
      <w:r>
        <w:rPr>
          <w:rFonts w:hint="eastAsia" w:ascii="宋体" w:hAnsi="宋体" w:cs="宋体"/>
          <w:bCs/>
          <w:sz w:val="24"/>
          <w:highlight w:val="none"/>
        </w:rPr>
        <w:t>本次采购不接受联合体</w:t>
      </w:r>
      <w:r>
        <w:rPr>
          <w:rFonts w:hint="eastAsia" w:ascii="宋体" w:hAnsi="宋体" w:cs="宋体"/>
          <w:bCs/>
          <w:sz w:val="24"/>
          <w:highlight w:val="none"/>
          <w:lang w:eastAsia="zh-CN"/>
        </w:rPr>
        <w:t>投标</w:t>
      </w:r>
      <w:r>
        <w:rPr>
          <w:rFonts w:hint="eastAsia" w:ascii="宋体" w:hAnsi="宋体" w:cs="宋体"/>
          <w:bCs/>
          <w:sz w:val="24"/>
          <w:highlight w:val="none"/>
        </w:rPr>
        <w:t>。</w:t>
      </w:r>
    </w:p>
    <w:p w14:paraId="6784A8D9">
      <w:pPr>
        <w:spacing w:line="360" w:lineRule="auto"/>
        <w:ind w:firstLine="354" w:firstLineChars="147"/>
        <w:rPr>
          <w:rFonts w:hint="eastAsia" w:ascii="黑体" w:hAnsi="黑体" w:eastAsia="黑体"/>
          <w:b/>
          <w:sz w:val="24"/>
          <w:highlight w:val="none"/>
        </w:rPr>
      </w:pPr>
      <w:r>
        <w:rPr>
          <w:rFonts w:hint="eastAsia" w:ascii="黑体" w:hAnsi="黑体" w:eastAsia="黑体"/>
          <w:b/>
          <w:sz w:val="24"/>
          <w:highlight w:val="none"/>
        </w:rPr>
        <w:t>二、供应商的资格条件</w:t>
      </w:r>
    </w:p>
    <w:p w14:paraId="674E86E3">
      <w:pPr>
        <w:spacing w:line="360" w:lineRule="auto"/>
        <w:ind w:firstLine="480" w:firstLineChars="200"/>
        <w:rPr>
          <w:rFonts w:hint="eastAsia" w:ascii="宋体" w:hAnsi="宋体" w:cs="宋体"/>
          <w:bCs/>
          <w:sz w:val="24"/>
          <w:highlight w:val="none"/>
        </w:rPr>
      </w:pPr>
      <w:r>
        <w:rPr>
          <w:rFonts w:hint="eastAsia" w:ascii="宋体" w:hAnsi="宋体" w:cs="宋体"/>
          <w:sz w:val="24"/>
          <w:highlight w:val="none"/>
          <w:lang w:bidi="ar"/>
        </w:rPr>
        <w:t>1</w:t>
      </w:r>
      <w:r>
        <w:rPr>
          <w:rFonts w:hint="eastAsia" w:ascii="宋体" w:hAnsi="宋体" w:cs="宋体"/>
          <w:sz w:val="24"/>
          <w:highlight w:val="none"/>
          <w:lang w:val="en-US" w:eastAsia="zh-CN" w:bidi="ar"/>
        </w:rPr>
        <w:t>.</w:t>
      </w:r>
      <w:r>
        <w:rPr>
          <w:rFonts w:hint="eastAsia" w:ascii="宋体" w:hAnsi="宋体" w:cs="宋体"/>
          <w:sz w:val="24"/>
          <w:highlight w:val="none"/>
          <w:lang w:bidi="ar"/>
        </w:rPr>
        <w:t>具备国内独立法人资格。</w:t>
      </w:r>
      <w:r>
        <w:rPr>
          <w:rFonts w:hint="eastAsia" w:ascii="宋体" w:hAnsi="宋体" w:cs="宋体"/>
          <w:bCs/>
          <w:sz w:val="24"/>
          <w:highlight w:val="none"/>
        </w:rPr>
        <w:t>供应商须具有独立承担民事责任的能力，为中华人民共和国境内注册的法人或其他组织，具有有效的营业执照；</w:t>
      </w:r>
    </w:p>
    <w:p w14:paraId="4A99AE8C">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2</w:t>
      </w:r>
      <w:r>
        <w:rPr>
          <w:rFonts w:hint="eastAsia" w:ascii="宋体" w:hAnsi="宋体" w:cs="宋体"/>
          <w:sz w:val="24"/>
          <w:highlight w:val="none"/>
          <w:lang w:val="en-US" w:eastAsia="zh-CN" w:bidi="ar"/>
        </w:rPr>
        <w:t>.特定</w:t>
      </w:r>
      <w:r>
        <w:rPr>
          <w:rFonts w:hint="eastAsia" w:ascii="宋体" w:hAnsi="宋体" w:cs="宋体"/>
          <w:sz w:val="24"/>
          <w:highlight w:val="none"/>
          <w:lang w:bidi="ar"/>
        </w:rPr>
        <w:t>资质要求：</w:t>
      </w:r>
    </w:p>
    <w:p w14:paraId="4D0DF577">
      <w:pPr>
        <w:widowControl/>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lang w:eastAsia="zh-CN"/>
        </w:rPr>
        <w:t>供应商应同时</w:t>
      </w:r>
      <w:r>
        <w:rPr>
          <w:rFonts w:hint="eastAsia" w:ascii="宋体" w:hAnsi="宋体" w:cs="宋体"/>
          <w:bCs/>
          <w:sz w:val="24"/>
          <w:highlight w:val="none"/>
        </w:rPr>
        <w:t>具备</w:t>
      </w:r>
      <w:r>
        <w:rPr>
          <w:rFonts w:hint="eastAsia" w:ascii="宋体" w:hAnsi="宋体" w:cs="宋体"/>
          <w:bCs/>
          <w:sz w:val="24"/>
          <w:highlight w:val="none"/>
          <w:lang w:eastAsia="zh-CN"/>
        </w:rPr>
        <w:t>以下资质：</w:t>
      </w:r>
    </w:p>
    <w:p w14:paraId="1595A925">
      <w:pPr>
        <w:spacing w:line="360" w:lineRule="auto"/>
        <w:ind w:firstLine="480" w:firstLineChars="200"/>
        <w:rPr>
          <w:rFonts w:hint="eastAsia" w:ascii="宋体" w:hAnsi="宋体" w:cs="宋体"/>
          <w:sz w:val="24"/>
          <w:highlight w:val="none"/>
          <w:lang w:bidi="ar"/>
        </w:rPr>
      </w:pPr>
      <w:r>
        <w:rPr>
          <w:rFonts w:hint="eastAsia" w:ascii="宋体" w:hAnsi="宋体" w:cs="宋体"/>
          <w:bCs/>
          <w:sz w:val="24"/>
          <w:highlight w:val="none"/>
          <w:lang w:eastAsia="zh-CN"/>
        </w:rPr>
        <w:t>（</w:t>
      </w:r>
      <w:r>
        <w:rPr>
          <w:rFonts w:hint="eastAsia" w:ascii="宋体" w:hAnsi="宋体" w:cs="宋体"/>
          <w:bCs/>
          <w:sz w:val="24"/>
          <w:highlight w:val="none"/>
          <w:lang w:val="en-US" w:eastAsia="zh-CN"/>
        </w:rPr>
        <w:t>1</w:t>
      </w:r>
      <w:r>
        <w:rPr>
          <w:rFonts w:hint="eastAsia" w:ascii="宋体" w:hAnsi="宋体" w:cs="宋体"/>
          <w:bCs/>
          <w:sz w:val="24"/>
          <w:highlight w:val="none"/>
          <w:lang w:eastAsia="zh-CN"/>
        </w:rPr>
        <w:t>）</w:t>
      </w:r>
      <w:r>
        <w:rPr>
          <w:rFonts w:hint="eastAsia" w:ascii="宋体" w:hAnsi="宋体" w:cs="宋体"/>
          <w:bCs/>
          <w:sz w:val="24"/>
          <w:highlight w:val="none"/>
        </w:rPr>
        <w:t>住房和城乡建设部颁发的有效的工程勘察（至少含工程测量）专业甲级及以上资质；</w:t>
      </w:r>
    </w:p>
    <w:p w14:paraId="145F99F5">
      <w:pPr>
        <w:spacing w:line="360" w:lineRule="auto"/>
        <w:ind w:firstLine="480" w:firstLineChars="200"/>
        <w:rPr>
          <w:rFonts w:hint="eastAsia" w:ascii="宋体" w:hAnsi="宋体" w:cs="宋体"/>
          <w:sz w:val="24"/>
          <w:highlight w:val="none"/>
          <w:lang w:bidi="ar"/>
        </w:rPr>
      </w:pPr>
      <w:r>
        <w:rPr>
          <w:rFonts w:hint="eastAsia" w:ascii="宋体" w:hAnsi="宋体" w:cs="宋体"/>
          <w:bCs/>
          <w:sz w:val="24"/>
          <w:highlight w:val="none"/>
          <w:lang w:eastAsia="zh-CN"/>
        </w:rPr>
        <w:t>（</w:t>
      </w:r>
      <w:r>
        <w:rPr>
          <w:rFonts w:hint="eastAsia" w:ascii="宋体" w:hAnsi="宋体" w:cs="宋体"/>
          <w:bCs/>
          <w:sz w:val="24"/>
          <w:highlight w:val="none"/>
          <w:lang w:val="en-US" w:eastAsia="zh-CN"/>
        </w:rPr>
        <w:t>2</w:t>
      </w:r>
      <w:r>
        <w:rPr>
          <w:rFonts w:hint="eastAsia" w:ascii="宋体" w:hAnsi="宋体" w:cs="宋体"/>
          <w:bCs/>
          <w:sz w:val="24"/>
          <w:highlight w:val="none"/>
          <w:lang w:eastAsia="zh-CN"/>
        </w:rPr>
        <w:t>）</w:t>
      </w:r>
      <w:r>
        <w:rPr>
          <w:rFonts w:hint="eastAsia" w:ascii="宋体" w:hAnsi="宋体" w:cs="宋体"/>
          <w:bCs/>
          <w:sz w:val="24"/>
          <w:highlight w:val="none"/>
        </w:rPr>
        <w:t>在全国投资项目在线审批监管平台工程咨询单位名录，且平台中登记备案的咨询专业至少包含水运（含港口河海工程）专业，专业服务范围包括有项目咨询</w:t>
      </w:r>
      <w:r>
        <w:rPr>
          <w:rFonts w:ascii="宋体" w:hAnsi="宋体" w:cs="宋体"/>
          <w:bCs/>
          <w:sz w:val="24"/>
          <w:highlight w:val="none"/>
        </w:rPr>
        <w:t>。</w:t>
      </w:r>
    </w:p>
    <w:p w14:paraId="704F15C9">
      <w:pPr>
        <w:spacing w:line="360" w:lineRule="auto"/>
        <w:ind w:firstLine="480" w:firstLineChars="200"/>
        <w:rPr>
          <w:rFonts w:hint="eastAsia" w:ascii="宋体" w:hAnsi="宋体" w:cs="宋体"/>
          <w:bCs/>
          <w:sz w:val="24"/>
          <w:highlight w:val="none"/>
        </w:rPr>
      </w:pPr>
      <w:r>
        <w:rPr>
          <w:rFonts w:hint="eastAsia" w:ascii="宋体" w:hAnsi="宋体" w:cs="宋体"/>
          <w:sz w:val="24"/>
          <w:highlight w:val="none"/>
          <w:lang w:bidi="ar"/>
        </w:rPr>
        <w:t>3</w:t>
      </w:r>
      <w:r>
        <w:rPr>
          <w:rFonts w:hint="eastAsia" w:ascii="宋体" w:hAnsi="宋体" w:cs="宋体"/>
          <w:sz w:val="24"/>
          <w:highlight w:val="none"/>
          <w:lang w:val="en-US" w:eastAsia="zh-CN" w:bidi="ar"/>
        </w:rPr>
        <w:t>.</w:t>
      </w:r>
      <w:r>
        <w:rPr>
          <w:rFonts w:hint="eastAsia" w:ascii="宋体" w:hAnsi="宋体" w:cs="宋体"/>
          <w:sz w:val="24"/>
          <w:highlight w:val="none"/>
          <w:lang w:bidi="ar"/>
        </w:rPr>
        <w:t>业绩要求：</w:t>
      </w:r>
    </w:p>
    <w:p w14:paraId="1AD46F08">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eastAsia="zh-CN" w:bidi="ar"/>
        </w:rPr>
        <w:t>供应商应同时具有以下业绩：</w:t>
      </w:r>
    </w:p>
    <w:p w14:paraId="7B951A02">
      <w:pPr>
        <w:spacing w:line="360" w:lineRule="auto"/>
        <w:ind w:firstLine="480" w:firstLineChars="200"/>
        <w:rPr>
          <w:rFonts w:hint="eastAsia" w:ascii="宋体" w:hAnsi="宋体" w:cs="宋体"/>
          <w:bCs/>
          <w:sz w:val="24"/>
          <w:highlight w:val="none"/>
          <w:lang w:eastAsia="zh-CN"/>
        </w:rPr>
      </w:pPr>
      <w:r>
        <w:rPr>
          <w:rFonts w:hint="eastAsia" w:ascii="宋体" w:hAnsi="宋体" w:cs="宋体"/>
          <w:sz w:val="24"/>
          <w:highlight w:val="none"/>
          <w:lang w:eastAsia="zh-CN" w:bidi="ar"/>
        </w:rPr>
        <w:t>（</w:t>
      </w:r>
      <w:r>
        <w:rPr>
          <w:rFonts w:hint="eastAsia" w:ascii="宋体" w:hAnsi="宋体" w:cs="宋体"/>
          <w:sz w:val="24"/>
          <w:highlight w:val="none"/>
          <w:lang w:val="en-US" w:eastAsia="zh-CN" w:bidi="ar"/>
        </w:rPr>
        <w:t>1</w:t>
      </w:r>
      <w:r>
        <w:rPr>
          <w:rFonts w:hint="eastAsia" w:ascii="宋体" w:hAnsi="宋体" w:cs="宋体"/>
          <w:sz w:val="24"/>
          <w:highlight w:val="none"/>
          <w:lang w:eastAsia="zh-CN" w:bidi="ar"/>
        </w:rPr>
        <w:t>）自</w:t>
      </w:r>
      <w:r>
        <w:rPr>
          <w:rFonts w:hint="eastAsia" w:ascii="宋体" w:hAnsi="宋体" w:cs="宋体"/>
          <w:sz w:val="24"/>
          <w:highlight w:val="none"/>
          <w:lang w:bidi="ar"/>
        </w:rPr>
        <w:t>2</w:t>
      </w:r>
      <w:r>
        <w:rPr>
          <w:rFonts w:ascii="宋体" w:hAnsi="宋体" w:cs="宋体"/>
          <w:bCs/>
          <w:sz w:val="24"/>
          <w:highlight w:val="none"/>
        </w:rPr>
        <w:t>02</w:t>
      </w:r>
      <w:r>
        <w:rPr>
          <w:rFonts w:hint="eastAsia" w:ascii="宋体" w:hAnsi="宋体" w:cs="宋体"/>
          <w:bCs/>
          <w:sz w:val="24"/>
          <w:highlight w:val="none"/>
        </w:rPr>
        <w:t>0</w:t>
      </w:r>
      <w:r>
        <w:rPr>
          <w:rFonts w:ascii="宋体" w:hAnsi="宋体" w:cs="宋体"/>
          <w:bCs/>
          <w:sz w:val="24"/>
          <w:highlight w:val="none"/>
        </w:rPr>
        <w:t>年1月1日起至投标截止时间前,</w:t>
      </w:r>
      <w:r>
        <w:rPr>
          <w:rFonts w:hint="eastAsia" w:ascii="宋体" w:hAnsi="宋体" w:cs="宋体"/>
          <w:bCs/>
          <w:sz w:val="24"/>
          <w:highlight w:val="none"/>
          <w:lang w:eastAsia="zh-CN"/>
        </w:rPr>
        <w:t>完成</w:t>
      </w:r>
      <w:r>
        <w:rPr>
          <w:rFonts w:ascii="宋体" w:hAnsi="宋体" w:cs="宋体"/>
          <w:bCs/>
          <w:sz w:val="24"/>
          <w:highlight w:val="none"/>
        </w:rPr>
        <w:t>过1个</w:t>
      </w:r>
      <w:r>
        <w:rPr>
          <w:rFonts w:hint="eastAsia" w:ascii="宋体" w:hAnsi="宋体" w:cs="宋体"/>
          <w:bCs/>
          <w:sz w:val="24"/>
          <w:highlight w:val="none"/>
        </w:rPr>
        <w:t>国内1000吨级及以上内河航道项目</w:t>
      </w:r>
      <w:r>
        <w:rPr>
          <w:rFonts w:ascii="宋体" w:hAnsi="宋体" w:cs="宋体"/>
          <w:bCs/>
          <w:sz w:val="24"/>
          <w:highlight w:val="none"/>
        </w:rPr>
        <w:t>的地形</w:t>
      </w:r>
      <w:r>
        <w:rPr>
          <w:rFonts w:hint="eastAsia" w:ascii="宋体" w:hAnsi="宋体" w:cs="宋体"/>
          <w:bCs/>
          <w:sz w:val="24"/>
          <w:highlight w:val="none"/>
        </w:rPr>
        <w:t>测量</w:t>
      </w:r>
      <w:r>
        <w:rPr>
          <w:rFonts w:ascii="宋体" w:hAnsi="宋体" w:cs="宋体"/>
          <w:bCs/>
          <w:sz w:val="24"/>
          <w:highlight w:val="none"/>
        </w:rPr>
        <w:t>。</w:t>
      </w:r>
      <w:r>
        <w:rPr>
          <w:rFonts w:hint="eastAsia" w:ascii="宋体" w:hAnsi="宋体" w:cs="宋体"/>
          <w:bCs/>
          <w:sz w:val="24"/>
          <w:highlight w:val="none"/>
        </w:rPr>
        <w:t>（</w:t>
      </w:r>
      <w:r>
        <w:rPr>
          <w:rFonts w:hint="eastAsia" w:ascii="宋体" w:hAnsi="宋体" w:cs="宋体"/>
          <w:bCs/>
          <w:sz w:val="24"/>
          <w:highlight w:val="none"/>
          <w:lang w:eastAsia="zh-CN"/>
        </w:rPr>
        <w:t>业绩</w:t>
      </w:r>
      <w:r>
        <w:rPr>
          <w:rFonts w:hint="eastAsia" w:ascii="宋体" w:hAnsi="宋体" w:cs="宋体"/>
          <w:bCs/>
          <w:sz w:val="24"/>
          <w:highlight w:val="none"/>
        </w:rPr>
        <w:t>时间以成果验收或报告出版时间为准）</w:t>
      </w:r>
    </w:p>
    <w:p w14:paraId="3FD513C9">
      <w:pPr>
        <w:spacing w:line="360" w:lineRule="auto"/>
        <w:ind w:firstLine="480" w:firstLineChars="200"/>
        <w:rPr>
          <w:rFonts w:hint="eastAsia" w:ascii="宋体" w:hAnsi="宋体" w:cs="宋体"/>
          <w:sz w:val="24"/>
          <w:highlight w:val="none"/>
          <w:lang w:bidi="ar"/>
        </w:rPr>
      </w:pPr>
      <w:r>
        <w:rPr>
          <w:rFonts w:hint="eastAsia" w:ascii="宋体" w:hAnsi="宋体" w:cs="宋体"/>
          <w:bCs/>
          <w:sz w:val="24"/>
          <w:highlight w:val="none"/>
          <w:lang w:eastAsia="zh-CN"/>
        </w:rPr>
        <w:t>（</w:t>
      </w:r>
      <w:r>
        <w:rPr>
          <w:rFonts w:hint="eastAsia" w:ascii="宋体" w:hAnsi="宋体" w:cs="宋体"/>
          <w:bCs/>
          <w:sz w:val="24"/>
          <w:highlight w:val="none"/>
          <w:lang w:val="en-US" w:eastAsia="zh-CN"/>
        </w:rPr>
        <w:t>2</w:t>
      </w:r>
      <w:r>
        <w:rPr>
          <w:rFonts w:hint="eastAsia" w:ascii="宋体" w:hAnsi="宋体" w:cs="宋体"/>
          <w:bCs/>
          <w:sz w:val="24"/>
          <w:highlight w:val="none"/>
          <w:lang w:eastAsia="zh-CN"/>
        </w:rPr>
        <w:t>）自</w:t>
      </w:r>
      <w:r>
        <w:rPr>
          <w:rFonts w:ascii="宋体" w:hAnsi="宋体" w:cs="宋体"/>
          <w:bCs/>
          <w:sz w:val="24"/>
          <w:highlight w:val="none"/>
        </w:rPr>
        <w:t>202</w:t>
      </w:r>
      <w:r>
        <w:rPr>
          <w:rFonts w:hint="eastAsia" w:ascii="宋体" w:hAnsi="宋体" w:cs="宋体"/>
          <w:bCs/>
          <w:sz w:val="24"/>
          <w:highlight w:val="none"/>
        </w:rPr>
        <w:t>0</w:t>
      </w:r>
      <w:r>
        <w:rPr>
          <w:rFonts w:ascii="宋体" w:hAnsi="宋体" w:cs="宋体"/>
          <w:bCs/>
          <w:sz w:val="24"/>
          <w:highlight w:val="none"/>
        </w:rPr>
        <w:t>年1月1日起至投标截止时间前,</w:t>
      </w:r>
      <w:r>
        <w:rPr>
          <w:rFonts w:hint="eastAsia" w:ascii="宋体" w:hAnsi="宋体" w:cs="宋体"/>
          <w:bCs/>
          <w:sz w:val="24"/>
          <w:highlight w:val="none"/>
          <w:lang w:eastAsia="zh-CN"/>
        </w:rPr>
        <w:t>完成</w:t>
      </w:r>
      <w:r>
        <w:rPr>
          <w:rFonts w:ascii="宋体" w:hAnsi="宋体" w:cs="宋体"/>
          <w:bCs/>
          <w:sz w:val="24"/>
          <w:highlight w:val="none"/>
        </w:rPr>
        <w:t>过1个</w:t>
      </w:r>
      <w:r>
        <w:rPr>
          <w:rFonts w:hint="eastAsia" w:ascii="宋体" w:hAnsi="宋体" w:cs="宋体"/>
          <w:bCs/>
          <w:sz w:val="24"/>
          <w:highlight w:val="none"/>
        </w:rPr>
        <w:t>国内1000吨级及以上内河航道项目的工程可行性研究报告编制</w:t>
      </w:r>
      <w:r>
        <w:rPr>
          <w:rFonts w:hint="eastAsia" w:ascii="宋体" w:hAnsi="宋体" w:cs="宋体"/>
          <w:bCs/>
          <w:sz w:val="24"/>
          <w:highlight w:val="none"/>
          <w:lang w:eastAsia="zh-CN"/>
        </w:rPr>
        <w:t>（</w:t>
      </w:r>
      <w:r>
        <w:rPr>
          <w:rFonts w:hint="eastAsia" w:ascii="宋体" w:hAnsi="宋体" w:cs="宋体"/>
          <w:bCs/>
          <w:sz w:val="24"/>
          <w:highlight w:val="none"/>
        </w:rPr>
        <w:t>或设计工</w:t>
      </w:r>
      <w:r>
        <w:rPr>
          <w:rFonts w:hint="eastAsia" w:ascii="宋体" w:hAnsi="宋体" w:cs="宋体"/>
          <w:bCs/>
          <w:sz w:val="24"/>
          <w:highlight w:val="none"/>
          <w:lang w:eastAsia="zh-CN"/>
        </w:rPr>
        <w:t>）</w:t>
      </w:r>
      <w:r>
        <w:rPr>
          <w:rFonts w:hint="eastAsia" w:ascii="宋体" w:hAnsi="宋体" w:cs="宋体"/>
          <w:bCs/>
          <w:sz w:val="24"/>
          <w:highlight w:val="none"/>
        </w:rPr>
        <w:t>作。（</w:t>
      </w:r>
      <w:r>
        <w:rPr>
          <w:rFonts w:hint="eastAsia" w:ascii="宋体" w:hAnsi="宋体" w:cs="宋体"/>
          <w:bCs/>
          <w:sz w:val="24"/>
          <w:highlight w:val="none"/>
          <w:lang w:eastAsia="zh-CN"/>
        </w:rPr>
        <w:t>业绩</w:t>
      </w:r>
      <w:r>
        <w:rPr>
          <w:rFonts w:hint="eastAsia" w:ascii="宋体" w:hAnsi="宋体" w:cs="宋体"/>
          <w:bCs/>
          <w:sz w:val="24"/>
          <w:highlight w:val="none"/>
        </w:rPr>
        <w:t>时间以</w:t>
      </w:r>
      <w:r>
        <w:rPr>
          <w:rFonts w:hint="eastAsia" w:ascii="宋体" w:hAnsi="宋体" w:cs="宋体"/>
          <w:bCs/>
          <w:sz w:val="24"/>
          <w:highlight w:val="none"/>
          <w:lang w:eastAsia="zh-CN"/>
        </w:rPr>
        <w:t>工程可行性研究报告（</w:t>
      </w:r>
      <w:r>
        <w:rPr>
          <w:rFonts w:hint="eastAsia" w:ascii="宋体" w:hAnsi="宋体" w:cs="宋体"/>
          <w:bCs/>
          <w:sz w:val="24"/>
          <w:highlight w:val="none"/>
        </w:rPr>
        <w:t>或设计</w:t>
      </w:r>
      <w:r>
        <w:rPr>
          <w:rFonts w:hint="eastAsia" w:ascii="宋体" w:hAnsi="宋体" w:cs="宋体"/>
          <w:bCs/>
          <w:sz w:val="24"/>
          <w:highlight w:val="none"/>
          <w:lang w:eastAsia="zh-CN"/>
        </w:rPr>
        <w:t>）</w:t>
      </w:r>
      <w:r>
        <w:rPr>
          <w:rFonts w:hint="eastAsia" w:ascii="宋体" w:hAnsi="宋体" w:cs="宋体"/>
          <w:bCs/>
          <w:sz w:val="24"/>
          <w:highlight w:val="none"/>
        </w:rPr>
        <w:t>批复时间为准）</w:t>
      </w:r>
    </w:p>
    <w:p w14:paraId="3946F4F1">
      <w:pPr>
        <w:spacing w:line="360" w:lineRule="auto"/>
        <w:ind w:firstLine="480" w:firstLineChars="200"/>
        <w:rPr>
          <w:rFonts w:hint="eastAsia" w:ascii="宋体" w:hAnsi="宋体" w:cs="宋体"/>
          <w:bCs/>
          <w:sz w:val="24"/>
          <w:highlight w:val="none"/>
        </w:rPr>
      </w:pPr>
      <w:r>
        <w:rPr>
          <w:rFonts w:hint="eastAsia" w:ascii="宋体" w:hAnsi="宋体" w:cs="宋体"/>
          <w:bCs/>
          <w:sz w:val="24"/>
          <w:highlight w:val="none"/>
          <w:lang w:val="en-US" w:eastAsia="zh-CN"/>
        </w:rPr>
        <w:t>4.</w:t>
      </w:r>
      <w:r>
        <w:rPr>
          <w:rFonts w:ascii="宋体" w:hAnsi="宋体" w:cs="宋体"/>
          <w:bCs/>
          <w:sz w:val="24"/>
          <w:highlight w:val="none"/>
        </w:rPr>
        <w:t>人员配备要求：</w:t>
      </w:r>
    </w:p>
    <w:p w14:paraId="5C37318B">
      <w:pPr>
        <w:spacing w:line="360" w:lineRule="auto"/>
        <w:ind w:firstLine="480" w:firstLineChars="200"/>
        <w:rPr>
          <w:rFonts w:hint="eastAsia" w:ascii="宋体" w:hAnsi="宋体" w:cs="宋体"/>
          <w:bCs/>
          <w:sz w:val="24"/>
          <w:highlight w:val="none"/>
        </w:rPr>
      </w:pPr>
      <w:r>
        <w:rPr>
          <w:rFonts w:hint="eastAsia" w:ascii="宋体" w:hAnsi="宋体" w:cs="宋体"/>
          <w:bCs/>
          <w:sz w:val="24"/>
          <w:highlight w:val="none"/>
          <w:lang w:eastAsia="zh-CN"/>
        </w:rPr>
        <w:t>（</w:t>
      </w:r>
      <w:r>
        <w:rPr>
          <w:rFonts w:hint="eastAsia" w:ascii="宋体" w:hAnsi="宋体" w:cs="宋体"/>
          <w:bCs/>
          <w:sz w:val="24"/>
          <w:highlight w:val="none"/>
          <w:lang w:val="en-US" w:eastAsia="zh-CN"/>
        </w:rPr>
        <w:t>1</w:t>
      </w:r>
      <w:r>
        <w:rPr>
          <w:rFonts w:hint="eastAsia" w:ascii="宋体" w:hAnsi="宋体" w:cs="宋体"/>
          <w:bCs/>
          <w:sz w:val="24"/>
          <w:highlight w:val="none"/>
          <w:lang w:eastAsia="zh-CN"/>
        </w:rPr>
        <w:t>）</w:t>
      </w:r>
      <w:r>
        <w:rPr>
          <w:rFonts w:hint="eastAsia" w:ascii="宋体" w:hAnsi="宋体" w:cs="宋体"/>
          <w:bCs/>
          <w:sz w:val="24"/>
          <w:highlight w:val="none"/>
        </w:rPr>
        <w:t>测量</w:t>
      </w:r>
      <w:r>
        <w:rPr>
          <w:rFonts w:ascii="宋体" w:hAnsi="宋体" w:cs="宋体"/>
          <w:bCs/>
          <w:sz w:val="24"/>
          <w:highlight w:val="none"/>
        </w:rPr>
        <w:t>负责人</w:t>
      </w:r>
      <w:r>
        <w:rPr>
          <w:rFonts w:hint="eastAsia" w:ascii="宋体" w:hAnsi="宋体" w:cs="宋体"/>
          <w:bCs/>
          <w:sz w:val="24"/>
          <w:highlight w:val="none"/>
          <w:lang w:eastAsia="zh-CN"/>
        </w:rPr>
        <w:t>：应</w:t>
      </w:r>
      <w:r>
        <w:rPr>
          <w:rFonts w:ascii="宋体" w:hAnsi="宋体" w:cs="宋体"/>
          <w:bCs/>
          <w:sz w:val="24"/>
          <w:highlight w:val="none"/>
        </w:rPr>
        <w:t>具备注册</w:t>
      </w:r>
      <w:r>
        <w:rPr>
          <w:rFonts w:hint="eastAsia" w:ascii="宋体" w:hAnsi="宋体" w:cs="宋体"/>
          <w:bCs/>
          <w:sz w:val="24"/>
          <w:highlight w:val="none"/>
        </w:rPr>
        <w:t>测绘</w:t>
      </w:r>
      <w:r>
        <w:rPr>
          <w:rFonts w:ascii="宋体" w:hAnsi="宋体" w:cs="宋体"/>
          <w:bCs/>
          <w:sz w:val="24"/>
          <w:highlight w:val="none"/>
        </w:rPr>
        <w:t>师</w:t>
      </w:r>
      <w:r>
        <w:rPr>
          <w:rFonts w:hint="eastAsia" w:ascii="宋体" w:hAnsi="宋体" w:cs="宋体"/>
          <w:bCs/>
          <w:sz w:val="24"/>
          <w:highlight w:val="none"/>
        </w:rPr>
        <w:t>执业</w:t>
      </w:r>
      <w:r>
        <w:rPr>
          <w:rFonts w:ascii="宋体" w:hAnsi="宋体" w:cs="宋体"/>
          <w:bCs/>
          <w:sz w:val="24"/>
          <w:highlight w:val="none"/>
        </w:rPr>
        <w:t>证书,高级工程师及以上职称,至少担任过1个</w:t>
      </w:r>
      <w:r>
        <w:rPr>
          <w:rFonts w:hint="eastAsia" w:ascii="宋体" w:hAnsi="宋体" w:cs="宋体"/>
          <w:bCs/>
          <w:sz w:val="24"/>
          <w:highlight w:val="none"/>
        </w:rPr>
        <w:t>国内1000吨级及以上内河航道</w:t>
      </w:r>
      <w:r>
        <w:rPr>
          <w:rFonts w:ascii="宋体" w:hAnsi="宋体" w:cs="宋体"/>
          <w:bCs/>
          <w:sz w:val="24"/>
          <w:highlight w:val="none"/>
        </w:rPr>
        <w:t>工程</w:t>
      </w:r>
      <w:r>
        <w:rPr>
          <w:rFonts w:hint="eastAsia" w:ascii="宋体" w:hAnsi="宋体" w:cs="宋体"/>
          <w:bCs/>
          <w:sz w:val="24"/>
          <w:highlight w:val="none"/>
        </w:rPr>
        <w:t>的测量</w:t>
      </w:r>
      <w:r>
        <w:rPr>
          <w:rFonts w:ascii="宋体" w:hAnsi="宋体" w:cs="宋体"/>
          <w:bCs/>
          <w:sz w:val="24"/>
          <w:highlight w:val="none"/>
        </w:rPr>
        <w:t>负责人</w:t>
      </w:r>
      <w:r>
        <w:rPr>
          <w:rFonts w:hint="eastAsia" w:ascii="宋体" w:hAnsi="宋体" w:cs="宋体"/>
          <w:bCs/>
          <w:sz w:val="24"/>
          <w:highlight w:val="none"/>
        </w:rPr>
        <w:t>；</w:t>
      </w:r>
    </w:p>
    <w:p w14:paraId="2A84FA58">
      <w:pPr>
        <w:spacing w:line="360" w:lineRule="auto"/>
        <w:ind w:firstLine="480" w:firstLineChars="200"/>
        <w:rPr>
          <w:rFonts w:hint="eastAsia" w:ascii="宋体" w:hAnsi="宋体" w:cs="宋体"/>
          <w:sz w:val="24"/>
          <w:highlight w:val="none"/>
          <w:lang w:bidi="ar"/>
        </w:rPr>
      </w:pPr>
      <w:r>
        <w:rPr>
          <w:rFonts w:hint="eastAsia" w:ascii="宋体" w:hAnsi="宋体" w:cs="宋体"/>
          <w:bCs/>
          <w:sz w:val="24"/>
          <w:highlight w:val="none"/>
          <w:lang w:eastAsia="zh-CN"/>
        </w:rPr>
        <w:t>（</w:t>
      </w:r>
      <w:r>
        <w:rPr>
          <w:rFonts w:hint="eastAsia" w:ascii="宋体" w:hAnsi="宋体" w:cs="宋体"/>
          <w:bCs/>
          <w:sz w:val="24"/>
          <w:highlight w:val="none"/>
          <w:lang w:val="en-US" w:eastAsia="zh-CN"/>
        </w:rPr>
        <w:t>2</w:t>
      </w:r>
      <w:r>
        <w:rPr>
          <w:rFonts w:hint="eastAsia" w:ascii="宋体" w:hAnsi="宋体" w:cs="宋体"/>
          <w:bCs/>
          <w:sz w:val="24"/>
          <w:highlight w:val="none"/>
          <w:lang w:eastAsia="zh-CN"/>
        </w:rPr>
        <w:t>）项目负责人（工程可行性研究</w:t>
      </w:r>
      <w:r>
        <w:rPr>
          <w:rFonts w:ascii="宋体" w:hAnsi="宋体" w:cs="宋体"/>
          <w:bCs/>
          <w:sz w:val="24"/>
          <w:highlight w:val="none"/>
        </w:rPr>
        <w:t>负责人</w:t>
      </w:r>
      <w:r>
        <w:rPr>
          <w:rFonts w:hint="eastAsia" w:ascii="宋体" w:hAnsi="宋体" w:cs="宋体"/>
          <w:bCs/>
          <w:sz w:val="24"/>
          <w:highlight w:val="none"/>
          <w:lang w:eastAsia="zh-CN"/>
        </w:rPr>
        <w:t>）：应</w:t>
      </w:r>
      <w:r>
        <w:rPr>
          <w:rFonts w:ascii="宋体" w:hAnsi="宋体" w:cs="宋体"/>
          <w:bCs/>
          <w:sz w:val="24"/>
          <w:highlight w:val="none"/>
        </w:rPr>
        <w:t>具备注册</w:t>
      </w:r>
      <w:r>
        <w:rPr>
          <w:rFonts w:hint="eastAsia" w:ascii="宋体" w:hAnsi="宋体" w:cs="宋体"/>
          <w:bCs/>
          <w:sz w:val="24"/>
          <w:highlight w:val="none"/>
        </w:rPr>
        <w:t>咨询</w:t>
      </w:r>
      <w:r>
        <w:rPr>
          <w:rFonts w:ascii="宋体" w:hAnsi="宋体" w:cs="宋体"/>
          <w:bCs/>
          <w:sz w:val="24"/>
          <w:highlight w:val="none"/>
        </w:rPr>
        <w:t>工程师</w:t>
      </w:r>
      <w:r>
        <w:rPr>
          <w:rFonts w:hint="eastAsia" w:ascii="宋体" w:hAnsi="宋体" w:cs="宋体"/>
          <w:bCs/>
          <w:sz w:val="24"/>
          <w:highlight w:val="none"/>
        </w:rPr>
        <w:t>（水运</w:t>
      </w:r>
      <w:r>
        <w:rPr>
          <w:rFonts w:ascii="宋体" w:hAnsi="宋体" w:cs="宋体"/>
          <w:bCs/>
          <w:sz w:val="24"/>
          <w:highlight w:val="none"/>
        </w:rPr>
        <w:t>(</w:t>
      </w:r>
      <w:r>
        <w:rPr>
          <w:rFonts w:hint="eastAsia" w:ascii="宋体" w:hAnsi="宋体" w:cs="宋体"/>
          <w:bCs/>
          <w:sz w:val="24"/>
          <w:highlight w:val="none"/>
        </w:rPr>
        <w:t>港口河海工程</w:t>
      </w:r>
      <w:r>
        <w:rPr>
          <w:rFonts w:ascii="宋体" w:hAnsi="宋体" w:cs="宋体"/>
          <w:bCs/>
          <w:sz w:val="24"/>
          <w:highlight w:val="none"/>
        </w:rPr>
        <w:t>)专业</w:t>
      </w:r>
      <w:r>
        <w:rPr>
          <w:rFonts w:hint="eastAsia" w:ascii="宋体" w:hAnsi="宋体" w:cs="宋体"/>
          <w:bCs/>
          <w:sz w:val="24"/>
          <w:highlight w:val="none"/>
        </w:rPr>
        <w:t>）</w:t>
      </w:r>
      <w:r>
        <w:rPr>
          <w:rFonts w:ascii="宋体" w:hAnsi="宋体" w:cs="宋体"/>
          <w:bCs/>
          <w:sz w:val="24"/>
          <w:highlight w:val="none"/>
        </w:rPr>
        <w:t>证书,高级工程师及以上职称,至少担任过1</w:t>
      </w:r>
      <w:r>
        <w:rPr>
          <w:rFonts w:hint="eastAsia" w:ascii="宋体" w:hAnsi="宋体" w:cs="宋体"/>
          <w:bCs/>
          <w:sz w:val="24"/>
          <w:highlight w:val="none"/>
        </w:rPr>
        <w:t>个国内1000</w:t>
      </w:r>
      <w:r>
        <w:rPr>
          <w:rFonts w:ascii="宋体" w:hAnsi="宋体" w:cs="宋体"/>
          <w:bCs/>
          <w:sz w:val="24"/>
          <w:highlight w:val="none"/>
        </w:rPr>
        <w:t>吨级及以上</w:t>
      </w:r>
      <w:r>
        <w:rPr>
          <w:rFonts w:hint="eastAsia" w:ascii="宋体" w:hAnsi="宋体" w:cs="宋体"/>
          <w:bCs/>
          <w:sz w:val="24"/>
          <w:highlight w:val="none"/>
        </w:rPr>
        <w:t>内河航道工程可行性研究报告编制或设计的</w:t>
      </w:r>
      <w:r>
        <w:rPr>
          <w:rFonts w:ascii="宋体" w:hAnsi="宋体" w:cs="宋体"/>
          <w:bCs/>
          <w:sz w:val="24"/>
          <w:highlight w:val="none"/>
        </w:rPr>
        <w:t>项目负责人</w:t>
      </w:r>
      <w:r>
        <w:rPr>
          <w:rFonts w:hint="eastAsia" w:ascii="宋体" w:hAnsi="宋体" w:cs="宋体"/>
          <w:bCs/>
          <w:sz w:val="24"/>
          <w:highlight w:val="none"/>
        </w:rPr>
        <w:t>。</w:t>
      </w:r>
      <w:r>
        <w:rPr>
          <w:rFonts w:hint="eastAsia" w:ascii="宋体" w:hAnsi="宋体" w:cs="宋体"/>
          <w:bCs/>
          <w:sz w:val="24"/>
          <w:highlight w:val="none"/>
          <w:lang w:eastAsia="zh-CN"/>
        </w:rPr>
        <w:t>需</w:t>
      </w:r>
      <w:r>
        <w:rPr>
          <w:rFonts w:hint="eastAsia" w:ascii="宋体" w:hAnsi="宋体" w:cs="宋体"/>
          <w:bCs/>
          <w:sz w:val="24"/>
          <w:highlight w:val="none"/>
        </w:rPr>
        <w:t>提供投入人员资质证书复印件及供应商为其缴纳的2025年2-7月6个月的社保缴纳证明</w:t>
      </w:r>
      <w:r>
        <w:rPr>
          <w:rFonts w:hint="eastAsia" w:ascii="宋体" w:hAnsi="宋体" w:cs="宋体"/>
          <w:bCs/>
          <w:sz w:val="24"/>
          <w:highlight w:val="none"/>
          <w:lang w:eastAsia="zh-CN"/>
        </w:rPr>
        <w:t>。</w:t>
      </w:r>
    </w:p>
    <w:p w14:paraId="2503B403">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5.</w:t>
      </w:r>
      <w:r>
        <w:rPr>
          <w:rFonts w:hint="eastAsia" w:ascii="宋体" w:hAnsi="宋体" w:cs="宋体"/>
          <w:sz w:val="24"/>
          <w:highlight w:val="none"/>
          <w:lang w:bidi="ar"/>
        </w:rPr>
        <w:t>供应商参加</w:t>
      </w:r>
      <w:r>
        <w:rPr>
          <w:rFonts w:hint="eastAsia" w:ascii="宋体" w:hAnsi="宋体" w:cs="宋体"/>
          <w:sz w:val="24"/>
          <w:highlight w:val="none"/>
          <w:lang w:eastAsia="zh-CN" w:bidi="ar"/>
        </w:rPr>
        <w:t>本次</w:t>
      </w:r>
      <w:r>
        <w:rPr>
          <w:rFonts w:hint="eastAsia" w:ascii="宋体" w:hAnsi="宋体" w:cs="宋体"/>
          <w:sz w:val="24"/>
          <w:highlight w:val="none"/>
          <w:lang w:bidi="ar"/>
        </w:rPr>
        <w:t>采购活动前三年内，在经营活动中没有重大违法记录（重大违法记录，是指供应商因违法经营受到刑事处罚或者责令停产停业、吊销许可证或者执照等行政处罚）</w:t>
      </w:r>
      <w:r>
        <w:rPr>
          <w:rFonts w:hint="eastAsia" w:ascii="宋体" w:hAnsi="宋体" w:cs="宋体"/>
          <w:sz w:val="24"/>
          <w:highlight w:val="none"/>
          <w:lang w:eastAsia="zh-CN" w:bidi="ar"/>
        </w:rPr>
        <w:t>。由供应商</w:t>
      </w:r>
      <w:r>
        <w:rPr>
          <w:rFonts w:hint="eastAsia" w:ascii="宋体" w:hAnsi="宋体" w:cs="宋体"/>
          <w:sz w:val="24"/>
          <w:highlight w:val="none"/>
          <w:lang w:bidi="ar"/>
        </w:rPr>
        <w:t>提供书面声明。</w:t>
      </w:r>
    </w:p>
    <w:p w14:paraId="1A1D9176">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6.</w:t>
      </w:r>
      <w:r>
        <w:rPr>
          <w:rFonts w:hint="eastAsia" w:ascii="宋体" w:hAnsi="宋体" w:cs="宋体"/>
          <w:sz w:val="24"/>
          <w:highlight w:val="none"/>
          <w:lang w:bidi="ar"/>
        </w:rPr>
        <w:t>在“信用中国”网站、中国政府采购网等渠道未被列入失信被执行人、重大税收违法案件当事人名单、政府采购严重违法失信行为记录名单。</w:t>
      </w:r>
    </w:p>
    <w:p w14:paraId="7B622272">
      <w:pPr>
        <w:spacing w:line="360" w:lineRule="auto"/>
        <w:ind w:firstLine="354" w:firstLineChars="147"/>
        <w:rPr>
          <w:rFonts w:hint="eastAsia" w:ascii="黑体" w:hAnsi="黑体" w:eastAsia="黑体"/>
          <w:b/>
          <w:sz w:val="24"/>
          <w:highlight w:val="none"/>
        </w:rPr>
      </w:pPr>
      <w:r>
        <w:rPr>
          <w:rFonts w:hint="eastAsia" w:ascii="黑体" w:hAnsi="黑体" w:eastAsia="黑体"/>
          <w:b/>
          <w:sz w:val="24"/>
          <w:highlight w:val="none"/>
        </w:rPr>
        <w:t>三、获取采购文件</w:t>
      </w:r>
    </w:p>
    <w:p w14:paraId="7ED073A9">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1.</w:t>
      </w:r>
      <w:r>
        <w:rPr>
          <w:rFonts w:hint="eastAsia" w:ascii="宋体" w:hAnsi="宋体" w:cs="宋体"/>
          <w:sz w:val="24"/>
          <w:highlight w:val="none"/>
          <w:lang w:bidi="ar"/>
        </w:rPr>
        <w:t>获取时间：自</w:t>
      </w:r>
      <w:r>
        <w:rPr>
          <w:rFonts w:hint="eastAsia" w:ascii="宋体" w:hAnsi="宋体" w:cs="宋体"/>
          <w:sz w:val="24"/>
          <w:highlight w:val="none"/>
          <w:lang w:eastAsia="zh-CN" w:bidi="ar"/>
        </w:rPr>
        <w:t>采购</w:t>
      </w:r>
      <w:r>
        <w:rPr>
          <w:rFonts w:hint="eastAsia" w:ascii="宋体" w:hAnsi="宋体" w:cs="宋体"/>
          <w:sz w:val="24"/>
          <w:highlight w:val="none"/>
          <w:lang w:bidi="ar"/>
        </w:rPr>
        <w:t>公告发布之日起</w:t>
      </w:r>
      <w:r>
        <w:rPr>
          <w:rFonts w:hint="eastAsia" w:ascii="宋体" w:hAnsi="宋体" w:cs="宋体"/>
          <w:sz w:val="24"/>
          <w:highlight w:val="none"/>
          <w:lang w:eastAsia="zh-CN" w:bidi="ar"/>
        </w:rPr>
        <w:t>，至响应文件递交截止时间</w:t>
      </w:r>
      <w:r>
        <w:rPr>
          <w:rFonts w:ascii="宋体" w:hAnsi="宋体" w:cs="宋体"/>
          <w:sz w:val="24"/>
          <w:highlight w:val="none"/>
          <w:lang w:bidi="ar"/>
        </w:rPr>
        <w:t>。</w:t>
      </w:r>
    </w:p>
    <w:p w14:paraId="1DF20B2A">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2.</w:t>
      </w:r>
      <w:r>
        <w:rPr>
          <w:rFonts w:hint="eastAsia" w:ascii="宋体" w:hAnsi="宋体" w:cs="宋体"/>
          <w:sz w:val="24"/>
          <w:highlight w:val="none"/>
          <w:lang w:bidi="ar"/>
        </w:rPr>
        <w:t>获取地点：广西壮族自治区港航发展中心网站(http://www.gxghj.cn/)。</w:t>
      </w:r>
    </w:p>
    <w:p w14:paraId="69A30BF8">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3.</w:t>
      </w:r>
      <w:r>
        <w:rPr>
          <w:rFonts w:hint="eastAsia" w:ascii="宋体" w:hAnsi="宋体" w:cs="宋体"/>
          <w:sz w:val="24"/>
          <w:highlight w:val="none"/>
          <w:lang w:bidi="ar"/>
        </w:rPr>
        <w:t>获取方式：网上下载。本项目不提供纸质文件，潜在供应商登录广西壮族自治区港航发展中心网站-进入“通知公告”应用，点击</w:t>
      </w:r>
      <w:r>
        <w:rPr>
          <w:rFonts w:hint="eastAsia" w:ascii="宋体" w:hAnsi="宋体" w:cs="宋体"/>
          <w:sz w:val="24"/>
          <w:highlight w:val="none"/>
          <w:lang w:eastAsia="zh-CN" w:bidi="ar"/>
        </w:rPr>
        <w:t>采购</w:t>
      </w:r>
      <w:r>
        <w:rPr>
          <w:rFonts w:hint="eastAsia" w:ascii="宋体" w:hAnsi="宋体" w:cs="宋体"/>
          <w:sz w:val="24"/>
          <w:highlight w:val="none"/>
          <w:lang w:bidi="ar"/>
        </w:rPr>
        <w:t>公告获取采购文件（采购方案）。</w:t>
      </w:r>
    </w:p>
    <w:p w14:paraId="2F0F0E66">
      <w:pPr>
        <w:spacing w:line="360" w:lineRule="auto"/>
        <w:ind w:firstLine="354" w:firstLineChars="147"/>
        <w:rPr>
          <w:rFonts w:hint="eastAsia" w:ascii="黑体" w:hAnsi="黑体" w:eastAsia="黑体"/>
          <w:b/>
          <w:sz w:val="24"/>
          <w:highlight w:val="none"/>
        </w:rPr>
      </w:pPr>
      <w:r>
        <w:rPr>
          <w:rFonts w:hint="eastAsia" w:ascii="黑体" w:hAnsi="黑体" w:eastAsia="黑体"/>
          <w:b/>
          <w:sz w:val="24"/>
          <w:highlight w:val="none"/>
        </w:rPr>
        <w:t>四、响应文件</w:t>
      </w:r>
      <w:r>
        <w:rPr>
          <w:rFonts w:hint="eastAsia" w:ascii="黑体" w:hAnsi="黑体" w:eastAsia="黑体"/>
          <w:b/>
          <w:sz w:val="24"/>
          <w:highlight w:val="none"/>
          <w:lang w:eastAsia="zh-CN"/>
        </w:rPr>
        <w:t>递</w:t>
      </w:r>
      <w:r>
        <w:rPr>
          <w:rFonts w:hint="eastAsia" w:ascii="黑体" w:hAnsi="黑体" w:eastAsia="黑体"/>
          <w:b/>
          <w:sz w:val="24"/>
          <w:highlight w:val="none"/>
        </w:rPr>
        <w:t>交</w:t>
      </w:r>
    </w:p>
    <w:p w14:paraId="6FA828B5">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1.</w:t>
      </w:r>
      <w:r>
        <w:rPr>
          <w:rFonts w:hint="eastAsia" w:ascii="宋体" w:hAnsi="宋体" w:cs="宋体"/>
          <w:sz w:val="24"/>
          <w:highlight w:val="none"/>
          <w:lang w:bidi="ar"/>
        </w:rPr>
        <w:t>响应文件</w:t>
      </w:r>
      <w:r>
        <w:rPr>
          <w:rFonts w:hint="eastAsia" w:ascii="宋体" w:hAnsi="宋体" w:cs="宋体"/>
          <w:sz w:val="24"/>
          <w:highlight w:val="none"/>
          <w:lang w:eastAsia="zh-CN" w:bidi="ar"/>
        </w:rPr>
        <w:t>形式及份数：</w:t>
      </w:r>
      <w:r>
        <w:rPr>
          <w:rFonts w:hint="eastAsia" w:ascii="宋体" w:hAnsi="宋体" w:cs="宋体"/>
          <w:sz w:val="24"/>
          <w:highlight w:val="none"/>
          <w:lang w:bidi="ar"/>
        </w:rPr>
        <w:t>纸质</w:t>
      </w:r>
      <w:r>
        <w:rPr>
          <w:rFonts w:hint="eastAsia" w:ascii="宋体" w:hAnsi="宋体" w:cs="宋体"/>
          <w:sz w:val="24"/>
          <w:highlight w:val="none"/>
          <w:lang w:eastAsia="zh-CN" w:bidi="ar"/>
        </w:rPr>
        <w:t>文件，</w:t>
      </w:r>
      <w:r>
        <w:rPr>
          <w:rFonts w:hint="eastAsia" w:ascii="宋体" w:hAnsi="宋体" w:cs="宋体"/>
          <w:sz w:val="24"/>
          <w:highlight w:val="none"/>
          <w:lang w:bidi="ar"/>
        </w:rPr>
        <w:t>一正一副共两份文件。</w:t>
      </w:r>
    </w:p>
    <w:p w14:paraId="212E96CD">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2.</w:t>
      </w:r>
      <w:r>
        <w:rPr>
          <w:rFonts w:hint="eastAsia" w:ascii="宋体" w:hAnsi="宋体" w:cs="宋体"/>
          <w:sz w:val="24"/>
          <w:highlight w:val="none"/>
          <w:lang w:bidi="ar"/>
        </w:rPr>
        <w:t>响应文件</w:t>
      </w:r>
      <w:r>
        <w:rPr>
          <w:rFonts w:hint="eastAsia" w:ascii="宋体" w:hAnsi="宋体" w:cs="宋体"/>
          <w:sz w:val="24"/>
          <w:highlight w:val="none"/>
          <w:lang w:eastAsia="zh-CN" w:bidi="ar"/>
        </w:rPr>
        <w:t>递交</w:t>
      </w:r>
      <w:r>
        <w:rPr>
          <w:rFonts w:hint="eastAsia" w:ascii="宋体" w:hAnsi="宋体" w:cs="宋体"/>
          <w:sz w:val="24"/>
          <w:highlight w:val="none"/>
          <w:lang w:bidi="ar"/>
        </w:rPr>
        <w:t>地址：</w:t>
      </w:r>
      <w:r>
        <w:rPr>
          <w:rFonts w:hint="eastAsia" w:ascii="宋体" w:hAnsi="宋体" w:cs="宋体"/>
          <w:sz w:val="24"/>
          <w:highlight w:val="none"/>
          <w:lang w:eastAsia="zh-CN" w:bidi="ar"/>
        </w:rPr>
        <w:t>南宁市青秀区百花岭路</w:t>
      </w:r>
      <w:r>
        <w:rPr>
          <w:rFonts w:hint="eastAsia" w:ascii="宋体" w:hAnsi="宋体" w:cs="宋体"/>
          <w:sz w:val="24"/>
          <w:highlight w:val="none"/>
          <w:lang w:val="en-US" w:eastAsia="zh-CN" w:bidi="ar"/>
        </w:rPr>
        <w:t>6号广西壮族自治区港航发展中心425室</w:t>
      </w:r>
      <w:r>
        <w:rPr>
          <w:rFonts w:hint="eastAsia" w:ascii="宋体" w:hAnsi="宋体" w:cs="宋体"/>
          <w:sz w:val="24"/>
          <w:highlight w:val="none"/>
          <w:lang w:bidi="ar"/>
        </w:rPr>
        <w:t>。</w:t>
      </w:r>
    </w:p>
    <w:p w14:paraId="135BF172">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3.</w:t>
      </w:r>
      <w:r>
        <w:rPr>
          <w:rFonts w:hint="eastAsia" w:ascii="宋体" w:hAnsi="宋体" w:cs="宋体"/>
          <w:sz w:val="24"/>
          <w:highlight w:val="none"/>
          <w:lang w:bidi="ar"/>
        </w:rPr>
        <w:t>响应文件</w:t>
      </w:r>
      <w:r>
        <w:rPr>
          <w:rFonts w:hint="eastAsia" w:ascii="宋体" w:hAnsi="宋体" w:cs="宋体"/>
          <w:sz w:val="24"/>
          <w:highlight w:val="none"/>
          <w:lang w:eastAsia="zh-CN" w:bidi="ar"/>
        </w:rPr>
        <w:t>递交</w:t>
      </w:r>
      <w:r>
        <w:rPr>
          <w:rFonts w:hint="eastAsia" w:ascii="宋体" w:hAnsi="宋体" w:cs="宋体"/>
          <w:sz w:val="24"/>
          <w:highlight w:val="none"/>
          <w:lang w:bidi="ar"/>
        </w:rPr>
        <w:t>截止时间：</w:t>
      </w:r>
      <w:r>
        <w:rPr>
          <w:rFonts w:ascii="宋体" w:hAnsi="宋体" w:cs="宋体"/>
          <w:sz w:val="24"/>
          <w:highlight w:val="none"/>
          <w:lang w:bidi="ar"/>
        </w:rPr>
        <w:t>2025年</w:t>
      </w:r>
      <w:r>
        <w:rPr>
          <w:rFonts w:hint="eastAsia" w:ascii="宋体" w:hAnsi="宋体" w:cs="宋体"/>
          <w:sz w:val="24"/>
          <w:highlight w:val="none"/>
          <w:lang w:val="en-US" w:eastAsia="zh-CN" w:bidi="ar"/>
        </w:rPr>
        <w:t>9</w:t>
      </w:r>
      <w:r>
        <w:rPr>
          <w:rFonts w:ascii="宋体" w:hAnsi="宋体" w:cs="宋体"/>
          <w:sz w:val="24"/>
          <w:highlight w:val="none"/>
          <w:lang w:bidi="ar"/>
        </w:rPr>
        <w:t>月</w:t>
      </w:r>
      <w:r>
        <w:rPr>
          <w:rFonts w:hint="eastAsia" w:ascii="宋体" w:hAnsi="宋体" w:cs="宋体"/>
          <w:sz w:val="24"/>
          <w:highlight w:val="none"/>
          <w:lang w:val="en-US" w:eastAsia="zh-CN" w:bidi="ar"/>
        </w:rPr>
        <w:t>25</w:t>
      </w:r>
      <w:r>
        <w:rPr>
          <w:rFonts w:ascii="宋体" w:hAnsi="宋体" w:cs="宋体"/>
          <w:sz w:val="24"/>
          <w:highlight w:val="none"/>
          <w:lang w:bidi="ar"/>
        </w:rPr>
        <w:t>日1</w:t>
      </w:r>
      <w:r>
        <w:rPr>
          <w:rFonts w:hint="eastAsia" w:ascii="宋体" w:hAnsi="宋体" w:cs="宋体"/>
          <w:sz w:val="24"/>
          <w:highlight w:val="none"/>
          <w:lang w:val="en-US" w:eastAsia="zh-CN" w:bidi="ar"/>
        </w:rPr>
        <w:t>0</w:t>
      </w:r>
      <w:r>
        <w:rPr>
          <w:rFonts w:ascii="宋体" w:hAnsi="宋体" w:cs="宋体"/>
          <w:sz w:val="24"/>
          <w:highlight w:val="none"/>
          <w:lang w:bidi="ar"/>
        </w:rPr>
        <w:t>时00分</w:t>
      </w:r>
      <w:r>
        <w:rPr>
          <w:rFonts w:hint="eastAsia" w:ascii="宋体" w:hAnsi="宋体" w:cs="宋体"/>
          <w:sz w:val="24"/>
          <w:highlight w:val="none"/>
          <w:lang w:bidi="ar"/>
        </w:rPr>
        <w:t>。</w:t>
      </w:r>
    </w:p>
    <w:p w14:paraId="6D562E5B">
      <w:pPr>
        <w:spacing w:line="360" w:lineRule="auto"/>
        <w:ind w:firstLine="480" w:firstLineChars="200"/>
        <w:rPr>
          <w:rFonts w:hint="eastAsia" w:ascii="宋体" w:hAnsi="宋体" w:cs="宋体"/>
          <w:sz w:val="24"/>
          <w:highlight w:val="none"/>
          <w:lang w:val="en-US" w:eastAsia="zh-CN"/>
        </w:rPr>
      </w:pPr>
      <w:r>
        <w:rPr>
          <w:rFonts w:hint="eastAsia" w:ascii="宋体" w:hAnsi="宋体" w:cs="宋体"/>
          <w:sz w:val="24"/>
          <w:highlight w:val="none"/>
          <w:lang w:bidi="ar"/>
        </w:rPr>
        <w:t>至响应文件截止时间时，投标供应商不足三家</w:t>
      </w:r>
      <w:r>
        <w:rPr>
          <w:rFonts w:hint="eastAsia" w:ascii="宋体" w:hAnsi="宋体" w:cs="宋体"/>
          <w:sz w:val="24"/>
          <w:highlight w:val="none"/>
          <w:lang w:eastAsia="zh-CN" w:bidi="ar"/>
        </w:rPr>
        <w:t>的</w:t>
      </w:r>
      <w:r>
        <w:rPr>
          <w:rFonts w:hint="eastAsia" w:ascii="宋体" w:hAnsi="宋体" w:cs="宋体"/>
          <w:sz w:val="24"/>
          <w:highlight w:val="none"/>
          <w:lang w:bidi="ar"/>
        </w:rPr>
        <w:t>，另行发布延期公告；发布延期公告后，如投标供应商仍不足三家的，在已</w:t>
      </w:r>
      <w:r>
        <w:rPr>
          <w:rFonts w:hint="eastAsia" w:ascii="宋体" w:hAnsi="宋体" w:cs="宋体"/>
          <w:sz w:val="24"/>
          <w:highlight w:val="none"/>
          <w:lang w:eastAsia="zh-CN" w:bidi="ar"/>
        </w:rPr>
        <w:t>递交</w:t>
      </w:r>
      <w:r>
        <w:rPr>
          <w:rFonts w:hint="eastAsia" w:ascii="宋体" w:hAnsi="宋体" w:cs="宋体"/>
          <w:sz w:val="24"/>
          <w:highlight w:val="none"/>
          <w:lang w:bidi="ar"/>
        </w:rPr>
        <w:t>响应文件的供应商中按照评审规则评选。</w:t>
      </w:r>
    </w:p>
    <w:p w14:paraId="42958B37">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rPr>
        <w:t>4.</w:t>
      </w:r>
      <w:r>
        <w:rPr>
          <w:rFonts w:hint="eastAsia" w:ascii="宋体" w:hAnsi="宋体" w:cs="宋体"/>
          <w:sz w:val="24"/>
          <w:highlight w:val="none"/>
          <w:lang w:bidi="ar"/>
        </w:rPr>
        <w:t>响应文件</w:t>
      </w:r>
      <w:r>
        <w:rPr>
          <w:rFonts w:ascii="宋体" w:hAnsi="宋体" w:cs="宋体"/>
          <w:sz w:val="24"/>
          <w:highlight w:val="none"/>
        </w:rPr>
        <w:t>必须密封，否则按</w:t>
      </w:r>
      <w:r>
        <w:rPr>
          <w:rFonts w:hint="eastAsia" w:ascii="宋体" w:hAnsi="宋体" w:cs="宋体"/>
          <w:sz w:val="24"/>
          <w:highlight w:val="none"/>
          <w:lang w:eastAsia="zh-CN"/>
        </w:rPr>
        <w:t>无效</w:t>
      </w:r>
      <w:r>
        <w:rPr>
          <w:rFonts w:ascii="宋体" w:hAnsi="宋体" w:cs="宋体"/>
          <w:sz w:val="24"/>
          <w:highlight w:val="none"/>
        </w:rPr>
        <w:t>处理。</w:t>
      </w:r>
    </w:p>
    <w:p w14:paraId="494A5404">
      <w:pPr>
        <w:spacing w:line="360" w:lineRule="auto"/>
        <w:ind w:firstLine="354" w:firstLineChars="147"/>
        <w:rPr>
          <w:rFonts w:hint="eastAsia" w:ascii="黑体" w:hAnsi="黑体" w:eastAsia="黑体"/>
          <w:b/>
          <w:sz w:val="24"/>
          <w:highlight w:val="none"/>
        </w:rPr>
      </w:pPr>
      <w:r>
        <w:rPr>
          <w:rFonts w:hint="eastAsia" w:ascii="黑体" w:hAnsi="黑体" w:eastAsia="黑体"/>
          <w:b/>
          <w:sz w:val="24"/>
          <w:highlight w:val="none"/>
        </w:rPr>
        <w:t>五、响应文件开启</w:t>
      </w:r>
      <w:r>
        <w:rPr>
          <w:rFonts w:hint="eastAsia" w:ascii="黑体" w:hAnsi="黑体" w:eastAsia="黑体"/>
          <w:b/>
          <w:sz w:val="24"/>
          <w:highlight w:val="none"/>
          <w:lang w:eastAsia="zh-CN"/>
        </w:rPr>
        <w:t>与</w:t>
      </w:r>
      <w:r>
        <w:rPr>
          <w:rFonts w:hint="eastAsia" w:ascii="黑体" w:hAnsi="黑体" w:eastAsia="黑体"/>
          <w:b/>
          <w:sz w:val="24"/>
          <w:highlight w:val="none"/>
        </w:rPr>
        <w:t xml:space="preserve">评审 </w:t>
      </w:r>
    </w:p>
    <w:p w14:paraId="438600BC">
      <w:pPr>
        <w:spacing w:line="360" w:lineRule="auto"/>
        <w:ind w:firstLine="480" w:firstLineChars="200"/>
        <w:rPr>
          <w:rFonts w:hint="eastAsia" w:ascii="宋体" w:hAnsi="宋体" w:cs="宋体"/>
          <w:sz w:val="24"/>
          <w:highlight w:val="none"/>
        </w:rPr>
      </w:pPr>
      <w:r>
        <w:rPr>
          <w:rFonts w:ascii="宋体" w:hAnsi="宋体" w:cs="宋体"/>
          <w:sz w:val="24"/>
          <w:highlight w:val="none"/>
        </w:rPr>
        <w:t>1.时间：</w:t>
      </w:r>
      <w:r>
        <w:rPr>
          <w:rFonts w:hint="eastAsia" w:ascii="宋体" w:hAnsi="宋体" w:cs="宋体"/>
          <w:sz w:val="24"/>
          <w:highlight w:val="none"/>
        </w:rPr>
        <w:t>2025</w:t>
      </w:r>
      <w:r>
        <w:rPr>
          <w:rFonts w:ascii="宋体" w:hAnsi="宋体" w:cs="宋体"/>
          <w:sz w:val="24"/>
          <w:highlight w:val="none"/>
        </w:rPr>
        <w:t xml:space="preserve"> 年</w:t>
      </w:r>
      <w:r>
        <w:rPr>
          <w:rFonts w:hint="eastAsia" w:ascii="宋体" w:hAnsi="宋体" w:cs="宋体"/>
          <w:sz w:val="24"/>
          <w:highlight w:val="none"/>
          <w:lang w:val="en-US" w:eastAsia="zh-CN"/>
        </w:rPr>
        <w:t>9</w:t>
      </w:r>
      <w:r>
        <w:rPr>
          <w:rFonts w:ascii="宋体" w:hAnsi="宋体" w:cs="宋体"/>
          <w:sz w:val="24"/>
          <w:highlight w:val="none"/>
        </w:rPr>
        <w:t>月</w:t>
      </w:r>
      <w:r>
        <w:rPr>
          <w:rFonts w:hint="eastAsia" w:ascii="宋体" w:hAnsi="宋体" w:cs="宋体"/>
          <w:sz w:val="24"/>
          <w:highlight w:val="none"/>
          <w:lang w:val="en-US" w:eastAsia="zh-CN"/>
        </w:rPr>
        <w:t>26</w:t>
      </w:r>
      <w:r>
        <w:rPr>
          <w:rFonts w:ascii="宋体" w:hAnsi="宋体" w:cs="宋体"/>
          <w:sz w:val="24"/>
          <w:highlight w:val="none"/>
        </w:rPr>
        <w:t xml:space="preserve">日 </w:t>
      </w:r>
      <w:r>
        <w:rPr>
          <w:rFonts w:hint="eastAsia" w:ascii="宋体" w:hAnsi="宋体" w:cs="宋体"/>
          <w:sz w:val="24"/>
          <w:highlight w:val="none"/>
        </w:rPr>
        <w:t>（截标后的5个工作日内完成）</w:t>
      </w:r>
    </w:p>
    <w:p w14:paraId="06D6F9A0">
      <w:pPr>
        <w:spacing w:line="360" w:lineRule="auto"/>
        <w:ind w:firstLine="480" w:firstLineChars="200"/>
        <w:rPr>
          <w:rFonts w:hint="eastAsia" w:ascii="宋体" w:hAnsi="宋体" w:cs="宋体"/>
          <w:sz w:val="24"/>
          <w:highlight w:val="none"/>
          <w:lang w:bidi="ar"/>
        </w:rPr>
      </w:pPr>
      <w:r>
        <w:rPr>
          <w:rFonts w:ascii="宋体" w:hAnsi="宋体" w:cs="宋体"/>
          <w:sz w:val="24"/>
          <w:highlight w:val="none"/>
        </w:rPr>
        <w:t>2.地点：</w:t>
      </w:r>
      <w:r>
        <w:rPr>
          <w:rFonts w:hint="eastAsia" w:ascii="宋体" w:hAnsi="宋体" w:cs="宋体"/>
          <w:sz w:val="24"/>
          <w:highlight w:val="none"/>
          <w:lang w:bidi="ar"/>
        </w:rPr>
        <w:t>广西壮族自治区港航发展中心</w:t>
      </w:r>
    </w:p>
    <w:p w14:paraId="491EE663">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3.</w:t>
      </w:r>
      <w:r>
        <w:rPr>
          <w:rFonts w:hint="eastAsia" w:ascii="宋体" w:hAnsi="宋体" w:cs="宋体"/>
          <w:sz w:val="24"/>
          <w:highlight w:val="none"/>
          <w:lang w:bidi="ar"/>
        </w:rPr>
        <w:t>不邀请供应商参加响应文件开启。</w:t>
      </w:r>
    </w:p>
    <w:p w14:paraId="74B3E23A">
      <w:pPr>
        <w:spacing w:line="360" w:lineRule="auto"/>
        <w:ind w:firstLine="354" w:firstLineChars="147"/>
        <w:rPr>
          <w:rFonts w:hint="eastAsia" w:ascii="黑体" w:hAnsi="黑体" w:eastAsia="黑体"/>
          <w:b/>
          <w:sz w:val="24"/>
          <w:highlight w:val="none"/>
        </w:rPr>
      </w:pPr>
      <w:r>
        <w:rPr>
          <w:rFonts w:hint="eastAsia" w:ascii="黑体" w:hAnsi="黑体" w:eastAsia="黑体"/>
          <w:b/>
          <w:sz w:val="24"/>
          <w:highlight w:val="none"/>
        </w:rPr>
        <w:t>六、联系</w:t>
      </w:r>
      <w:r>
        <w:rPr>
          <w:rFonts w:ascii="黑体" w:hAnsi="黑体" w:eastAsia="黑体"/>
          <w:b/>
          <w:sz w:val="24"/>
          <w:highlight w:val="none"/>
        </w:rPr>
        <w:t>方式</w:t>
      </w:r>
    </w:p>
    <w:p w14:paraId="33FAC49B">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联系人：</w:t>
      </w:r>
      <w:r>
        <w:rPr>
          <w:rFonts w:hint="eastAsia" w:ascii="宋体" w:hAnsi="宋体" w:cs="宋体"/>
          <w:sz w:val="24"/>
          <w:highlight w:val="none"/>
          <w:lang w:eastAsia="zh-CN" w:bidi="ar"/>
        </w:rPr>
        <w:t>苏工</w:t>
      </w:r>
      <w:r>
        <w:rPr>
          <w:rFonts w:hint="eastAsia" w:ascii="宋体" w:hAnsi="宋体" w:cs="宋体"/>
          <w:sz w:val="24"/>
          <w:highlight w:val="none"/>
          <w:lang w:bidi="ar"/>
        </w:rPr>
        <w:t xml:space="preserve"> 联系电话：0771-</w:t>
      </w:r>
      <w:r>
        <w:rPr>
          <w:rFonts w:hint="eastAsia" w:ascii="宋体" w:hAnsi="宋体" w:cs="宋体"/>
          <w:sz w:val="24"/>
          <w:highlight w:val="none"/>
          <w:lang w:val="en-US" w:eastAsia="zh-CN" w:bidi="ar"/>
        </w:rPr>
        <w:t>2841511</w:t>
      </w:r>
      <w:r>
        <w:rPr>
          <w:rFonts w:hint="eastAsia" w:ascii="宋体" w:hAnsi="宋体" w:cs="宋体"/>
          <w:sz w:val="24"/>
          <w:highlight w:val="none"/>
          <w:lang w:bidi="ar"/>
        </w:rPr>
        <w:t>。</w:t>
      </w:r>
    </w:p>
    <w:p w14:paraId="365539C3">
      <w:pPr>
        <w:spacing w:line="360" w:lineRule="auto"/>
        <w:ind w:firstLine="354" w:firstLineChars="147"/>
        <w:rPr>
          <w:rFonts w:hint="eastAsia" w:ascii="黑体" w:hAnsi="黑体" w:eastAsia="黑体"/>
          <w:b/>
          <w:sz w:val="24"/>
          <w:highlight w:val="none"/>
        </w:rPr>
      </w:pPr>
    </w:p>
    <w:p w14:paraId="4AF41A22">
      <w:pPr>
        <w:spacing w:line="360" w:lineRule="auto"/>
        <w:ind w:firstLine="354" w:firstLineChars="147"/>
        <w:rPr>
          <w:rFonts w:hint="eastAsia" w:ascii="黑体" w:hAnsi="黑体" w:eastAsia="黑体"/>
          <w:b/>
          <w:sz w:val="24"/>
          <w:highlight w:val="none"/>
        </w:rPr>
      </w:pPr>
    </w:p>
    <w:p w14:paraId="4C4B2D7C">
      <w:pPr>
        <w:widowControl/>
        <w:spacing w:line="360" w:lineRule="auto"/>
        <w:ind w:firstLine="2400" w:firstLineChars="1000"/>
        <w:jc w:val="right"/>
        <w:rPr>
          <w:rFonts w:hint="eastAsia" w:ascii="宋体" w:hAnsi="宋体" w:cs="宋体"/>
          <w:sz w:val="24"/>
          <w:highlight w:val="none"/>
          <w:lang w:bidi="ar"/>
        </w:rPr>
      </w:pPr>
      <w:r>
        <w:rPr>
          <w:rFonts w:hint="eastAsia" w:ascii="宋体" w:hAnsi="宋体" w:cs="宋体"/>
          <w:sz w:val="24"/>
          <w:highlight w:val="none"/>
          <w:lang w:bidi="ar"/>
        </w:rPr>
        <w:t>采购人：广西壮族自治区港航发展中心</w:t>
      </w:r>
      <w:bookmarkStart w:id="367" w:name="_GoBack"/>
      <w:bookmarkEnd w:id="367"/>
    </w:p>
    <w:p w14:paraId="1CB3E40A">
      <w:pPr>
        <w:spacing w:line="360" w:lineRule="auto"/>
        <w:ind w:firstLine="480" w:firstLineChars="200"/>
        <w:jc w:val="right"/>
        <w:rPr>
          <w:rFonts w:hint="eastAsia" w:ascii="宋体" w:hAnsi="宋体"/>
          <w:b/>
          <w:bCs/>
          <w:sz w:val="32"/>
          <w:szCs w:val="32"/>
          <w:highlight w:val="none"/>
        </w:rPr>
      </w:pPr>
      <w:r>
        <w:rPr>
          <w:rFonts w:hint="eastAsia" w:ascii="宋体" w:hAnsi="宋体" w:cs="宋体"/>
          <w:sz w:val="24"/>
          <w:highlight w:val="none"/>
          <w:lang w:bidi="ar"/>
        </w:rPr>
        <w:t xml:space="preserve">                            2025年</w:t>
      </w:r>
      <w:r>
        <w:rPr>
          <w:rFonts w:hint="eastAsia" w:ascii="宋体" w:hAnsi="宋体" w:cs="宋体"/>
          <w:sz w:val="24"/>
          <w:highlight w:val="none"/>
          <w:lang w:val="en-US" w:eastAsia="zh-CN" w:bidi="ar"/>
        </w:rPr>
        <w:t>9</w:t>
      </w:r>
      <w:r>
        <w:rPr>
          <w:rFonts w:hint="eastAsia" w:ascii="宋体" w:hAnsi="宋体" w:cs="宋体"/>
          <w:sz w:val="24"/>
          <w:highlight w:val="none"/>
          <w:lang w:bidi="ar"/>
        </w:rPr>
        <w:t>月</w:t>
      </w:r>
      <w:r>
        <w:rPr>
          <w:rFonts w:hint="eastAsia" w:ascii="宋体" w:hAnsi="宋体" w:cs="宋体"/>
          <w:sz w:val="24"/>
          <w:highlight w:val="none"/>
          <w:lang w:val="en-US" w:eastAsia="zh-CN" w:bidi="ar"/>
        </w:rPr>
        <w:t>15</w:t>
      </w:r>
      <w:r>
        <w:rPr>
          <w:rFonts w:hint="eastAsia" w:ascii="宋体" w:hAnsi="宋体" w:cs="宋体"/>
          <w:sz w:val="24"/>
          <w:highlight w:val="none"/>
          <w:lang w:bidi="ar"/>
        </w:rPr>
        <w:t>日</w:t>
      </w:r>
    </w:p>
    <w:p w14:paraId="3C402694">
      <w:pPr>
        <w:pStyle w:val="2"/>
        <w:spacing w:before="0" w:after="0" w:line="460" w:lineRule="exact"/>
        <w:jc w:val="center"/>
        <w:rPr>
          <w:sz w:val="28"/>
          <w:szCs w:val="28"/>
          <w:highlight w:val="none"/>
        </w:rPr>
      </w:pPr>
      <w:r>
        <w:rPr>
          <w:rFonts w:hint="eastAsia"/>
          <w:highlight w:val="none"/>
        </w:rPr>
        <w:br w:type="page"/>
      </w:r>
      <w:bookmarkStart w:id="13" w:name="_Toc16740"/>
      <w:bookmarkStart w:id="14" w:name="_Toc15557"/>
      <w:bookmarkStart w:id="15" w:name="_Toc31261"/>
      <w:r>
        <w:rPr>
          <w:rFonts w:hint="eastAsia"/>
          <w:sz w:val="28"/>
          <w:szCs w:val="28"/>
          <w:highlight w:val="none"/>
        </w:rPr>
        <w:t>第二章 供应商须知</w:t>
      </w:r>
      <w:bookmarkEnd w:id="13"/>
      <w:bookmarkEnd w:id="14"/>
      <w:bookmarkEnd w:id="15"/>
    </w:p>
    <w:p w14:paraId="0414D888">
      <w:pPr>
        <w:spacing w:line="400" w:lineRule="exact"/>
        <w:jc w:val="center"/>
        <w:rPr>
          <w:rFonts w:hint="eastAsia" w:ascii="宋体" w:hAnsi="宋体"/>
          <w:b/>
          <w:sz w:val="32"/>
          <w:szCs w:val="32"/>
          <w:highlight w:val="none"/>
        </w:rPr>
      </w:pPr>
    </w:p>
    <w:p w14:paraId="2EC387F0">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一、本次采购采用总价包干，</w:t>
      </w:r>
      <w:r>
        <w:rPr>
          <w:rFonts w:hint="eastAsia" w:ascii="宋体" w:hAnsi="宋体" w:cs="宋体"/>
          <w:sz w:val="24"/>
          <w:highlight w:val="none"/>
          <w:lang w:eastAsia="zh-CN" w:bidi="ar"/>
        </w:rPr>
        <w:t>投标</w:t>
      </w:r>
      <w:r>
        <w:rPr>
          <w:rFonts w:hint="eastAsia" w:ascii="宋体" w:hAnsi="宋体" w:cs="宋体"/>
          <w:sz w:val="24"/>
          <w:highlight w:val="none"/>
          <w:lang w:bidi="ar"/>
        </w:rPr>
        <w:t>报价包含但不限于从前期踏勘、资料收集、水上水下施工许可证办理费用、报告编制费、现场管理费、会议、专家咨询费、调研差旅费、管理费、文印费、设备耗材费、税费及合同包含的所有风险、责任及措施等费用，包含为完成</w:t>
      </w:r>
      <w:bookmarkStart w:id="16" w:name="OLE_LINK12"/>
      <w:r>
        <w:rPr>
          <w:rFonts w:hint="eastAsia" w:ascii="宋体" w:hAnsi="宋体" w:cs="宋体"/>
          <w:sz w:val="24"/>
          <w:highlight w:val="none"/>
          <w:u w:val="single"/>
          <w:lang w:eastAsia="zh-CN" w:bidi="ar"/>
        </w:rPr>
        <w:t>桂江（莲花大桥至桂江河口）航道扩建工程</w:t>
      </w:r>
      <w:r>
        <w:rPr>
          <w:rFonts w:hint="eastAsia" w:ascii="宋体" w:hAnsi="宋体" w:cs="宋体"/>
          <w:sz w:val="24"/>
          <w:highlight w:val="none"/>
          <w:u w:val="single"/>
          <w:lang w:bidi="ar"/>
        </w:rPr>
        <w:t>工程可行性研究</w:t>
      </w:r>
      <w:bookmarkEnd w:id="16"/>
      <w:r>
        <w:rPr>
          <w:rFonts w:hint="eastAsia" w:ascii="宋体" w:hAnsi="宋体" w:cs="宋体"/>
          <w:sz w:val="24"/>
          <w:highlight w:val="none"/>
          <w:u w:val="single"/>
          <w:lang w:eastAsia="zh-CN" w:bidi="ar"/>
        </w:rPr>
        <w:t>服务项目</w:t>
      </w:r>
      <w:r>
        <w:rPr>
          <w:rFonts w:hint="eastAsia" w:ascii="宋体" w:hAnsi="宋体" w:cs="宋体"/>
          <w:sz w:val="24"/>
          <w:highlight w:val="none"/>
          <w:lang w:bidi="ar"/>
        </w:rPr>
        <w:t>的全部工作以及可能发生的各种费用。本项目合同总价在合同执行过程中是固定的，不因情况变化而调整。</w:t>
      </w:r>
    </w:p>
    <w:p w14:paraId="1E42D450">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二、</w:t>
      </w:r>
      <w:r>
        <w:rPr>
          <w:rFonts w:hint="eastAsia" w:ascii="宋体" w:hAnsi="宋体" w:cs="宋体"/>
          <w:sz w:val="24"/>
          <w:highlight w:val="none"/>
          <w:lang w:eastAsia="zh-CN" w:bidi="ar"/>
        </w:rPr>
        <w:t>投标</w:t>
      </w:r>
      <w:r>
        <w:rPr>
          <w:rFonts w:hint="eastAsia" w:ascii="宋体" w:hAnsi="宋体" w:cs="宋体"/>
          <w:sz w:val="24"/>
          <w:highlight w:val="none"/>
          <w:lang w:bidi="ar"/>
        </w:rPr>
        <w:t>报价为一次报价，此次报价即最终报价，不再就价格问题另行协商。</w:t>
      </w:r>
    </w:p>
    <w:p w14:paraId="04D7B78A">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三、</w:t>
      </w:r>
      <w:r>
        <w:rPr>
          <w:rFonts w:hint="eastAsia" w:ascii="宋体" w:hAnsi="宋体" w:cs="宋体"/>
          <w:sz w:val="24"/>
          <w:highlight w:val="none"/>
          <w:lang w:eastAsia="zh-CN" w:bidi="ar"/>
        </w:rPr>
        <w:t>投标</w:t>
      </w:r>
      <w:r>
        <w:rPr>
          <w:rFonts w:hint="eastAsia" w:ascii="宋体" w:hAnsi="宋体" w:cs="宋体"/>
          <w:sz w:val="24"/>
          <w:highlight w:val="none"/>
          <w:lang w:bidi="ar"/>
        </w:rPr>
        <w:t>报价不能超过采购公告规定的最高限价，超过最高限价作</w:t>
      </w:r>
      <w:r>
        <w:rPr>
          <w:rFonts w:hint="eastAsia" w:ascii="宋体" w:hAnsi="宋体" w:cs="宋体"/>
          <w:sz w:val="24"/>
          <w:highlight w:val="none"/>
          <w:lang w:eastAsia="zh-CN" w:bidi="ar"/>
        </w:rPr>
        <w:t>投标</w:t>
      </w:r>
      <w:r>
        <w:rPr>
          <w:rFonts w:hint="eastAsia" w:ascii="宋体" w:hAnsi="宋体" w:cs="宋体"/>
          <w:sz w:val="24"/>
          <w:highlight w:val="none"/>
          <w:lang w:bidi="ar"/>
        </w:rPr>
        <w:t>无效处理。</w:t>
      </w:r>
    </w:p>
    <w:p w14:paraId="62A8DEA1">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四、报价应为含税价格，并且能够提供增值税发票。</w:t>
      </w:r>
    </w:p>
    <w:p w14:paraId="0371BADB">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五、供应商如需现场考察，可自行前往，费用自理。</w:t>
      </w:r>
    </w:p>
    <w:p w14:paraId="3D1A1A68">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六、供应商应针对本项目的特殊性和项目所在地的地理、人文、环境进行综合的评估，谨慎报价，合理安排各项工作。</w:t>
      </w:r>
    </w:p>
    <w:p w14:paraId="2D73E020">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七、响应文件应于采购公告规定的响应文件</w:t>
      </w:r>
      <w:r>
        <w:rPr>
          <w:rFonts w:hint="eastAsia" w:ascii="宋体" w:hAnsi="宋体" w:cs="宋体"/>
          <w:sz w:val="24"/>
          <w:highlight w:val="none"/>
          <w:lang w:eastAsia="zh-CN" w:bidi="ar"/>
        </w:rPr>
        <w:t>递交</w:t>
      </w:r>
      <w:r>
        <w:rPr>
          <w:rFonts w:hint="eastAsia" w:ascii="宋体" w:hAnsi="宋体" w:cs="宋体"/>
          <w:sz w:val="24"/>
          <w:highlight w:val="none"/>
          <w:lang w:bidi="ar"/>
        </w:rPr>
        <w:t>截止时间前</w:t>
      </w:r>
      <w:r>
        <w:rPr>
          <w:rFonts w:hint="eastAsia" w:ascii="宋体" w:hAnsi="宋体" w:cs="宋体"/>
          <w:sz w:val="24"/>
          <w:highlight w:val="none"/>
          <w:lang w:eastAsia="zh-CN" w:bidi="ar"/>
        </w:rPr>
        <w:t>递交</w:t>
      </w:r>
      <w:r>
        <w:rPr>
          <w:rFonts w:hint="eastAsia" w:ascii="宋体" w:hAnsi="宋体" w:cs="宋体"/>
          <w:sz w:val="24"/>
          <w:highlight w:val="none"/>
          <w:lang w:bidi="ar"/>
        </w:rPr>
        <w:t>，密封邮寄或亲自</w:t>
      </w:r>
      <w:r>
        <w:rPr>
          <w:rFonts w:hint="eastAsia" w:ascii="宋体" w:hAnsi="宋体" w:cs="宋体"/>
          <w:sz w:val="24"/>
          <w:highlight w:val="none"/>
          <w:lang w:eastAsia="zh-CN" w:bidi="ar"/>
        </w:rPr>
        <w:t>递交</w:t>
      </w:r>
      <w:r>
        <w:rPr>
          <w:rFonts w:hint="eastAsia" w:ascii="宋体" w:hAnsi="宋体" w:cs="宋体"/>
          <w:sz w:val="24"/>
          <w:highlight w:val="none"/>
          <w:lang w:bidi="ar"/>
        </w:rPr>
        <w:t>到</w:t>
      </w:r>
      <w:r>
        <w:rPr>
          <w:rFonts w:hint="eastAsia" w:ascii="宋体" w:hAnsi="宋体" w:cs="宋体"/>
          <w:sz w:val="24"/>
          <w:highlight w:val="none"/>
          <w:lang w:eastAsia="zh-CN" w:bidi="ar"/>
        </w:rPr>
        <w:t>采购公告指定的响应文件递交地点</w:t>
      </w:r>
      <w:r>
        <w:rPr>
          <w:rFonts w:hint="eastAsia" w:ascii="宋体" w:hAnsi="宋体" w:cs="宋体"/>
          <w:sz w:val="24"/>
          <w:highlight w:val="none"/>
          <w:lang w:bidi="ar"/>
        </w:rPr>
        <w:t>，逾期送达的，采购人将予以拒绝。</w:t>
      </w:r>
    </w:p>
    <w:p w14:paraId="5169E505">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八、响应文件应按第五章响应文件格式要求编制。响应文件正本壹份、副本壹份。</w:t>
      </w:r>
    </w:p>
    <w:p w14:paraId="6683CFE6">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九、本项目不允许分包。</w:t>
      </w:r>
    </w:p>
    <w:p w14:paraId="69CB97A6">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十、</w:t>
      </w:r>
      <w:r>
        <w:rPr>
          <w:rFonts w:hint="eastAsia" w:ascii="宋体" w:hAnsi="宋体" w:cs="宋体"/>
          <w:sz w:val="24"/>
          <w:highlight w:val="none"/>
          <w:lang w:eastAsia="zh-CN" w:bidi="ar"/>
        </w:rPr>
        <w:t>投标</w:t>
      </w:r>
      <w:r>
        <w:rPr>
          <w:rFonts w:hint="eastAsia" w:ascii="宋体" w:hAnsi="宋体" w:cs="宋体"/>
          <w:sz w:val="24"/>
          <w:highlight w:val="none"/>
          <w:lang w:bidi="ar"/>
        </w:rPr>
        <w:t>有效期为60日历天。</w:t>
      </w:r>
    </w:p>
    <w:p w14:paraId="4285A720">
      <w:pPr>
        <w:spacing w:line="360" w:lineRule="auto"/>
        <w:ind w:firstLine="480" w:firstLineChars="200"/>
        <w:rPr>
          <w:rFonts w:hint="eastAsia" w:ascii="宋体" w:hAnsi="宋体" w:cs="宋体"/>
          <w:sz w:val="24"/>
          <w:highlight w:val="none"/>
          <w:lang w:bidi="ar"/>
        </w:rPr>
      </w:pPr>
    </w:p>
    <w:p w14:paraId="1C695F14">
      <w:pPr>
        <w:pStyle w:val="10"/>
        <w:rPr>
          <w:rFonts w:ascii="宋体"/>
          <w:bCs/>
          <w:kern w:val="0"/>
          <w:szCs w:val="21"/>
          <w:highlight w:val="none"/>
        </w:rPr>
      </w:pPr>
    </w:p>
    <w:p w14:paraId="11713DB0">
      <w:pPr>
        <w:pStyle w:val="10"/>
        <w:rPr>
          <w:rFonts w:ascii="宋体"/>
          <w:bCs/>
          <w:kern w:val="0"/>
          <w:szCs w:val="21"/>
          <w:highlight w:val="none"/>
        </w:rPr>
      </w:pPr>
    </w:p>
    <w:p w14:paraId="40583DFD">
      <w:pPr>
        <w:pStyle w:val="15"/>
        <w:spacing w:line="360" w:lineRule="auto"/>
        <w:ind w:firstLine="643" w:firstLineChars="200"/>
        <w:textAlignment w:val="center"/>
        <w:rPr>
          <w:rFonts w:hint="eastAsia" w:hAnsi="宋体" w:cs="宋体"/>
          <w:kern w:val="2"/>
          <w:sz w:val="21"/>
          <w:highlight w:val="none"/>
        </w:rPr>
      </w:pPr>
      <w:r>
        <w:rPr>
          <w:rFonts w:hAnsi="宋体"/>
          <w:b/>
          <w:sz w:val="32"/>
          <w:szCs w:val="32"/>
          <w:highlight w:val="none"/>
        </w:rPr>
        <w:br w:type="page"/>
      </w:r>
    </w:p>
    <w:p w14:paraId="144EDD78">
      <w:pPr>
        <w:pStyle w:val="2"/>
        <w:spacing w:before="0" w:after="0" w:line="360" w:lineRule="auto"/>
        <w:jc w:val="center"/>
        <w:rPr>
          <w:sz w:val="28"/>
          <w:szCs w:val="28"/>
          <w:highlight w:val="none"/>
        </w:rPr>
      </w:pPr>
      <w:bookmarkStart w:id="17" w:name="_Toc14791"/>
      <w:bookmarkStart w:id="18" w:name="_Toc31960"/>
      <w:bookmarkStart w:id="19" w:name="_Toc2534"/>
      <w:r>
        <w:rPr>
          <w:rFonts w:hint="eastAsia"/>
          <w:sz w:val="28"/>
          <w:szCs w:val="28"/>
          <w:highlight w:val="none"/>
        </w:rPr>
        <w:t>第三章 采购需求</w:t>
      </w:r>
      <w:bookmarkEnd w:id="17"/>
      <w:bookmarkEnd w:id="18"/>
      <w:bookmarkEnd w:id="19"/>
    </w:p>
    <w:p w14:paraId="3092EDCE">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一、项目概况</w:t>
      </w:r>
    </w:p>
    <w:p w14:paraId="6E9C7BFE">
      <w:pPr>
        <w:spacing w:line="360" w:lineRule="auto"/>
        <w:ind w:firstLine="480" w:firstLineChars="200"/>
        <w:rPr>
          <w:rFonts w:hint="eastAsia" w:ascii="宋体" w:hAnsi="宋体" w:cs="宋体"/>
          <w:bCs/>
          <w:sz w:val="24"/>
          <w:highlight w:val="none"/>
        </w:rPr>
      </w:pPr>
      <w:r>
        <w:rPr>
          <w:rFonts w:hint="eastAsia" w:ascii="宋体" w:hAnsi="宋体" w:cs="宋体"/>
          <w:bCs/>
          <w:sz w:val="24"/>
          <w:highlight w:val="none"/>
        </w:rPr>
        <w:t>桂江航道自桂江莲花大桥至桂江河口河段，航道里程长约8.3</w:t>
      </w:r>
      <w:r>
        <w:rPr>
          <w:rFonts w:hint="eastAsia" w:ascii="宋体" w:hAnsi="宋体" w:cs="宋体"/>
          <w:bCs/>
          <w:sz w:val="24"/>
          <w:highlight w:val="none"/>
          <w:lang w:eastAsia="zh-CN"/>
        </w:rPr>
        <w:t>公里</w:t>
      </w:r>
      <w:r>
        <w:rPr>
          <w:rFonts w:hint="eastAsia" w:ascii="宋体" w:hAnsi="宋体" w:cs="宋体"/>
          <w:bCs/>
          <w:sz w:val="24"/>
          <w:highlight w:val="none"/>
        </w:rPr>
        <w:t>，已按Ⅲ级航道建设，建设航道尺度为3.0</w:t>
      </w:r>
      <w:r>
        <w:rPr>
          <w:rFonts w:hint="eastAsia" w:ascii="宋体" w:hAnsi="宋体" w:cs="宋体"/>
          <w:bCs/>
          <w:sz w:val="24"/>
          <w:highlight w:val="none"/>
          <w:lang w:eastAsia="zh-CN"/>
        </w:rPr>
        <w:t>米</w:t>
      </w:r>
      <w:r>
        <w:rPr>
          <w:rFonts w:hint="eastAsia" w:ascii="宋体" w:hAnsi="宋体" w:cs="宋体"/>
          <w:bCs/>
          <w:sz w:val="24"/>
          <w:highlight w:val="none"/>
        </w:rPr>
        <w:t>×60</w:t>
      </w:r>
      <w:r>
        <w:rPr>
          <w:rFonts w:hint="eastAsia" w:ascii="宋体" w:hAnsi="宋体" w:cs="宋体"/>
          <w:bCs/>
          <w:sz w:val="24"/>
          <w:highlight w:val="none"/>
          <w:lang w:eastAsia="zh-CN"/>
        </w:rPr>
        <w:t>米</w:t>
      </w:r>
      <w:r>
        <w:rPr>
          <w:rFonts w:hint="eastAsia" w:ascii="宋体" w:hAnsi="宋体" w:cs="宋体"/>
          <w:bCs/>
          <w:sz w:val="24"/>
          <w:highlight w:val="none"/>
        </w:rPr>
        <w:t>×480</w:t>
      </w:r>
      <w:r>
        <w:rPr>
          <w:rFonts w:hint="eastAsia" w:ascii="宋体" w:hAnsi="宋体" w:cs="宋体"/>
          <w:bCs/>
          <w:sz w:val="24"/>
          <w:highlight w:val="none"/>
          <w:lang w:eastAsia="zh-CN"/>
        </w:rPr>
        <w:t>米</w:t>
      </w:r>
      <w:r>
        <w:rPr>
          <w:rFonts w:hint="eastAsia" w:ascii="宋体" w:hAnsi="宋体" w:cs="宋体"/>
          <w:bCs/>
          <w:sz w:val="24"/>
          <w:highlight w:val="none"/>
        </w:rPr>
        <w:t>，设计代表船型为1000 吨级货船和1000 吨级多用途集装箱船，设计最低通航水位为1.90</w:t>
      </w:r>
      <w:r>
        <w:rPr>
          <w:rFonts w:hint="eastAsia" w:ascii="宋体" w:hAnsi="宋体" w:cs="宋体"/>
          <w:bCs/>
          <w:sz w:val="24"/>
          <w:highlight w:val="none"/>
          <w:lang w:eastAsia="zh-CN"/>
        </w:rPr>
        <w:t>米</w:t>
      </w:r>
      <w:r>
        <w:rPr>
          <w:rFonts w:hint="eastAsia" w:ascii="宋体" w:hAnsi="宋体" w:cs="宋体"/>
          <w:bCs/>
          <w:sz w:val="24"/>
          <w:highlight w:val="none"/>
        </w:rPr>
        <w:t>。由于下游西江段航道整治等多种因素影响，设计最低通航水位已经下降至1.21</w:t>
      </w:r>
      <w:r>
        <w:rPr>
          <w:rFonts w:hint="eastAsia" w:ascii="宋体" w:hAnsi="宋体" w:cs="宋体"/>
          <w:bCs/>
          <w:sz w:val="24"/>
          <w:highlight w:val="none"/>
          <w:lang w:eastAsia="zh-CN"/>
        </w:rPr>
        <w:t>米</w:t>
      </w:r>
      <w:r>
        <w:rPr>
          <w:rFonts w:hint="eastAsia" w:ascii="宋体" w:hAnsi="宋体" w:cs="宋体"/>
          <w:bCs/>
          <w:sz w:val="24"/>
          <w:highlight w:val="none"/>
        </w:rPr>
        <w:t>，降低约0.69</w:t>
      </w:r>
      <w:r>
        <w:rPr>
          <w:rFonts w:hint="eastAsia" w:ascii="宋体" w:hAnsi="宋体" w:cs="宋体"/>
          <w:bCs/>
          <w:sz w:val="24"/>
          <w:highlight w:val="none"/>
          <w:lang w:eastAsia="zh-CN"/>
        </w:rPr>
        <w:t>米</w:t>
      </w:r>
      <w:r>
        <w:rPr>
          <w:rFonts w:hint="eastAsia" w:ascii="宋体" w:hAnsi="宋体" w:cs="宋体"/>
          <w:bCs/>
          <w:sz w:val="24"/>
          <w:highlight w:val="none"/>
        </w:rPr>
        <w:t>，同时桂江航道工程（平乐至马江段）、桂江航道工程（马江至莲花大桥段）已经开工建设，根据桂江航道工程（马江至莲花大桥段）施工图设计，其中旺村坝下河段位于梧州工业区集中区范围，规划了较多的港口岸线，未来船舶密度较大，且旺村坝下河段为天然航道，河道较窄，旺村坝下航段炸礁范围考虑航道边线以外5～10</w:t>
      </w:r>
      <w:r>
        <w:rPr>
          <w:rFonts w:hint="eastAsia" w:ascii="宋体" w:hAnsi="宋体" w:cs="宋体"/>
          <w:bCs/>
          <w:sz w:val="24"/>
          <w:highlight w:val="none"/>
          <w:lang w:eastAsia="zh-CN"/>
        </w:rPr>
        <w:t>米</w:t>
      </w:r>
      <w:r>
        <w:rPr>
          <w:rFonts w:hint="eastAsia" w:ascii="宋体" w:hAnsi="宋体" w:cs="宋体"/>
          <w:bCs/>
          <w:sz w:val="24"/>
          <w:highlight w:val="none"/>
        </w:rPr>
        <w:t xml:space="preserve"> 的区域。旺村坝下至莲花大桥段航道设计航道尺度为3.5 米×70 米×480 米（水深×宽度×最小弯曲半径）。</w:t>
      </w:r>
    </w:p>
    <w:p w14:paraId="044DC207">
      <w:pPr>
        <w:spacing w:line="360" w:lineRule="auto"/>
        <w:ind w:firstLine="480" w:firstLineChars="200"/>
        <w:rPr>
          <w:rFonts w:hint="eastAsia" w:ascii="宋体" w:hAnsi="宋体" w:cs="宋体"/>
          <w:bCs/>
          <w:sz w:val="24"/>
          <w:highlight w:val="none"/>
        </w:rPr>
      </w:pPr>
      <w:r>
        <w:rPr>
          <w:rFonts w:hint="eastAsia" w:ascii="宋体" w:hAnsi="宋体" w:cs="宋体"/>
          <w:bCs/>
          <w:sz w:val="24"/>
          <w:highlight w:val="none"/>
        </w:rPr>
        <w:t>因此，</w:t>
      </w:r>
      <w:r>
        <w:rPr>
          <w:rFonts w:hint="eastAsia" w:ascii="宋体" w:hAnsi="宋体" w:cs="宋体"/>
          <w:bCs/>
          <w:sz w:val="24"/>
          <w:highlight w:val="none"/>
          <w:lang w:eastAsia="zh-CN"/>
        </w:rPr>
        <w:t>桂江航道（莲花大桥至桂江河口段）设计最低通航水位、航道尺度与在建桂江航道工程（马江至莲花大桥段）未衔接，</w:t>
      </w:r>
      <w:r>
        <w:rPr>
          <w:rFonts w:hint="eastAsia" w:ascii="宋体" w:hAnsi="宋体" w:cs="宋体"/>
          <w:bCs/>
          <w:sz w:val="24"/>
          <w:highlight w:val="none"/>
        </w:rPr>
        <w:t>需开展</w:t>
      </w:r>
      <w:r>
        <w:rPr>
          <w:rFonts w:hint="eastAsia" w:ascii="宋体" w:hAnsi="宋体" w:cs="宋体"/>
          <w:bCs/>
          <w:sz w:val="24"/>
          <w:highlight w:val="none"/>
          <w:lang w:eastAsia="zh-CN"/>
        </w:rPr>
        <w:t>桂江（莲花大桥至桂江河口）航道扩建工程</w:t>
      </w:r>
      <w:r>
        <w:rPr>
          <w:rFonts w:hint="eastAsia" w:ascii="宋体" w:hAnsi="宋体" w:cs="宋体"/>
          <w:bCs/>
          <w:sz w:val="24"/>
          <w:highlight w:val="none"/>
        </w:rPr>
        <w:t>工程可行性研究工作。</w:t>
      </w:r>
    </w:p>
    <w:p w14:paraId="0FB9CDEF">
      <w:pPr>
        <w:spacing w:line="360" w:lineRule="auto"/>
        <w:ind w:firstLine="480" w:firstLineChars="200"/>
        <w:rPr>
          <w:rFonts w:hint="eastAsia" w:ascii="宋体" w:hAnsi="宋体" w:cs="宋体"/>
          <w:bCs/>
          <w:sz w:val="24"/>
          <w:highlight w:val="none"/>
        </w:rPr>
      </w:pPr>
      <w:r>
        <w:rPr>
          <w:rFonts w:hint="eastAsia" w:ascii="宋体" w:hAnsi="宋体" w:cs="宋体"/>
          <w:bCs/>
          <w:sz w:val="24"/>
          <w:highlight w:val="none"/>
          <w:lang w:eastAsia="zh-CN"/>
        </w:rPr>
        <w:t>桂江（莲花大桥至桂江河口）航道扩建工程</w:t>
      </w:r>
      <w:r>
        <w:rPr>
          <w:rFonts w:hint="eastAsia" w:ascii="宋体" w:hAnsi="宋体" w:cs="宋体"/>
          <w:bCs/>
          <w:sz w:val="24"/>
          <w:highlight w:val="none"/>
        </w:rPr>
        <w:t>，</w:t>
      </w:r>
      <w:bookmarkStart w:id="20" w:name="OLE_LINK6"/>
      <w:r>
        <w:rPr>
          <w:rFonts w:hint="eastAsia" w:ascii="宋体" w:hAnsi="宋体" w:cs="宋体"/>
          <w:bCs/>
          <w:sz w:val="24"/>
          <w:highlight w:val="none"/>
        </w:rPr>
        <w:t>航道里程长约8.3</w:t>
      </w:r>
      <w:bookmarkEnd w:id="20"/>
      <w:r>
        <w:rPr>
          <w:rFonts w:hint="eastAsia" w:ascii="宋体" w:hAnsi="宋体" w:cs="宋体"/>
          <w:bCs/>
          <w:sz w:val="24"/>
          <w:highlight w:val="none"/>
          <w:lang w:eastAsia="zh-CN"/>
        </w:rPr>
        <w:t>公里</w:t>
      </w:r>
      <w:r>
        <w:rPr>
          <w:rFonts w:hint="eastAsia" w:ascii="宋体" w:hAnsi="宋体" w:cs="宋体"/>
          <w:bCs/>
          <w:sz w:val="24"/>
          <w:highlight w:val="none"/>
        </w:rPr>
        <w:t>，按Ⅲ级航道建设，设计航道尺度：3.5米×70 米×480 米（水深×宽度×最小弯曲半径），设计最低通航水位1.21</w:t>
      </w:r>
      <w:r>
        <w:rPr>
          <w:rFonts w:hint="eastAsia" w:ascii="宋体" w:hAnsi="宋体" w:cs="宋体"/>
          <w:bCs/>
          <w:sz w:val="24"/>
          <w:highlight w:val="none"/>
          <w:lang w:eastAsia="zh-CN"/>
        </w:rPr>
        <w:t>米</w:t>
      </w:r>
      <w:r>
        <w:rPr>
          <w:rFonts w:hint="eastAsia" w:ascii="宋体" w:hAnsi="宋体" w:cs="宋体"/>
          <w:bCs/>
          <w:sz w:val="24"/>
          <w:highlight w:val="none"/>
        </w:rPr>
        <w:t>，主要工程内容包括生态疏浚炸礁工程、生态护岸工程、航标工程及配套工程等。</w:t>
      </w:r>
    </w:p>
    <w:p w14:paraId="661DF1FC">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采购预算金额：50万元。</w:t>
      </w:r>
    </w:p>
    <w:p w14:paraId="25D9382D">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二、采购内容</w:t>
      </w:r>
    </w:p>
    <w:p w14:paraId="5E52FD71">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桂江（莲花大桥至桂江河口）航道扩建工程工程可行性研究服务</w:t>
      </w:r>
      <w:r>
        <w:rPr>
          <w:rFonts w:hint="eastAsia" w:ascii="宋体" w:hAnsi="宋体" w:cs="宋体"/>
          <w:sz w:val="24"/>
          <w:highlight w:val="none"/>
          <w:lang w:eastAsia="zh-CN" w:bidi="ar"/>
        </w:rPr>
        <w:t>（含必要的工程测量）</w:t>
      </w:r>
      <w:r>
        <w:rPr>
          <w:rFonts w:hint="eastAsia" w:ascii="宋体" w:hAnsi="宋体" w:cs="宋体"/>
          <w:bCs/>
          <w:sz w:val="24"/>
          <w:highlight w:val="none"/>
        </w:rPr>
        <w:t>。</w:t>
      </w:r>
    </w:p>
    <w:p w14:paraId="2C867EBE">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三、技术要求</w:t>
      </w:r>
    </w:p>
    <w:p w14:paraId="3EB9054E">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（一）技术标准</w:t>
      </w:r>
    </w:p>
    <w:p w14:paraId="3F7C323B">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eastAsia="zh-CN" w:bidi="ar"/>
        </w:rPr>
        <w:t>执行</w:t>
      </w:r>
      <w:bookmarkStart w:id="21" w:name="OLE_LINK11"/>
      <w:r>
        <w:rPr>
          <w:rFonts w:hint="eastAsia" w:ascii="宋体" w:hAnsi="宋体" w:cs="宋体"/>
          <w:sz w:val="24"/>
          <w:highlight w:val="none"/>
          <w:lang w:bidi="ar"/>
        </w:rPr>
        <w:t>国家和行业现行相关的技术标准、规范和规程</w:t>
      </w:r>
      <w:bookmarkEnd w:id="21"/>
      <w:r>
        <w:rPr>
          <w:rFonts w:hint="eastAsia" w:ascii="宋体" w:hAnsi="宋体" w:cs="宋体"/>
          <w:sz w:val="24"/>
          <w:highlight w:val="none"/>
          <w:lang w:bidi="ar"/>
        </w:rPr>
        <w:t>。在项目实施过程中，如国家或有关部门颁布了新的技术标准，则供应商应采用新的标准。</w:t>
      </w:r>
    </w:p>
    <w:p w14:paraId="1EA20ECC">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技术标准书目索引（包括但不限于）：</w:t>
      </w:r>
    </w:p>
    <w:p w14:paraId="1DE8E088">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1.《航道工程基本术语标准》（JTS/T 103-2-2021）；</w:t>
      </w:r>
    </w:p>
    <w:p w14:paraId="167F8551">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2.《政府投资项目可行性研究报告编写通用大纲（2023年版）》（发改投资规[2023]304号）；</w:t>
      </w:r>
    </w:p>
    <w:p w14:paraId="456B9FA5">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3.《水运工程测量规范》（JTS 131-2012）；</w:t>
      </w:r>
    </w:p>
    <w:p w14:paraId="7381A900">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4.《工程测量规范》（GB50026）；</w:t>
      </w:r>
    </w:p>
    <w:p w14:paraId="6C9B9F6A">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5.《航道工程设计规范》（JTS 181-2016）；</w:t>
      </w:r>
    </w:p>
    <w:p w14:paraId="1D0C738C">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6</w:t>
      </w:r>
      <w:r>
        <w:rPr>
          <w:rFonts w:hint="eastAsia" w:ascii="宋体" w:hAnsi="宋体" w:cs="宋体"/>
          <w:sz w:val="24"/>
          <w:highlight w:val="none"/>
          <w:lang w:bidi="ar"/>
        </w:rPr>
        <w:t>.《水运工程建设项目投资估算编制规定》（JTS115-2014）；</w:t>
      </w:r>
    </w:p>
    <w:p w14:paraId="5B0D69B6">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7</w:t>
      </w:r>
      <w:r>
        <w:rPr>
          <w:rFonts w:hint="eastAsia" w:ascii="宋体" w:hAnsi="宋体" w:cs="宋体"/>
          <w:sz w:val="24"/>
          <w:highlight w:val="none"/>
          <w:lang w:bidi="ar"/>
        </w:rPr>
        <w:t>.其他现行相关规范标准。</w:t>
      </w:r>
    </w:p>
    <w:p w14:paraId="2C9D45EF">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（二）质量要求</w:t>
      </w:r>
    </w:p>
    <w:p w14:paraId="28909AFF">
      <w:pPr>
        <w:widowControl/>
        <w:spacing w:line="360" w:lineRule="auto"/>
        <w:ind w:firstLine="480" w:firstLineChars="200"/>
        <w:rPr>
          <w:rFonts w:hint="eastAsia" w:ascii="宋体" w:hAnsi="宋体" w:cs="宋体"/>
          <w:sz w:val="24"/>
          <w:highlight w:val="none"/>
          <w:lang w:eastAsia="zh-CN" w:bidi="ar"/>
        </w:rPr>
      </w:pPr>
      <w:r>
        <w:rPr>
          <w:rFonts w:hint="eastAsia" w:ascii="宋体" w:hAnsi="宋体" w:cs="宋体"/>
          <w:sz w:val="24"/>
          <w:highlight w:val="none"/>
          <w:lang w:bidi="ar"/>
        </w:rPr>
        <w:t>工作程序、工作成果应当符合现行内河航道工程建设相关国家标准、行业标准、地方标准等标准、规范</w:t>
      </w:r>
      <w:r>
        <w:rPr>
          <w:rFonts w:hint="eastAsia" w:ascii="宋体" w:hAnsi="宋体" w:cs="宋体"/>
          <w:sz w:val="24"/>
          <w:highlight w:val="none"/>
          <w:lang w:eastAsia="zh-CN" w:bidi="ar"/>
        </w:rPr>
        <w:t>。勘察成果</w:t>
      </w:r>
      <w:r>
        <w:rPr>
          <w:rFonts w:hint="eastAsia" w:ascii="宋体" w:hAnsi="宋体" w:cs="宋体"/>
          <w:sz w:val="24"/>
          <w:highlight w:val="none"/>
          <w:lang w:bidi="ar"/>
        </w:rPr>
        <w:t>通过专家评审，工程可行性研究报告取得主管部门批复</w:t>
      </w:r>
      <w:r>
        <w:rPr>
          <w:rFonts w:hint="eastAsia" w:ascii="宋体" w:hAnsi="宋体" w:cs="宋体"/>
          <w:sz w:val="24"/>
          <w:highlight w:val="none"/>
          <w:lang w:eastAsia="zh-CN" w:bidi="ar"/>
        </w:rPr>
        <w:t>。</w:t>
      </w:r>
    </w:p>
    <w:p w14:paraId="6268D62F">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w:t>
      </w:r>
      <w:r>
        <w:rPr>
          <w:rFonts w:hint="eastAsia" w:ascii="宋体" w:hAnsi="宋体" w:cs="宋体"/>
          <w:b/>
          <w:bCs/>
          <w:sz w:val="24"/>
          <w:highlight w:val="none"/>
          <w:lang w:eastAsia="zh-CN" w:bidi="ar"/>
        </w:rPr>
        <w:t>三</w:t>
      </w:r>
      <w:r>
        <w:rPr>
          <w:rFonts w:hint="eastAsia" w:ascii="宋体" w:hAnsi="宋体" w:cs="宋体"/>
          <w:b/>
          <w:bCs/>
          <w:sz w:val="24"/>
          <w:highlight w:val="none"/>
          <w:lang w:bidi="ar"/>
        </w:rPr>
        <w:t>）</w:t>
      </w:r>
      <w:r>
        <w:rPr>
          <w:rFonts w:hint="eastAsia" w:ascii="宋体" w:hAnsi="宋体" w:cs="宋体"/>
          <w:b/>
          <w:bCs/>
          <w:sz w:val="24"/>
          <w:highlight w:val="none"/>
          <w:lang w:eastAsia="zh-CN" w:bidi="ar"/>
        </w:rPr>
        <w:t>其他</w:t>
      </w:r>
      <w:r>
        <w:rPr>
          <w:rFonts w:hint="eastAsia" w:ascii="宋体" w:hAnsi="宋体" w:cs="宋体"/>
          <w:b/>
          <w:bCs/>
          <w:sz w:val="24"/>
          <w:highlight w:val="none"/>
          <w:lang w:bidi="ar"/>
        </w:rPr>
        <w:t>要求</w:t>
      </w:r>
    </w:p>
    <w:p w14:paraId="73D48E2D">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1</w:t>
      </w:r>
      <w:r>
        <w:rPr>
          <w:rFonts w:hint="eastAsia" w:ascii="宋体" w:hAnsi="宋体" w:cs="宋体"/>
          <w:sz w:val="24"/>
          <w:highlight w:val="none"/>
          <w:lang w:bidi="ar"/>
        </w:rPr>
        <w:t>.供应商承担本项目必要的基础数据资料收集，完成整个项目的服务工作，并保证资料数据准确，满足服务要求，且费用由供应商承担。</w:t>
      </w:r>
    </w:p>
    <w:p w14:paraId="7441D011">
      <w:pPr>
        <w:widowControl/>
        <w:spacing w:line="360" w:lineRule="auto"/>
        <w:ind w:firstLine="480" w:firstLineChars="200"/>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2.工程测量：</w:t>
      </w:r>
    </w:p>
    <w:p w14:paraId="2E6FB192">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eastAsia="zh-CN" w:bidi="ar"/>
        </w:rPr>
        <w:t>（</w:t>
      </w:r>
      <w:r>
        <w:rPr>
          <w:rFonts w:hint="eastAsia" w:ascii="宋体" w:hAnsi="宋体" w:cs="宋体"/>
          <w:sz w:val="24"/>
          <w:highlight w:val="none"/>
          <w:lang w:val="en-US" w:eastAsia="zh-CN" w:bidi="ar"/>
        </w:rPr>
        <w:t>1</w:t>
      </w:r>
      <w:r>
        <w:rPr>
          <w:rFonts w:hint="eastAsia" w:ascii="宋体" w:hAnsi="宋体" w:cs="宋体"/>
          <w:sz w:val="24"/>
          <w:highlight w:val="none"/>
          <w:lang w:eastAsia="zh-CN" w:bidi="ar"/>
        </w:rPr>
        <w:t>）</w:t>
      </w:r>
      <w:r>
        <w:rPr>
          <w:rFonts w:hint="eastAsia" w:ascii="宋体" w:hAnsi="宋体" w:cs="宋体"/>
          <w:sz w:val="24"/>
          <w:highlight w:val="none"/>
          <w:lang w:bidi="ar"/>
        </w:rPr>
        <w:t>测量莲花大桥至桂江河口段8.3</w:t>
      </w:r>
      <w:r>
        <w:rPr>
          <w:rFonts w:hint="eastAsia" w:ascii="宋体" w:hAnsi="宋体" w:cs="宋体"/>
          <w:sz w:val="24"/>
          <w:highlight w:val="none"/>
          <w:lang w:eastAsia="zh-CN" w:bidi="ar"/>
        </w:rPr>
        <w:t>公里</w:t>
      </w:r>
      <w:r>
        <w:rPr>
          <w:rFonts w:hint="eastAsia" w:ascii="宋体" w:hAnsi="宋体" w:cs="宋体"/>
          <w:sz w:val="24"/>
          <w:highlight w:val="none"/>
          <w:lang w:bidi="ar"/>
        </w:rPr>
        <w:t>水下地形，测图比例1:2000</w:t>
      </w:r>
      <w:r>
        <w:rPr>
          <w:rFonts w:hint="eastAsia" w:ascii="宋体" w:hAnsi="宋体" w:cs="宋体"/>
          <w:sz w:val="24"/>
          <w:highlight w:val="none"/>
          <w:lang w:eastAsia="zh-CN" w:bidi="ar"/>
        </w:rPr>
        <w:t>，面积约</w:t>
      </w:r>
      <w:r>
        <w:rPr>
          <w:rFonts w:hint="eastAsia" w:ascii="宋体" w:hAnsi="宋体" w:cs="宋体"/>
          <w:sz w:val="24"/>
          <w:highlight w:val="none"/>
          <w:lang w:val="en-US" w:eastAsia="zh-CN" w:bidi="ar"/>
        </w:rPr>
        <w:t>1.8平方公里</w:t>
      </w:r>
      <w:r>
        <w:rPr>
          <w:rFonts w:hint="eastAsia" w:ascii="宋体" w:hAnsi="宋体" w:cs="宋体"/>
          <w:sz w:val="24"/>
          <w:highlight w:val="none"/>
          <w:lang w:bidi="ar"/>
        </w:rPr>
        <w:t>；</w:t>
      </w:r>
    </w:p>
    <w:p w14:paraId="365769F2">
      <w:pPr>
        <w:widowControl/>
        <w:spacing w:line="360" w:lineRule="auto"/>
        <w:ind w:firstLine="480" w:firstLineChars="200"/>
        <w:rPr>
          <w:rFonts w:hint="eastAsia" w:ascii="宋体" w:hAnsi="宋体" w:cs="宋体"/>
          <w:sz w:val="24"/>
          <w:highlight w:val="none"/>
          <w:lang w:val="en-US" w:eastAsia="zh-CN" w:bidi="ar"/>
        </w:rPr>
      </w:pPr>
      <w:r>
        <w:rPr>
          <w:rFonts w:hint="eastAsia" w:ascii="宋体" w:hAnsi="宋体" w:cs="宋体"/>
          <w:sz w:val="24"/>
          <w:highlight w:val="none"/>
          <w:lang w:eastAsia="zh-CN" w:bidi="ar"/>
        </w:rPr>
        <w:t>（</w:t>
      </w:r>
      <w:r>
        <w:rPr>
          <w:rFonts w:hint="eastAsia" w:ascii="宋体" w:hAnsi="宋体" w:cs="宋体"/>
          <w:sz w:val="24"/>
          <w:highlight w:val="none"/>
          <w:lang w:val="en-US" w:eastAsia="zh-CN" w:bidi="ar"/>
        </w:rPr>
        <w:t>2</w:t>
      </w:r>
      <w:r>
        <w:rPr>
          <w:rFonts w:hint="eastAsia" w:ascii="宋体" w:hAnsi="宋体" w:cs="宋体"/>
          <w:sz w:val="24"/>
          <w:highlight w:val="none"/>
          <w:lang w:eastAsia="zh-CN" w:bidi="ar"/>
        </w:rPr>
        <w:t>）</w:t>
      </w:r>
      <w:r>
        <w:rPr>
          <w:rFonts w:hint="eastAsia" w:ascii="宋体" w:hAnsi="宋体" w:cs="宋体"/>
          <w:sz w:val="24"/>
          <w:highlight w:val="none"/>
          <w:lang w:bidi="ar"/>
        </w:rPr>
        <w:t>测量莲花大桥至桂江河口段河道两岸陆域地形，宽度测至水沫线外100</w:t>
      </w:r>
      <w:r>
        <w:rPr>
          <w:rFonts w:hint="eastAsia" w:ascii="宋体" w:hAnsi="宋体" w:cs="宋体"/>
          <w:sz w:val="24"/>
          <w:highlight w:val="none"/>
          <w:lang w:eastAsia="zh-CN" w:bidi="ar"/>
        </w:rPr>
        <w:t>米</w:t>
      </w:r>
      <w:r>
        <w:rPr>
          <w:rFonts w:hint="eastAsia" w:ascii="宋体" w:hAnsi="宋体" w:cs="宋体"/>
          <w:sz w:val="24"/>
          <w:highlight w:val="none"/>
          <w:lang w:bidi="ar"/>
        </w:rPr>
        <w:t>，测图比例1:2000</w:t>
      </w:r>
      <w:r>
        <w:rPr>
          <w:rFonts w:hint="eastAsia" w:ascii="宋体" w:hAnsi="宋体" w:cs="宋体"/>
          <w:sz w:val="24"/>
          <w:highlight w:val="none"/>
          <w:lang w:eastAsia="zh-CN" w:bidi="ar"/>
        </w:rPr>
        <w:t>，面积约</w:t>
      </w:r>
      <w:r>
        <w:rPr>
          <w:rFonts w:hint="eastAsia" w:ascii="宋体" w:hAnsi="宋体" w:cs="宋体"/>
          <w:sz w:val="24"/>
          <w:highlight w:val="none"/>
          <w:lang w:val="en-US" w:eastAsia="zh-CN" w:bidi="ar"/>
        </w:rPr>
        <w:t>1.6平方公里</w:t>
      </w:r>
      <w:r>
        <w:rPr>
          <w:rFonts w:hint="eastAsia" w:ascii="宋体" w:hAnsi="宋体" w:cs="宋体"/>
          <w:sz w:val="24"/>
          <w:highlight w:val="none"/>
          <w:lang w:bidi="ar"/>
        </w:rPr>
        <w:t>。</w:t>
      </w:r>
    </w:p>
    <w:p w14:paraId="0135248F">
      <w:pPr>
        <w:widowControl/>
        <w:spacing w:line="360" w:lineRule="auto"/>
        <w:ind w:firstLine="480" w:firstLineChars="200"/>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3.本项目的控制测量、临时水尺设置、临时水尺水位观测等，由供应商根据本项目的采购内容、有关标准规范，自行考虑，有关费用已包含于投标报价中，采购人不再另行支付。</w:t>
      </w:r>
    </w:p>
    <w:p w14:paraId="012D9CB6">
      <w:pPr>
        <w:widowControl/>
        <w:spacing w:line="360" w:lineRule="auto"/>
        <w:ind w:firstLine="480" w:firstLineChars="200"/>
        <w:rPr>
          <w:rFonts w:hint="eastAsia" w:ascii="宋体" w:hAnsi="宋体" w:cs="宋体"/>
          <w:sz w:val="24"/>
          <w:highlight w:val="none"/>
          <w:lang w:eastAsia="zh-CN" w:bidi="ar"/>
        </w:rPr>
      </w:pPr>
      <w:r>
        <w:rPr>
          <w:rFonts w:hint="eastAsia" w:ascii="宋体" w:hAnsi="宋体" w:cs="宋体"/>
          <w:sz w:val="24"/>
          <w:highlight w:val="none"/>
          <w:lang w:val="en-US" w:eastAsia="zh-CN" w:bidi="ar"/>
        </w:rPr>
        <w:t>4.其他按现行相关国家标准、行业标准、地方标准等标准、规范执行。</w:t>
      </w:r>
    </w:p>
    <w:p w14:paraId="4E96F2D1">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四、商务要求</w:t>
      </w:r>
    </w:p>
    <w:p w14:paraId="0FEE0F06">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（一）报价要求</w:t>
      </w:r>
    </w:p>
    <w:p w14:paraId="3AC31D84">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1.</w:t>
      </w:r>
      <w:r>
        <w:rPr>
          <w:rFonts w:hint="eastAsia" w:ascii="宋体" w:hAnsi="宋体" w:cs="宋体"/>
          <w:sz w:val="24"/>
          <w:highlight w:val="none"/>
          <w:lang w:eastAsia="zh-CN" w:bidi="ar"/>
        </w:rPr>
        <w:t>投标</w:t>
      </w:r>
      <w:r>
        <w:rPr>
          <w:rFonts w:hint="eastAsia" w:ascii="宋体" w:hAnsi="宋体" w:cs="宋体"/>
          <w:sz w:val="24"/>
          <w:highlight w:val="none"/>
          <w:lang w:bidi="ar"/>
        </w:rPr>
        <w:t>报价为完成采购人指定服务全部内容的报价，必须包含：履行合同的最终价格，包括了供应商完成本项目所需的一切工作内容而发生的所有直接费用、间接费用、其他费用、税金等全部费用和供应商要求获得的利润以及应由供应商承担的义务、责任和风险所发生的一切费用。</w:t>
      </w:r>
    </w:p>
    <w:p w14:paraId="6A501D9A">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2.本次采购采用总价包干，</w:t>
      </w:r>
      <w:r>
        <w:rPr>
          <w:rFonts w:hint="eastAsia" w:ascii="宋体" w:hAnsi="宋体" w:cs="宋体"/>
          <w:sz w:val="24"/>
          <w:highlight w:val="none"/>
          <w:lang w:eastAsia="zh-CN" w:bidi="ar"/>
        </w:rPr>
        <w:t>投标</w:t>
      </w:r>
      <w:r>
        <w:rPr>
          <w:rFonts w:hint="eastAsia" w:ascii="宋体" w:hAnsi="宋体" w:cs="宋体"/>
          <w:sz w:val="24"/>
          <w:highlight w:val="none"/>
          <w:lang w:bidi="ar"/>
        </w:rPr>
        <w:t>报价包含但不限于从前期踏勘、资料收集、水上水下施工许可证办理费用、报告编制费、现场管理费、会议、专家咨询费、调研差旅费、管理费、文印费、设备耗材费、税费及合同包含的所有风险、责任及措施等费用，包含为完成</w:t>
      </w:r>
      <w:bookmarkStart w:id="22" w:name="OLE_LINK13"/>
      <w:r>
        <w:rPr>
          <w:rFonts w:hint="eastAsia" w:ascii="宋体" w:hAnsi="宋体" w:cs="宋体"/>
          <w:sz w:val="24"/>
          <w:highlight w:val="none"/>
          <w:u w:val="single"/>
          <w:lang w:eastAsia="zh-CN" w:bidi="ar"/>
        </w:rPr>
        <w:t>桂江（莲花大桥至桂江河口）航道扩建工程</w:t>
      </w:r>
      <w:r>
        <w:rPr>
          <w:rFonts w:hint="eastAsia" w:ascii="宋体" w:hAnsi="宋体" w:cs="宋体"/>
          <w:sz w:val="24"/>
          <w:highlight w:val="none"/>
          <w:u w:val="single"/>
          <w:lang w:bidi="ar"/>
        </w:rPr>
        <w:t>工程可行性研究</w:t>
      </w:r>
      <w:r>
        <w:rPr>
          <w:rFonts w:hint="eastAsia" w:ascii="宋体" w:hAnsi="宋体" w:cs="宋体"/>
          <w:sz w:val="24"/>
          <w:highlight w:val="none"/>
          <w:u w:val="single"/>
          <w:lang w:eastAsia="zh-CN" w:bidi="ar"/>
        </w:rPr>
        <w:t>服务项目</w:t>
      </w:r>
      <w:r>
        <w:rPr>
          <w:rFonts w:hint="eastAsia" w:ascii="宋体" w:hAnsi="宋体" w:cs="宋体"/>
          <w:sz w:val="24"/>
          <w:highlight w:val="none"/>
          <w:lang w:bidi="ar"/>
        </w:rPr>
        <w:t>的全部工作</w:t>
      </w:r>
      <w:bookmarkEnd w:id="22"/>
      <w:r>
        <w:rPr>
          <w:rFonts w:hint="eastAsia" w:ascii="宋体" w:hAnsi="宋体" w:cs="宋体"/>
          <w:sz w:val="24"/>
          <w:highlight w:val="none"/>
          <w:lang w:bidi="ar"/>
        </w:rPr>
        <w:t>以及可能发生的各种费用。本项目合同总价在合同执行过程中固定不变，不因各种情况变化而调整。</w:t>
      </w:r>
    </w:p>
    <w:p w14:paraId="1E8C962F">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（二）</w:t>
      </w:r>
      <w:r>
        <w:rPr>
          <w:rFonts w:hint="eastAsia" w:ascii="宋体" w:hAnsi="宋体" w:cs="宋体"/>
          <w:b/>
          <w:bCs/>
          <w:sz w:val="24"/>
          <w:highlight w:val="none"/>
          <w:lang w:eastAsia="zh-CN" w:bidi="ar"/>
        </w:rPr>
        <w:t>工期</w:t>
      </w:r>
      <w:r>
        <w:rPr>
          <w:rFonts w:hint="eastAsia" w:ascii="宋体" w:hAnsi="宋体" w:cs="宋体"/>
          <w:b/>
          <w:bCs/>
          <w:sz w:val="24"/>
          <w:highlight w:val="none"/>
          <w:lang w:bidi="ar"/>
        </w:rPr>
        <w:t>要求</w:t>
      </w:r>
    </w:p>
    <w:p w14:paraId="3DAEFCDD">
      <w:pPr>
        <w:widowControl/>
        <w:spacing w:line="360" w:lineRule="auto"/>
        <w:ind w:firstLine="480" w:firstLineChars="200"/>
        <w:rPr>
          <w:rFonts w:hint="eastAsia" w:ascii="宋体" w:hAnsi="宋体" w:cs="宋体"/>
          <w:sz w:val="24"/>
          <w:highlight w:val="none"/>
          <w:lang w:bidi="ar"/>
        </w:rPr>
      </w:pPr>
      <w:r>
        <w:rPr>
          <w:rFonts w:hint="eastAsia" w:ascii="宋体" w:hAnsi="宋体" w:cs="宋体"/>
          <w:bCs/>
          <w:sz w:val="24"/>
          <w:highlight w:val="none"/>
        </w:rPr>
        <w:t>总工期：</w:t>
      </w:r>
      <w:r>
        <w:rPr>
          <w:rFonts w:hint="eastAsia" w:ascii="宋体" w:hAnsi="宋体" w:cs="宋体"/>
          <w:b/>
          <w:bCs/>
          <w:snapToGrid w:val="0"/>
          <w:kern w:val="0"/>
          <w:sz w:val="24"/>
          <w:highlight w:val="none"/>
        </w:rPr>
        <w:t>合同签订后60日历天</w:t>
      </w:r>
      <w:r>
        <w:rPr>
          <w:rFonts w:hint="eastAsia" w:ascii="宋体" w:hAnsi="宋体" w:cs="宋体"/>
          <w:sz w:val="24"/>
          <w:highlight w:val="none"/>
          <w:lang w:bidi="ar"/>
        </w:rPr>
        <w:t>。具体</w:t>
      </w:r>
      <w:r>
        <w:rPr>
          <w:rFonts w:hint="eastAsia" w:ascii="宋体" w:hAnsi="宋体" w:cs="宋体"/>
          <w:sz w:val="24"/>
          <w:highlight w:val="none"/>
          <w:lang w:eastAsia="zh-CN" w:bidi="ar"/>
        </w:rPr>
        <w:t>为</w:t>
      </w:r>
      <w:r>
        <w:rPr>
          <w:rFonts w:hint="eastAsia" w:ascii="宋体" w:hAnsi="宋体" w:cs="宋体"/>
          <w:sz w:val="24"/>
          <w:highlight w:val="none"/>
          <w:lang w:bidi="ar"/>
        </w:rPr>
        <w:t>：签订合同后45日历天内提交工程可行性研究报告送审稿，并在工程可行性研究报告评审会后1</w:t>
      </w:r>
      <w:r>
        <w:rPr>
          <w:rFonts w:hint="eastAsia" w:ascii="宋体" w:hAnsi="宋体" w:cs="宋体"/>
          <w:sz w:val="24"/>
          <w:highlight w:val="none"/>
          <w:lang w:val="en-US" w:eastAsia="zh-CN" w:bidi="ar"/>
        </w:rPr>
        <w:t>5</w:t>
      </w:r>
      <w:r>
        <w:rPr>
          <w:rFonts w:hint="eastAsia" w:ascii="宋体" w:hAnsi="宋体" w:cs="宋体"/>
          <w:sz w:val="24"/>
          <w:highlight w:val="none"/>
          <w:lang w:bidi="ar"/>
        </w:rPr>
        <w:t>日历天内完成报批稿。并配合采购人最终取得批复。</w:t>
      </w:r>
    </w:p>
    <w:p w14:paraId="126A3882">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主管部门审查、审批时间另行计算。</w:t>
      </w:r>
    </w:p>
    <w:p w14:paraId="20B2F5E3">
      <w:pPr>
        <w:widowControl/>
        <w:spacing w:line="360" w:lineRule="auto"/>
        <w:ind w:firstLine="482" w:firstLineChars="200"/>
        <w:rPr>
          <w:rFonts w:hint="eastAsia" w:ascii="宋体" w:hAnsi="宋体" w:eastAsia="宋体" w:cs="宋体"/>
          <w:b/>
          <w:bCs/>
          <w:sz w:val="24"/>
          <w:highlight w:val="none"/>
          <w:lang w:eastAsia="zh-CN" w:bidi="ar"/>
        </w:rPr>
      </w:pPr>
      <w:r>
        <w:rPr>
          <w:rFonts w:hint="eastAsia" w:ascii="宋体" w:hAnsi="宋体" w:cs="宋体"/>
          <w:b/>
          <w:bCs/>
          <w:sz w:val="24"/>
          <w:highlight w:val="none"/>
          <w:lang w:bidi="ar"/>
        </w:rPr>
        <w:t>（</w:t>
      </w:r>
      <w:r>
        <w:rPr>
          <w:rFonts w:hint="eastAsia" w:ascii="宋体" w:hAnsi="宋体" w:cs="宋体"/>
          <w:b/>
          <w:bCs/>
          <w:sz w:val="24"/>
          <w:highlight w:val="none"/>
          <w:lang w:eastAsia="zh-CN" w:bidi="ar"/>
        </w:rPr>
        <w:t>三</w:t>
      </w:r>
      <w:r>
        <w:rPr>
          <w:rFonts w:hint="eastAsia" w:ascii="宋体" w:hAnsi="宋体" w:cs="宋体"/>
          <w:b/>
          <w:bCs/>
          <w:sz w:val="24"/>
          <w:highlight w:val="none"/>
          <w:lang w:bidi="ar"/>
        </w:rPr>
        <w:t>）</w:t>
      </w:r>
      <w:r>
        <w:rPr>
          <w:rFonts w:hint="eastAsia" w:ascii="宋体" w:hAnsi="宋体" w:cs="宋体"/>
          <w:b/>
          <w:bCs/>
          <w:sz w:val="24"/>
          <w:highlight w:val="none"/>
          <w:lang w:eastAsia="zh-CN" w:bidi="ar"/>
        </w:rPr>
        <w:t>成果交付要求</w:t>
      </w:r>
    </w:p>
    <w:p w14:paraId="35A97F7A">
      <w:pPr>
        <w:spacing w:line="360" w:lineRule="auto"/>
        <w:ind w:firstLine="422" w:firstLineChars="200"/>
        <w:jc w:val="both"/>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（1）测量成果要求：</w:t>
      </w:r>
    </w:p>
    <w:p w14:paraId="2542C1BA">
      <w:pPr>
        <w:spacing w:line="360" w:lineRule="auto"/>
        <w:ind w:firstLine="422" w:firstLineChars="200"/>
        <w:jc w:val="both"/>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①提交所有最终测量成果纸质文件一式</w:t>
      </w:r>
      <w:r>
        <w:rPr>
          <w:rFonts w:hint="eastAsia" w:ascii="宋体" w:hAnsi="宋体" w:eastAsia="宋体" w:cs="宋体"/>
          <w:b/>
          <w:bCs/>
          <w:color w:val="auto"/>
          <w:szCs w:val="21"/>
          <w:highlight w:val="none"/>
          <w:lang w:val="en-US" w:eastAsia="zh-CN"/>
        </w:rPr>
        <w:t>5</w:t>
      </w:r>
      <w:r>
        <w:rPr>
          <w:rFonts w:hint="eastAsia" w:ascii="宋体" w:hAnsi="宋体" w:eastAsia="宋体" w:cs="宋体"/>
          <w:b/>
          <w:bCs/>
          <w:color w:val="auto"/>
          <w:szCs w:val="21"/>
          <w:highlight w:val="none"/>
        </w:rPr>
        <w:t xml:space="preserve">份。 </w:t>
      </w:r>
    </w:p>
    <w:p w14:paraId="058D5CDF">
      <w:pPr>
        <w:spacing w:line="360" w:lineRule="auto"/>
        <w:ind w:firstLine="422" w:firstLineChars="200"/>
        <w:jc w:val="both"/>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②</w:t>
      </w:r>
      <w:r>
        <w:rPr>
          <w:rFonts w:hint="eastAsia" w:ascii="宋体" w:hAnsi="宋体" w:eastAsia="宋体" w:cs="宋体"/>
          <w:b/>
          <w:bCs/>
          <w:color w:val="auto"/>
          <w:sz w:val="21"/>
          <w:szCs w:val="21"/>
          <w:highlight w:val="none"/>
          <w:lang w:eastAsia="zh-CN"/>
        </w:rPr>
        <w:t>最终成果电子文件</w:t>
      </w:r>
      <w:r>
        <w:rPr>
          <w:rFonts w:hint="eastAsia" w:ascii="宋体" w:hAnsi="宋体" w:eastAsia="宋体" w:cs="宋体"/>
          <w:b/>
          <w:bCs/>
          <w:color w:val="auto"/>
          <w:szCs w:val="21"/>
          <w:highlight w:val="none"/>
        </w:rPr>
        <w:t>一式2份</w:t>
      </w:r>
      <w:r>
        <w:rPr>
          <w:rFonts w:hint="eastAsia" w:ascii="宋体" w:hAnsi="宋体" w:eastAsia="宋体" w:cs="宋体"/>
          <w:b/>
          <w:bCs/>
          <w:color w:val="auto"/>
          <w:sz w:val="21"/>
          <w:szCs w:val="21"/>
          <w:highlight w:val="none"/>
          <w:lang w:eastAsia="zh-CN"/>
        </w:rPr>
        <w:t>，包括可编辑文档（</w:t>
      </w:r>
      <w:r>
        <w:rPr>
          <w:rFonts w:hint="eastAsia" w:ascii="宋体" w:hAnsi="宋体" w:eastAsia="宋体" w:cs="宋体"/>
          <w:b/>
          <w:bCs/>
          <w:color w:val="auto"/>
          <w:szCs w:val="21"/>
          <w:highlight w:val="none"/>
        </w:rPr>
        <w:t>文字为 WORD 格式、图纸为可编辑的 CAD 格式</w:t>
      </w:r>
      <w:r>
        <w:rPr>
          <w:rFonts w:hint="eastAsia" w:ascii="宋体" w:hAnsi="宋体" w:eastAsia="宋体" w:cs="宋体"/>
          <w:b/>
          <w:bCs/>
          <w:color w:val="auto"/>
          <w:sz w:val="21"/>
          <w:szCs w:val="21"/>
          <w:highlight w:val="none"/>
          <w:lang w:eastAsia="zh-CN"/>
        </w:rPr>
        <w:t>）和按要求签章的</w:t>
      </w:r>
      <w:r>
        <w:rPr>
          <w:rFonts w:hint="eastAsia" w:ascii="宋体" w:hAnsi="宋体" w:eastAsia="宋体" w:cs="宋体"/>
          <w:b/>
          <w:bCs/>
          <w:color w:val="auto"/>
          <w:sz w:val="21"/>
          <w:szCs w:val="21"/>
          <w:highlight w:val="none"/>
          <w:lang w:val="en-US" w:eastAsia="zh-CN"/>
        </w:rPr>
        <w:t>PDF成果文件，分别使用光盘和U盘贮存</w:t>
      </w:r>
      <w:r>
        <w:rPr>
          <w:rFonts w:hint="eastAsia" w:ascii="宋体" w:hAnsi="宋体" w:eastAsia="宋体" w:cs="宋体"/>
          <w:b/>
          <w:bCs/>
          <w:color w:val="auto"/>
          <w:szCs w:val="21"/>
          <w:highlight w:val="none"/>
        </w:rPr>
        <w:t>。</w:t>
      </w:r>
    </w:p>
    <w:p w14:paraId="2FCFC3AE">
      <w:pPr>
        <w:spacing w:line="360" w:lineRule="auto"/>
        <w:ind w:firstLine="422" w:firstLineChars="200"/>
        <w:jc w:val="both"/>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（2）工程可行性研究成果要求：</w:t>
      </w:r>
    </w:p>
    <w:p w14:paraId="6C83AEE3">
      <w:pPr>
        <w:spacing w:line="360" w:lineRule="auto"/>
        <w:ind w:firstLine="422" w:firstLineChars="200"/>
        <w:jc w:val="both"/>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①提交一式30份项目研究报告初稿及30份附件和图纸用于组织初审。</w:t>
      </w:r>
    </w:p>
    <w:p w14:paraId="66890FEC">
      <w:pPr>
        <w:spacing w:line="360" w:lineRule="auto"/>
        <w:ind w:firstLine="422" w:firstLineChars="200"/>
        <w:jc w:val="both"/>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②提交一式30份符合要求的项目研究报告及30份附件和图纸，供行业主管部门审查。</w:t>
      </w:r>
    </w:p>
    <w:p w14:paraId="3857ADEF">
      <w:pPr>
        <w:spacing w:line="360" w:lineRule="auto"/>
        <w:ind w:firstLine="422" w:firstLineChars="200"/>
        <w:jc w:val="both"/>
        <w:rPr>
          <w:rFonts w:hint="eastAsia" w:ascii="宋体" w:hAnsi="宋体" w:eastAsia="宋体" w:cs="宋体"/>
          <w:b/>
          <w:bCs/>
          <w:color w:val="auto"/>
          <w:sz w:val="21"/>
          <w:szCs w:val="21"/>
          <w:highlight w:val="none"/>
        </w:rPr>
      </w:pPr>
      <w:r>
        <w:rPr>
          <w:rFonts w:hint="eastAsia" w:ascii="宋体" w:hAnsi="宋体" w:eastAsia="宋体" w:cs="宋体"/>
          <w:b/>
          <w:bCs/>
          <w:color w:val="auto"/>
          <w:szCs w:val="21"/>
          <w:highlight w:val="none"/>
        </w:rPr>
        <w:t>③提交一式10份修改完善后的研究报告及10份附件和图纸，上报</w:t>
      </w:r>
      <w:r>
        <w:rPr>
          <w:rFonts w:hint="eastAsia" w:ascii="宋体" w:hAnsi="宋体" w:eastAsia="宋体" w:cs="宋体"/>
          <w:b/>
          <w:bCs/>
          <w:color w:val="auto"/>
          <w:szCs w:val="21"/>
          <w:highlight w:val="none"/>
          <w:lang w:eastAsia="zh-CN"/>
        </w:rPr>
        <w:t>主管</w:t>
      </w:r>
      <w:r>
        <w:rPr>
          <w:rFonts w:hint="eastAsia" w:ascii="宋体" w:hAnsi="宋体" w:eastAsia="宋体" w:cs="宋体"/>
          <w:b/>
          <w:bCs/>
          <w:color w:val="auto"/>
          <w:szCs w:val="21"/>
          <w:highlight w:val="none"/>
        </w:rPr>
        <w:t>部门审批。</w:t>
      </w:r>
    </w:p>
    <w:p w14:paraId="60141354">
      <w:pPr>
        <w:widowControl/>
        <w:spacing w:line="360" w:lineRule="auto"/>
        <w:ind w:firstLine="422" w:firstLineChars="200"/>
        <w:rPr>
          <w:rFonts w:hint="eastAsia" w:ascii="宋体" w:hAnsi="宋体" w:cs="宋体"/>
          <w:sz w:val="24"/>
          <w:highlight w:val="none"/>
          <w:lang w:bidi="ar"/>
        </w:rPr>
      </w:pPr>
      <w:r>
        <w:rPr>
          <w:rFonts w:hint="eastAsia" w:ascii="仿宋" w:hAnsi="仿宋" w:eastAsia="仿宋" w:cs="仿宋"/>
          <w:b/>
          <w:bCs/>
          <w:color w:val="auto"/>
          <w:sz w:val="21"/>
          <w:szCs w:val="21"/>
          <w:highlight w:val="none"/>
          <w:lang w:eastAsia="zh-CN"/>
        </w:rPr>
        <w:t>④</w:t>
      </w:r>
      <w:r>
        <w:rPr>
          <w:rFonts w:hint="eastAsia" w:ascii="宋体" w:hAnsi="宋体" w:eastAsia="宋体" w:cs="宋体"/>
          <w:b/>
          <w:bCs/>
          <w:color w:val="auto"/>
          <w:sz w:val="21"/>
          <w:szCs w:val="21"/>
          <w:highlight w:val="none"/>
          <w:lang w:val="en-US" w:eastAsia="zh-CN"/>
        </w:rPr>
        <w:t>最终成果</w:t>
      </w:r>
      <w:r>
        <w:rPr>
          <w:rFonts w:hint="eastAsia" w:ascii="宋体" w:hAnsi="宋体" w:eastAsia="宋体" w:cs="宋体"/>
          <w:b/>
          <w:bCs/>
          <w:color w:val="auto"/>
          <w:sz w:val="21"/>
          <w:szCs w:val="21"/>
          <w:highlight w:val="none"/>
          <w:lang w:eastAsia="zh-CN"/>
        </w:rPr>
        <w:t>报告纸质文件各1</w:t>
      </w:r>
      <w:r>
        <w:rPr>
          <w:rFonts w:hint="eastAsia" w:ascii="宋体" w:hAnsi="宋体" w:eastAsia="宋体" w:cs="宋体"/>
          <w:b/>
          <w:bCs/>
          <w:color w:val="auto"/>
          <w:sz w:val="21"/>
          <w:szCs w:val="21"/>
          <w:highlight w:val="none"/>
          <w:lang w:val="en-US" w:eastAsia="zh-CN"/>
        </w:rPr>
        <w:t>0</w:t>
      </w:r>
      <w:r>
        <w:rPr>
          <w:rFonts w:hint="eastAsia" w:ascii="宋体" w:hAnsi="宋体" w:eastAsia="宋体" w:cs="宋体"/>
          <w:b/>
          <w:bCs/>
          <w:color w:val="auto"/>
          <w:sz w:val="21"/>
          <w:szCs w:val="21"/>
          <w:highlight w:val="none"/>
        </w:rPr>
        <w:t>份</w:t>
      </w:r>
      <w:r>
        <w:rPr>
          <w:rFonts w:hint="eastAsia" w:ascii="宋体" w:hAnsi="宋体" w:eastAsia="宋体" w:cs="宋体"/>
          <w:b/>
          <w:bCs/>
          <w:color w:val="auto"/>
          <w:sz w:val="21"/>
          <w:szCs w:val="21"/>
          <w:highlight w:val="none"/>
          <w:lang w:eastAsia="zh-CN"/>
        </w:rPr>
        <w:t>；所有最终成果电子文件</w:t>
      </w:r>
      <w:r>
        <w:rPr>
          <w:rFonts w:hint="eastAsia" w:ascii="宋体" w:hAnsi="宋体" w:eastAsia="宋体" w:cs="宋体"/>
          <w:b/>
          <w:bCs/>
          <w:color w:val="auto"/>
          <w:szCs w:val="21"/>
          <w:highlight w:val="none"/>
        </w:rPr>
        <w:t>一式2份</w:t>
      </w:r>
      <w:r>
        <w:rPr>
          <w:rFonts w:hint="eastAsia" w:ascii="宋体" w:hAnsi="宋体" w:eastAsia="宋体" w:cs="宋体"/>
          <w:b/>
          <w:bCs/>
          <w:color w:val="auto"/>
          <w:sz w:val="21"/>
          <w:szCs w:val="21"/>
          <w:highlight w:val="none"/>
          <w:lang w:eastAsia="zh-CN"/>
        </w:rPr>
        <w:t>，包括可编辑文档（</w:t>
      </w:r>
      <w:r>
        <w:rPr>
          <w:rFonts w:hint="eastAsia" w:ascii="宋体" w:hAnsi="宋体" w:eastAsia="宋体" w:cs="宋体"/>
          <w:b/>
          <w:bCs/>
          <w:color w:val="auto"/>
          <w:szCs w:val="21"/>
          <w:highlight w:val="none"/>
        </w:rPr>
        <w:t>文字为 WORD 格式、图纸为可编辑的 CAD 格式</w:t>
      </w:r>
      <w:r>
        <w:rPr>
          <w:rFonts w:hint="eastAsia" w:ascii="宋体" w:hAnsi="宋体" w:eastAsia="宋体" w:cs="宋体"/>
          <w:b/>
          <w:bCs/>
          <w:color w:val="auto"/>
          <w:sz w:val="21"/>
          <w:szCs w:val="21"/>
          <w:highlight w:val="none"/>
          <w:lang w:eastAsia="zh-CN"/>
        </w:rPr>
        <w:t>）和按要求签章的</w:t>
      </w:r>
      <w:r>
        <w:rPr>
          <w:rFonts w:hint="eastAsia" w:ascii="宋体" w:hAnsi="宋体" w:eastAsia="宋体" w:cs="宋体"/>
          <w:b/>
          <w:bCs/>
          <w:color w:val="auto"/>
          <w:sz w:val="21"/>
          <w:szCs w:val="21"/>
          <w:highlight w:val="none"/>
          <w:lang w:val="en-US" w:eastAsia="zh-CN"/>
        </w:rPr>
        <w:t>PDF成果文件，分别使用光盘和U盘贮存</w:t>
      </w:r>
      <w:r>
        <w:rPr>
          <w:rFonts w:hint="eastAsia" w:ascii="宋体" w:hAnsi="宋体" w:eastAsia="宋体" w:cs="宋体"/>
          <w:b/>
          <w:bCs/>
          <w:color w:val="auto"/>
          <w:sz w:val="21"/>
          <w:szCs w:val="21"/>
          <w:highlight w:val="none"/>
          <w:lang w:eastAsia="zh-CN"/>
        </w:rPr>
        <w:t>。</w:t>
      </w:r>
    </w:p>
    <w:p w14:paraId="100685E2">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（四）验收方式</w:t>
      </w:r>
    </w:p>
    <w:p w14:paraId="78B1C9DA">
      <w:pPr>
        <w:widowControl/>
        <w:spacing w:line="360" w:lineRule="auto"/>
        <w:ind w:firstLine="480" w:firstLineChars="200"/>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1.</w:t>
      </w:r>
      <w:r>
        <w:rPr>
          <w:rFonts w:hint="eastAsia" w:ascii="宋体" w:hAnsi="宋体" w:cs="宋体"/>
          <w:sz w:val="24"/>
          <w:highlight w:val="none"/>
          <w:lang w:eastAsia="zh-CN" w:bidi="ar"/>
        </w:rPr>
        <w:t>供应商按要求</w:t>
      </w:r>
      <w:r>
        <w:rPr>
          <w:rFonts w:hint="eastAsia" w:ascii="宋体" w:hAnsi="宋体" w:cs="宋体"/>
          <w:sz w:val="24"/>
          <w:highlight w:val="none"/>
          <w:lang w:bidi="ar"/>
        </w:rPr>
        <w:t>完成本项目所有</w:t>
      </w:r>
      <w:r>
        <w:rPr>
          <w:rFonts w:hint="eastAsia" w:ascii="宋体" w:hAnsi="宋体" w:cs="宋体"/>
          <w:sz w:val="24"/>
          <w:highlight w:val="none"/>
          <w:lang w:eastAsia="zh-CN" w:bidi="ar"/>
        </w:rPr>
        <w:t>勘察</w:t>
      </w:r>
      <w:r>
        <w:rPr>
          <w:rFonts w:hint="eastAsia" w:ascii="宋体" w:hAnsi="宋体" w:cs="宋体"/>
          <w:sz w:val="24"/>
          <w:highlight w:val="none"/>
          <w:lang w:bidi="ar"/>
        </w:rPr>
        <w:t>工作任务</w:t>
      </w:r>
      <w:r>
        <w:rPr>
          <w:rFonts w:hint="eastAsia" w:ascii="宋体" w:hAnsi="宋体" w:cs="宋体"/>
          <w:sz w:val="24"/>
          <w:highlight w:val="none"/>
          <w:lang w:eastAsia="zh-CN" w:bidi="ar"/>
        </w:rPr>
        <w:t>并提供</w:t>
      </w:r>
      <w:r>
        <w:rPr>
          <w:rFonts w:hint="eastAsia" w:ascii="宋体" w:hAnsi="宋体" w:cs="宋体"/>
          <w:sz w:val="24"/>
          <w:highlight w:val="none"/>
          <w:lang w:bidi="ar"/>
        </w:rPr>
        <w:t>成果文件</w:t>
      </w:r>
      <w:r>
        <w:rPr>
          <w:rFonts w:hint="eastAsia" w:ascii="宋体" w:hAnsi="宋体" w:cs="宋体"/>
          <w:sz w:val="24"/>
          <w:highlight w:val="none"/>
          <w:lang w:eastAsia="zh-CN" w:bidi="ar"/>
        </w:rPr>
        <w:t>后，</w:t>
      </w:r>
      <w:r>
        <w:rPr>
          <w:rFonts w:hint="eastAsia" w:ascii="宋体" w:hAnsi="宋体" w:cs="宋体"/>
          <w:sz w:val="24"/>
          <w:highlight w:val="none"/>
          <w:lang w:bidi="ar"/>
        </w:rPr>
        <w:t>由采购方组织专家验收</w:t>
      </w:r>
      <w:r>
        <w:rPr>
          <w:rFonts w:hint="eastAsia" w:ascii="宋体" w:hAnsi="宋体" w:cs="宋体"/>
          <w:sz w:val="24"/>
          <w:highlight w:val="none"/>
          <w:lang w:eastAsia="zh-CN" w:bidi="ar"/>
        </w:rPr>
        <w:t>，</w:t>
      </w:r>
      <w:r>
        <w:rPr>
          <w:rFonts w:hint="eastAsia" w:ascii="宋体" w:hAnsi="宋体" w:cs="宋体"/>
          <w:sz w:val="24"/>
          <w:highlight w:val="none"/>
          <w:lang w:bidi="ar"/>
        </w:rPr>
        <w:t>验收过程所产生的</w:t>
      </w:r>
      <w:r>
        <w:rPr>
          <w:rFonts w:hint="eastAsia" w:ascii="宋体" w:hAnsi="宋体" w:cs="宋体"/>
          <w:sz w:val="24"/>
          <w:highlight w:val="none"/>
          <w:lang w:eastAsia="zh-CN" w:bidi="ar"/>
        </w:rPr>
        <w:t>专家咨询费等相关</w:t>
      </w:r>
      <w:r>
        <w:rPr>
          <w:rFonts w:hint="eastAsia" w:ascii="宋体" w:hAnsi="宋体" w:cs="宋体"/>
          <w:sz w:val="24"/>
          <w:highlight w:val="none"/>
          <w:lang w:bidi="ar"/>
        </w:rPr>
        <w:t>费用由</w:t>
      </w:r>
      <w:r>
        <w:rPr>
          <w:rFonts w:hint="eastAsia" w:ascii="宋体" w:hAnsi="宋体" w:cs="宋体"/>
          <w:sz w:val="24"/>
          <w:highlight w:val="none"/>
          <w:lang w:eastAsia="zh-CN" w:bidi="ar"/>
        </w:rPr>
        <w:t>供应商</w:t>
      </w:r>
      <w:r>
        <w:rPr>
          <w:rFonts w:hint="eastAsia" w:ascii="宋体" w:hAnsi="宋体" w:cs="宋体"/>
          <w:sz w:val="24"/>
          <w:highlight w:val="none"/>
          <w:lang w:bidi="ar"/>
        </w:rPr>
        <w:t>承担。</w:t>
      </w:r>
    </w:p>
    <w:p w14:paraId="654ADA7C">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2.</w:t>
      </w:r>
      <w:r>
        <w:rPr>
          <w:rFonts w:hint="eastAsia" w:ascii="宋体" w:hAnsi="宋体" w:cs="宋体"/>
          <w:sz w:val="24"/>
          <w:highlight w:val="none"/>
          <w:lang w:eastAsia="zh-CN" w:bidi="ar"/>
        </w:rPr>
        <w:t>供应商按要求</w:t>
      </w:r>
      <w:r>
        <w:rPr>
          <w:rFonts w:hint="eastAsia" w:ascii="宋体" w:hAnsi="宋体" w:cs="宋体"/>
          <w:sz w:val="24"/>
          <w:highlight w:val="none"/>
          <w:lang w:bidi="ar"/>
        </w:rPr>
        <w:t>完成本项目</w:t>
      </w:r>
      <w:r>
        <w:rPr>
          <w:rFonts w:hint="eastAsia" w:ascii="宋体" w:hAnsi="宋体" w:cs="宋体"/>
          <w:sz w:val="24"/>
          <w:highlight w:val="none"/>
          <w:lang w:eastAsia="zh-CN" w:bidi="ar"/>
        </w:rPr>
        <w:t>完成工程可行性研究报告及有关专题报告编制工作任务并提供</w:t>
      </w:r>
      <w:r>
        <w:rPr>
          <w:rFonts w:hint="eastAsia" w:ascii="宋体" w:hAnsi="宋体" w:cs="宋体"/>
          <w:sz w:val="24"/>
          <w:highlight w:val="none"/>
          <w:lang w:bidi="ar"/>
        </w:rPr>
        <w:t>成果文件</w:t>
      </w:r>
      <w:r>
        <w:rPr>
          <w:rFonts w:hint="eastAsia" w:ascii="宋体" w:hAnsi="宋体" w:cs="宋体"/>
          <w:sz w:val="24"/>
          <w:highlight w:val="none"/>
          <w:lang w:eastAsia="zh-CN" w:bidi="ar"/>
        </w:rPr>
        <w:t>后，供应商应协助</w:t>
      </w:r>
      <w:r>
        <w:rPr>
          <w:rFonts w:hint="eastAsia" w:ascii="宋体" w:hAnsi="宋体" w:cs="宋体"/>
          <w:sz w:val="24"/>
          <w:highlight w:val="none"/>
          <w:lang w:bidi="ar"/>
        </w:rPr>
        <w:t>采购方</w:t>
      </w:r>
      <w:r>
        <w:rPr>
          <w:rFonts w:hint="eastAsia" w:ascii="宋体" w:hAnsi="宋体" w:cs="宋体"/>
          <w:sz w:val="24"/>
          <w:highlight w:val="none"/>
          <w:lang w:eastAsia="zh-CN" w:bidi="ar"/>
        </w:rPr>
        <w:t>报送主管部门审查，评审</w:t>
      </w:r>
      <w:r>
        <w:rPr>
          <w:rFonts w:hint="eastAsia" w:ascii="宋体" w:hAnsi="宋体" w:cs="宋体"/>
          <w:sz w:val="24"/>
          <w:highlight w:val="none"/>
          <w:lang w:bidi="ar"/>
        </w:rPr>
        <w:t>过程所产生的</w:t>
      </w:r>
      <w:r>
        <w:rPr>
          <w:rFonts w:hint="eastAsia" w:ascii="宋体" w:hAnsi="宋体" w:cs="宋体"/>
          <w:sz w:val="24"/>
          <w:highlight w:val="none"/>
          <w:lang w:eastAsia="zh-CN" w:bidi="ar"/>
        </w:rPr>
        <w:t>专家咨询费等相关</w:t>
      </w:r>
      <w:r>
        <w:rPr>
          <w:rFonts w:hint="eastAsia" w:ascii="宋体" w:hAnsi="宋体" w:cs="宋体"/>
          <w:sz w:val="24"/>
          <w:highlight w:val="none"/>
          <w:lang w:bidi="ar"/>
        </w:rPr>
        <w:t>费用由</w:t>
      </w:r>
      <w:r>
        <w:rPr>
          <w:rFonts w:hint="eastAsia" w:ascii="宋体" w:hAnsi="宋体" w:cs="宋体"/>
          <w:sz w:val="24"/>
          <w:highlight w:val="none"/>
          <w:lang w:eastAsia="zh-CN" w:bidi="ar"/>
        </w:rPr>
        <w:t>供应商</w:t>
      </w:r>
      <w:r>
        <w:rPr>
          <w:rFonts w:hint="eastAsia" w:ascii="宋体" w:hAnsi="宋体" w:cs="宋体"/>
          <w:sz w:val="24"/>
          <w:highlight w:val="none"/>
          <w:lang w:bidi="ar"/>
        </w:rPr>
        <w:t>承担。</w:t>
      </w:r>
    </w:p>
    <w:p w14:paraId="03ACA769">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（五）付款方式</w:t>
      </w:r>
    </w:p>
    <w:p w14:paraId="119F0AE3">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1.本次合同价格采用总价包干，包含但不限于从前期踏勘、资料收集、水上水下施工许可证办理费用、报告编制费、现场管理费、会议、专家咨询费、调研差旅费、管理费、文印费、设备耗材费、税费及合同包含的所有风险、责任及措施等费用，包含为完成</w:t>
      </w:r>
      <w:r>
        <w:rPr>
          <w:rFonts w:hint="eastAsia" w:ascii="宋体" w:hAnsi="宋体" w:cs="宋体"/>
          <w:sz w:val="24"/>
          <w:highlight w:val="none"/>
          <w:u w:val="single"/>
          <w:lang w:eastAsia="zh-CN" w:bidi="ar"/>
        </w:rPr>
        <w:t>桂江（莲花大桥至桂江河口）航道扩建工程</w:t>
      </w:r>
      <w:r>
        <w:rPr>
          <w:rFonts w:hint="eastAsia" w:ascii="宋体" w:hAnsi="宋体" w:cs="宋体"/>
          <w:sz w:val="24"/>
          <w:highlight w:val="none"/>
          <w:u w:val="single"/>
          <w:lang w:bidi="ar"/>
        </w:rPr>
        <w:t>工程可行性研究</w:t>
      </w:r>
      <w:r>
        <w:rPr>
          <w:rFonts w:hint="eastAsia" w:ascii="宋体" w:hAnsi="宋体" w:cs="宋体"/>
          <w:sz w:val="24"/>
          <w:highlight w:val="none"/>
          <w:u w:val="single"/>
          <w:lang w:eastAsia="zh-CN" w:bidi="ar"/>
        </w:rPr>
        <w:t>服务项目</w:t>
      </w:r>
      <w:r>
        <w:rPr>
          <w:rFonts w:hint="eastAsia" w:ascii="宋体" w:hAnsi="宋体" w:cs="宋体"/>
          <w:sz w:val="24"/>
          <w:highlight w:val="none"/>
          <w:lang w:bidi="ar"/>
        </w:rPr>
        <w:t>的全部工作以及可能发生的各种费用,不作任何调整；按合同价进行结算。</w:t>
      </w:r>
    </w:p>
    <w:p w14:paraId="1D717298">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2.分期支付</w:t>
      </w:r>
    </w:p>
    <w:p w14:paraId="2445F9AD">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（1）第一期支付</w:t>
      </w:r>
    </w:p>
    <w:p w14:paraId="2B882E20">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承包人</w:t>
      </w:r>
      <w:r>
        <w:rPr>
          <w:rFonts w:hint="eastAsia" w:ascii="宋体" w:hAnsi="宋体" w:cs="宋体"/>
          <w:sz w:val="24"/>
          <w:highlight w:val="none"/>
          <w:lang w:eastAsia="zh-CN" w:bidi="ar"/>
        </w:rPr>
        <w:t>完成地形测量和工程可行性研究报告送审稿后</w:t>
      </w:r>
      <w:r>
        <w:rPr>
          <w:rFonts w:hint="eastAsia" w:ascii="宋体" w:hAnsi="宋体" w:cs="宋体"/>
          <w:sz w:val="24"/>
          <w:highlight w:val="none"/>
          <w:lang w:bidi="ar"/>
        </w:rPr>
        <w:t>，由承包人提交进度款支付申请，发包人收到进度款支付申请后的14天内，向承包人支付签约合同价的80%；承包人应当提供等额的增值税发票。</w:t>
      </w:r>
    </w:p>
    <w:p w14:paraId="225E5805">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（2）第二期支付</w:t>
      </w:r>
    </w:p>
    <w:p w14:paraId="18637BDB">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承包人提交工程可行性研究报告报批稿后，由承包人提交进度款支付申请，发包人收到进度款支付申请后的14天内，向承包人支付</w:t>
      </w:r>
      <w:r>
        <w:rPr>
          <w:rFonts w:hint="eastAsia" w:ascii="宋体" w:hAnsi="宋体" w:cs="宋体"/>
          <w:sz w:val="24"/>
          <w:highlight w:val="none"/>
          <w:lang w:eastAsia="zh-CN" w:bidi="ar"/>
        </w:rPr>
        <w:t>至</w:t>
      </w:r>
      <w:r>
        <w:rPr>
          <w:rFonts w:hint="eastAsia" w:ascii="宋体" w:hAnsi="宋体" w:cs="宋体"/>
          <w:sz w:val="24"/>
          <w:highlight w:val="none"/>
          <w:lang w:bidi="ar"/>
        </w:rPr>
        <w:t>签约合同价的</w:t>
      </w:r>
      <w:r>
        <w:rPr>
          <w:rFonts w:hint="eastAsia" w:ascii="宋体" w:hAnsi="宋体" w:cs="宋体"/>
          <w:sz w:val="24"/>
          <w:highlight w:val="none"/>
          <w:lang w:val="en-US" w:eastAsia="zh-CN" w:bidi="ar"/>
        </w:rPr>
        <w:t>100</w:t>
      </w:r>
      <w:r>
        <w:rPr>
          <w:rFonts w:hint="eastAsia" w:ascii="宋体" w:hAnsi="宋体" w:cs="宋体"/>
          <w:sz w:val="24"/>
          <w:highlight w:val="none"/>
          <w:lang w:bidi="ar"/>
        </w:rPr>
        <w:t>%；承包人应当提供等额的增值税发票。</w:t>
      </w:r>
    </w:p>
    <w:p w14:paraId="4B82A797">
      <w:pPr>
        <w:widowControl/>
        <w:spacing w:line="360" w:lineRule="auto"/>
        <w:ind w:firstLine="480" w:firstLineChars="200"/>
        <w:rPr>
          <w:rFonts w:hint="default" w:ascii="宋体" w:hAnsi="宋体" w:cs="宋体"/>
          <w:sz w:val="24"/>
          <w:highlight w:val="none"/>
          <w:lang w:val="en-US" w:eastAsia="zh-CN" w:bidi="ar"/>
        </w:rPr>
      </w:pPr>
    </w:p>
    <w:p w14:paraId="6C731FC2">
      <w:pPr>
        <w:rPr>
          <w:sz w:val="28"/>
          <w:szCs w:val="28"/>
          <w:highlight w:val="none"/>
        </w:rPr>
      </w:pPr>
      <w:bookmarkStart w:id="23" w:name="_Toc6863"/>
      <w:bookmarkStart w:id="24" w:name="_Toc23331"/>
      <w:bookmarkStart w:id="25" w:name="_Toc12517"/>
      <w:r>
        <w:rPr>
          <w:rFonts w:hint="eastAsia"/>
          <w:sz w:val="28"/>
          <w:szCs w:val="28"/>
          <w:highlight w:val="none"/>
        </w:rPr>
        <w:br w:type="page"/>
      </w:r>
    </w:p>
    <w:p w14:paraId="179654B5">
      <w:pPr>
        <w:pStyle w:val="2"/>
        <w:spacing w:before="0" w:after="0" w:line="360" w:lineRule="auto"/>
        <w:jc w:val="center"/>
        <w:rPr>
          <w:sz w:val="28"/>
          <w:szCs w:val="28"/>
          <w:highlight w:val="none"/>
        </w:rPr>
      </w:pPr>
      <w:bookmarkStart w:id="26" w:name="_Toc3595"/>
      <w:r>
        <w:rPr>
          <w:rFonts w:hint="eastAsia"/>
          <w:sz w:val="28"/>
          <w:szCs w:val="28"/>
          <w:highlight w:val="none"/>
        </w:rPr>
        <w:t>第四章  评审办法</w:t>
      </w:r>
      <w:bookmarkEnd w:id="23"/>
      <w:bookmarkEnd w:id="24"/>
      <w:bookmarkEnd w:id="26"/>
    </w:p>
    <w:p w14:paraId="7D3C67B6">
      <w:pPr>
        <w:spacing w:line="360" w:lineRule="auto"/>
        <w:jc w:val="center"/>
        <w:outlineLvl w:val="1"/>
        <w:rPr>
          <w:rFonts w:hint="eastAsia" w:ascii="宋体" w:hAnsi="宋体"/>
          <w:b/>
          <w:sz w:val="24"/>
          <w:highlight w:val="none"/>
        </w:rPr>
      </w:pPr>
      <w:bookmarkStart w:id="27" w:name="_Toc26385"/>
      <w:bookmarkStart w:id="28" w:name="_Toc17459"/>
      <w:bookmarkStart w:id="29" w:name="_Toc28533"/>
      <w:r>
        <w:rPr>
          <w:rFonts w:hint="eastAsia" w:ascii="宋体" w:hAnsi="宋体"/>
          <w:b/>
          <w:sz w:val="24"/>
          <w:highlight w:val="none"/>
        </w:rPr>
        <w:t>第一节  评审程序和评审方法</w:t>
      </w:r>
      <w:bookmarkEnd w:id="27"/>
      <w:bookmarkEnd w:id="28"/>
      <w:bookmarkEnd w:id="29"/>
    </w:p>
    <w:bookmarkEnd w:id="25"/>
    <w:p w14:paraId="1163A7A8">
      <w:pPr>
        <w:spacing w:line="360" w:lineRule="auto"/>
        <w:ind w:firstLine="420" w:firstLineChars="200"/>
        <w:rPr>
          <w:rFonts w:hint="eastAsia" w:ascii="宋体" w:hAnsi="宋体" w:eastAsia="宋体" w:cs="宋体"/>
          <w:szCs w:val="21"/>
          <w:highlight w:val="none"/>
          <w:lang w:eastAsia="zh-CN"/>
        </w:rPr>
      </w:pPr>
      <w:r>
        <w:rPr>
          <w:rFonts w:ascii="宋体" w:hAnsi="宋体" w:cs="宋体"/>
          <w:szCs w:val="21"/>
          <w:highlight w:val="none"/>
        </w:rPr>
        <w:t>根据《中华人民共和国政府采购法》《中华人民共和国民法典》《广西壮族自治区港航发展中心自行采购管理办法》等有关规定，采购人组建合议小组（评审小组）按本采购文件规定，对响应文件进行评审。</w:t>
      </w:r>
      <w:r>
        <w:rPr>
          <w:rFonts w:hint="eastAsia" w:ascii="宋体" w:hAnsi="宋体" w:cs="宋体"/>
          <w:szCs w:val="21"/>
          <w:highlight w:val="none"/>
          <w:lang w:eastAsia="zh-CN"/>
        </w:rPr>
        <w:t>本次采购采用综合评估法。</w:t>
      </w:r>
    </w:p>
    <w:p w14:paraId="3723994B">
      <w:pPr>
        <w:spacing w:line="360" w:lineRule="auto"/>
        <w:ind w:firstLine="482" w:firstLineChars="200"/>
        <w:rPr>
          <w:rFonts w:hint="eastAsia" w:ascii="黑体" w:hAnsi="黑体" w:eastAsia="黑体" w:cs="宋体"/>
          <w:b/>
          <w:bCs/>
          <w:sz w:val="24"/>
          <w:highlight w:val="none"/>
        </w:rPr>
      </w:pPr>
      <w:r>
        <w:rPr>
          <w:rFonts w:hint="eastAsia" w:ascii="黑体" w:hAnsi="黑体" w:eastAsia="黑体" w:cs="宋体"/>
          <w:b/>
          <w:bCs/>
          <w:sz w:val="24"/>
          <w:highlight w:val="none"/>
        </w:rPr>
        <w:t>一、资格审查</w:t>
      </w:r>
    </w:p>
    <w:p w14:paraId="6BBCB41A">
      <w:pPr>
        <w:snapToGrid w:val="0"/>
        <w:spacing w:line="360" w:lineRule="auto"/>
        <w:ind w:firstLine="420" w:firstLineChars="200"/>
        <w:rPr>
          <w:rFonts w:hint="eastAsia" w:ascii="宋体" w:hAnsi="宋体"/>
          <w:szCs w:val="21"/>
          <w:highlight w:val="none"/>
        </w:rPr>
      </w:pPr>
      <w:r>
        <w:rPr>
          <w:rFonts w:hint="eastAsia" w:ascii="宋体" w:hAnsi="宋体" w:cs="宋体"/>
          <w:szCs w:val="21"/>
          <w:highlight w:val="none"/>
        </w:rPr>
        <w:t>（一）</w:t>
      </w:r>
      <w:r>
        <w:rPr>
          <w:rFonts w:hint="eastAsia" w:ascii="宋体" w:hAnsi="宋体"/>
          <w:szCs w:val="21"/>
          <w:highlight w:val="none"/>
        </w:rPr>
        <w:t>评审小组依法对供应商的响应文件中资格证明文件进行审查。</w:t>
      </w:r>
    </w:p>
    <w:p w14:paraId="41562BD4">
      <w:pPr>
        <w:snapToGrid w:val="0"/>
        <w:spacing w:line="360" w:lineRule="auto"/>
        <w:ind w:firstLine="420" w:firstLineChars="200"/>
        <w:jc w:val="left"/>
        <w:rPr>
          <w:rFonts w:hint="eastAsia" w:ascii="宋体" w:hAnsi="宋体" w:cs="宋体"/>
          <w:szCs w:val="21"/>
          <w:highlight w:val="none"/>
        </w:rPr>
      </w:pPr>
      <w:r>
        <w:rPr>
          <w:rFonts w:hint="eastAsia" w:ascii="宋体" w:hAnsi="宋体" w:cs="宋体"/>
          <w:szCs w:val="21"/>
          <w:highlight w:val="none"/>
        </w:rPr>
        <w:t>1.查询渠道：</w:t>
      </w:r>
      <w:r>
        <w:rPr>
          <w:rFonts w:ascii="宋体" w:hAnsi="宋体" w:cs="宋体"/>
          <w:szCs w:val="21"/>
          <w:highlight w:val="none"/>
        </w:rPr>
        <w:t>“信用中国”网站、中国政府采购网</w:t>
      </w:r>
      <w:r>
        <w:rPr>
          <w:rFonts w:hint="eastAsia" w:ascii="宋体" w:hAnsi="宋体" w:cs="宋体"/>
          <w:szCs w:val="21"/>
          <w:highlight w:val="none"/>
        </w:rPr>
        <w:t>。</w:t>
      </w:r>
    </w:p>
    <w:p w14:paraId="21DC2A86">
      <w:pPr>
        <w:snapToGrid w:val="0"/>
        <w:spacing w:line="360" w:lineRule="auto"/>
        <w:ind w:firstLine="420" w:firstLineChars="200"/>
        <w:jc w:val="left"/>
        <w:rPr>
          <w:rFonts w:hint="eastAsia" w:ascii="宋体" w:hAnsi="宋体" w:cs="宋体"/>
          <w:szCs w:val="21"/>
          <w:highlight w:val="none"/>
        </w:rPr>
      </w:pPr>
      <w:r>
        <w:rPr>
          <w:rFonts w:hint="eastAsia" w:ascii="宋体" w:hAnsi="宋体" w:cs="宋体"/>
          <w:szCs w:val="21"/>
          <w:highlight w:val="none"/>
        </w:rPr>
        <w:t>2.信用查询截止时点：</w:t>
      </w:r>
      <w:r>
        <w:rPr>
          <w:rFonts w:ascii="宋体" w:hAnsi="宋体" w:cs="宋体"/>
          <w:szCs w:val="21"/>
          <w:highlight w:val="none"/>
        </w:rPr>
        <w:t>资格审查结束前</w:t>
      </w:r>
    </w:p>
    <w:p w14:paraId="16582D99">
      <w:pPr>
        <w:snapToGrid w:val="0"/>
        <w:spacing w:line="360" w:lineRule="auto"/>
        <w:ind w:firstLine="420" w:firstLineChars="200"/>
        <w:jc w:val="left"/>
        <w:rPr>
          <w:rFonts w:hint="eastAsia" w:ascii="宋体" w:hAnsi="宋体" w:cs="宋体"/>
          <w:szCs w:val="21"/>
          <w:highlight w:val="none"/>
        </w:rPr>
      </w:pPr>
      <w:r>
        <w:rPr>
          <w:rFonts w:hint="eastAsia" w:ascii="宋体" w:hAnsi="宋体" w:cs="宋体"/>
          <w:szCs w:val="21"/>
          <w:highlight w:val="none"/>
        </w:rPr>
        <w:t>3.查询记录和证据留存方式：将查询网站中的查询记录截图并作为评审资料保存。</w:t>
      </w:r>
    </w:p>
    <w:p w14:paraId="4FDA1508">
      <w:pPr>
        <w:snapToGrid w:val="0"/>
        <w:spacing w:line="360" w:lineRule="auto"/>
        <w:ind w:firstLine="420" w:firstLineChars="200"/>
        <w:jc w:val="left"/>
        <w:rPr>
          <w:rFonts w:hint="eastAsia" w:ascii="宋体" w:hAnsi="宋体" w:cs="宋体"/>
          <w:szCs w:val="21"/>
          <w:highlight w:val="none"/>
        </w:rPr>
      </w:pPr>
      <w:r>
        <w:rPr>
          <w:rFonts w:hint="eastAsia" w:ascii="宋体" w:hAnsi="宋体" w:cs="宋体"/>
          <w:szCs w:val="21"/>
          <w:highlight w:val="none"/>
        </w:rPr>
        <w:t>4.信用信息使用规则：</w:t>
      </w:r>
    </w:p>
    <w:p w14:paraId="7C65B48F">
      <w:pPr>
        <w:snapToGrid w:val="0"/>
        <w:spacing w:line="360" w:lineRule="auto"/>
        <w:ind w:firstLine="420" w:firstLineChars="200"/>
        <w:jc w:val="left"/>
        <w:rPr>
          <w:rFonts w:hint="eastAsia"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1</w:t>
      </w:r>
      <w:r>
        <w:rPr>
          <w:rFonts w:hint="eastAsia" w:ascii="宋体" w:hAnsi="宋体" w:cs="宋体"/>
          <w:szCs w:val="21"/>
          <w:highlight w:val="none"/>
        </w:rPr>
        <w:t>）对在“信用中国”网站、中国政府采购网被列入失信被执行人、重大税收违法案件当事人名单、政府采购严重违法失信行为记录名单及其他不符合《中华人民共和国政府采购法》第二十二条规定条件的供应商，不得参与</w:t>
      </w:r>
      <w:r>
        <w:rPr>
          <w:rFonts w:hint="eastAsia" w:ascii="宋体" w:hAnsi="宋体" w:cs="宋体"/>
          <w:szCs w:val="21"/>
          <w:highlight w:val="none"/>
          <w:lang w:eastAsia="zh-CN"/>
        </w:rPr>
        <w:t>本次</w:t>
      </w:r>
      <w:r>
        <w:rPr>
          <w:rFonts w:hint="eastAsia" w:ascii="宋体" w:hAnsi="宋体" w:cs="宋体"/>
          <w:szCs w:val="21"/>
          <w:highlight w:val="none"/>
        </w:rPr>
        <w:t>采购活动。</w:t>
      </w:r>
    </w:p>
    <w:p w14:paraId="64CCDE4A">
      <w:pPr>
        <w:snapToGrid w:val="0"/>
        <w:spacing w:line="360" w:lineRule="auto"/>
        <w:ind w:firstLine="420" w:firstLineChars="200"/>
        <w:jc w:val="left"/>
        <w:rPr>
          <w:rFonts w:hint="eastAsia"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2</w:t>
      </w:r>
      <w:r>
        <w:rPr>
          <w:rFonts w:hint="eastAsia" w:ascii="宋体" w:hAnsi="宋体" w:cs="宋体"/>
          <w:szCs w:val="21"/>
          <w:highlight w:val="none"/>
        </w:rPr>
        <w:t>)资格审查标准为本采购文件中载明对供应商资格要求的条件。资格审查采用合格制，凡符合采购文件规定的供应商资格要求的响应文件均通过资格审查。</w:t>
      </w:r>
    </w:p>
    <w:p w14:paraId="22789EF7">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3</w:t>
      </w:r>
      <w:r>
        <w:rPr>
          <w:rFonts w:hint="eastAsia" w:ascii="宋体" w:hAnsi="宋体" w:cs="宋体"/>
          <w:szCs w:val="21"/>
          <w:highlight w:val="none"/>
        </w:rPr>
        <w:t>)供应商资格审查不通过的，其响应文件按无效响应处理。</w:t>
      </w:r>
    </w:p>
    <w:p w14:paraId="08773AA8">
      <w:pPr>
        <w:tabs>
          <w:tab w:val="left" w:pos="3150"/>
        </w:tabs>
        <w:spacing w:line="360" w:lineRule="auto"/>
        <w:ind w:firstLine="420" w:firstLineChars="200"/>
        <w:rPr>
          <w:highlight w:val="none"/>
        </w:rPr>
      </w:pPr>
      <w:r>
        <w:rPr>
          <w:rFonts w:hint="eastAsia" w:ascii="宋体" w:hAnsi="宋体" w:cs="宋体"/>
          <w:szCs w:val="21"/>
          <w:highlight w:val="none"/>
        </w:rPr>
        <w:t>(</w:t>
      </w:r>
      <w:r>
        <w:rPr>
          <w:rFonts w:hint="eastAsia" w:ascii="宋体" w:hAnsi="宋体" w:cs="宋体"/>
          <w:szCs w:val="21"/>
          <w:highlight w:val="none"/>
          <w:lang w:val="en-US" w:eastAsia="zh-CN"/>
        </w:rPr>
        <w:t>4</w:t>
      </w:r>
      <w:r>
        <w:rPr>
          <w:rFonts w:hint="eastAsia" w:ascii="宋体" w:hAnsi="宋体" w:cs="宋体"/>
          <w:szCs w:val="21"/>
          <w:highlight w:val="none"/>
        </w:rPr>
        <w:t>)</w:t>
      </w:r>
      <w:r>
        <w:rPr>
          <w:rFonts w:hint="eastAsia"/>
          <w:highlight w:val="none"/>
        </w:rPr>
        <w:t>凡是不满足资格审查中的任意一条，均为不通过资格审查。</w:t>
      </w:r>
    </w:p>
    <w:p w14:paraId="6111F919">
      <w:pPr>
        <w:tabs>
          <w:tab w:val="left" w:pos="3150"/>
        </w:tabs>
        <w:spacing w:line="360" w:lineRule="auto"/>
        <w:ind w:firstLine="420" w:firstLineChars="200"/>
        <w:rPr>
          <w:highlight w:val="none"/>
        </w:rPr>
      </w:pPr>
      <w:r>
        <w:rPr>
          <w:rFonts w:hint="eastAsia" w:ascii="宋体" w:hAnsi="宋体" w:cs="宋体"/>
          <w:szCs w:val="21"/>
          <w:highlight w:val="none"/>
        </w:rPr>
        <w:t>(</w:t>
      </w:r>
      <w:r>
        <w:rPr>
          <w:rFonts w:hint="eastAsia" w:ascii="宋体" w:hAnsi="宋体" w:cs="宋体"/>
          <w:szCs w:val="21"/>
          <w:highlight w:val="none"/>
          <w:lang w:val="en-US" w:eastAsia="zh-CN"/>
        </w:rPr>
        <w:t>5</w:t>
      </w:r>
      <w:r>
        <w:rPr>
          <w:rFonts w:hint="eastAsia" w:ascii="宋体" w:hAnsi="宋体" w:cs="宋体"/>
          <w:szCs w:val="21"/>
          <w:highlight w:val="none"/>
        </w:rPr>
        <w:t>)</w:t>
      </w:r>
      <w:r>
        <w:rPr>
          <w:rFonts w:hint="eastAsia"/>
          <w:highlight w:val="none"/>
        </w:rPr>
        <w:t>如果通过资格审查的投标供应商不足三家：</w:t>
      </w:r>
    </w:p>
    <w:p w14:paraId="098E2B85">
      <w:pPr>
        <w:tabs>
          <w:tab w:val="left" w:pos="3150"/>
        </w:tabs>
        <w:spacing w:line="360" w:lineRule="auto"/>
        <w:ind w:firstLine="420" w:firstLineChars="200"/>
        <w:rPr>
          <w:highlight w:val="none"/>
        </w:rPr>
      </w:pPr>
      <w:r>
        <w:rPr>
          <w:rFonts w:hint="eastAsia" w:ascii="宋体" w:hAnsi="宋体" w:eastAsia="宋体" w:cs="宋体"/>
          <w:highlight w:val="none"/>
        </w:rPr>
        <w:t>①</w:t>
      </w:r>
      <w:r>
        <w:rPr>
          <w:rFonts w:hint="eastAsia"/>
          <w:highlight w:val="none"/>
        </w:rPr>
        <w:t>延长采购公告时间，延期3个工作日。</w:t>
      </w:r>
    </w:p>
    <w:p w14:paraId="2E285553">
      <w:pPr>
        <w:tabs>
          <w:tab w:val="left" w:pos="3150"/>
        </w:tabs>
        <w:spacing w:line="360" w:lineRule="auto"/>
        <w:ind w:firstLine="420" w:firstLineChars="200"/>
        <w:rPr>
          <w:highlight w:val="none"/>
        </w:rPr>
      </w:pPr>
      <w:r>
        <w:rPr>
          <w:rFonts w:hint="eastAsia" w:ascii="宋体" w:hAnsi="宋体" w:eastAsia="宋体" w:cs="宋体"/>
          <w:highlight w:val="none"/>
        </w:rPr>
        <w:t>②</w:t>
      </w:r>
      <w:r>
        <w:rPr>
          <w:rFonts w:hint="eastAsia"/>
          <w:highlight w:val="none"/>
        </w:rPr>
        <w:t>延期时间截止，响应供应商为2家或2家以上的，按照正常采购流程开展。</w:t>
      </w:r>
    </w:p>
    <w:p w14:paraId="5C5E19FB">
      <w:pPr>
        <w:snapToGrid w:val="0"/>
        <w:spacing w:line="360" w:lineRule="auto"/>
        <w:ind w:firstLine="420" w:firstLineChars="200"/>
        <w:jc w:val="left"/>
        <w:rPr>
          <w:rFonts w:hint="eastAsia" w:ascii="宋体" w:hAnsi="宋体" w:cs="宋体"/>
          <w:szCs w:val="21"/>
          <w:highlight w:val="none"/>
        </w:rPr>
      </w:pPr>
      <w:r>
        <w:rPr>
          <w:rFonts w:hint="eastAsia" w:ascii="仿宋" w:hAnsi="仿宋" w:eastAsia="仿宋" w:cs="仿宋"/>
          <w:highlight w:val="none"/>
        </w:rPr>
        <w:t>③</w:t>
      </w:r>
      <w:r>
        <w:rPr>
          <w:rFonts w:hint="eastAsia"/>
          <w:highlight w:val="none"/>
        </w:rPr>
        <w:t>延期时间截止，响应供应商为1家的，由</w:t>
      </w:r>
      <w:r>
        <w:rPr>
          <w:rFonts w:hint="eastAsia" w:ascii="宋体" w:hAnsi="宋体" w:cs="宋体"/>
          <w:szCs w:val="21"/>
          <w:highlight w:val="none"/>
        </w:rPr>
        <w:t>采购人</w:t>
      </w:r>
      <w:r>
        <w:rPr>
          <w:rFonts w:hint="eastAsia"/>
          <w:highlight w:val="none"/>
        </w:rPr>
        <w:t>审核供应商投标文件，</w:t>
      </w:r>
      <w:r>
        <w:rPr>
          <w:rFonts w:hint="eastAsia" w:ascii="宋体" w:hAnsi="宋体" w:cs="宋体"/>
          <w:szCs w:val="21"/>
          <w:highlight w:val="none"/>
        </w:rPr>
        <w:t>确定满足采购方案的条件后，组成谈判小组与供应商谈判。根据采购人内部程序，确定中标人，签订采购合同、支付合同款等。</w:t>
      </w:r>
    </w:p>
    <w:p w14:paraId="2117A14E">
      <w:pPr>
        <w:spacing w:line="360" w:lineRule="auto"/>
        <w:ind w:firstLine="482" w:firstLineChars="200"/>
        <w:rPr>
          <w:rFonts w:hint="eastAsia" w:ascii="黑体" w:hAnsi="黑体" w:eastAsia="黑体" w:cs="宋体"/>
          <w:b/>
          <w:bCs/>
          <w:sz w:val="24"/>
          <w:highlight w:val="none"/>
        </w:rPr>
      </w:pPr>
      <w:r>
        <w:rPr>
          <w:rFonts w:hint="eastAsia" w:ascii="黑体" w:hAnsi="黑体" w:eastAsia="黑体" w:cs="宋体"/>
          <w:b/>
          <w:bCs/>
          <w:sz w:val="24"/>
          <w:highlight w:val="none"/>
        </w:rPr>
        <w:t>二、符合性审查</w:t>
      </w:r>
    </w:p>
    <w:p w14:paraId="2293EF20">
      <w:pPr>
        <w:spacing w:line="360" w:lineRule="auto"/>
        <w:ind w:firstLine="420" w:firstLineChars="200"/>
        <w:rPr>
          <w:rFonts w:hint="eastAsia" w:ascii="宋体" w:hAnsi="宋体" w:cs="宋体"/>
          <w:szCs w:val="21"/>
          <w:highlight w:val="none"/>
        </w:rPr>
      </w:pPr>
      <w:bookmarkStart w:id="30" w:name="_Hlk42528882"/>
      <w:r>
        <w:rPr>
          <w:rFonts w:hint="eastAsia" w:ascii="宋体" w:hAnsi="宋体" w:cs="宋体"/>
          <w:szCs w:val="21"/>
          <w:highlight w:val="none"/>
        </w:rPr>
        <w:t>（一）由评审小组对</w:t>
      </w:r>
      <w:r>
        <w:rPr>
          <w:rFonts w:hint="eastAsia" w:ascii="宋体" w:hAnsi="宋体"/>
          <w:szCs w:val="21"/>
          <w:highlight w:val="none"/>
        </w:rPr>
        <w:t>资格审查的合格供应商</w:t>
      </w:r>
      <w:r>
        <w:rPr>
          <w:rFonts w:hint="eastAsia" w:ascii="宋体" w:hAnsi="宋体" w:cs="宋体"/>
          <w:szCs w:val="21"/>
          <w:highlight w:val="none"/>
        </w:rPr>
        <w:t>的响应文件进行符合性审查，以确定其是否满足采购文件的实质性要求。</w:t>
      </w:r>
    </w:p>
    <w:bookmarkEnd w:id="30"/>
    <w:p w14:paraId="20496489">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二）评审小组在对响应文件进行符合性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3AA2A14E">
      <w:pPr>
        <w:spacing w:line="360" w:lineRule="auto"/>
        <w:ind w:firstLine="420" w:firstLineChars="200"/>
        <w:rPr>
          <w:rFonts w:hint="eastAsia" w:ascii="宋体" w:hAnsi="宋体" w:cs="宋体"/>
          <w:spacing w:val="-6"/>
          <w:szCs w:val="21"/>
          <w:highlight w:val="none"/>
        </w:rPr>
      </w:pPr>
      <w:r>
        <w:rPr>
          <w:rFonts w:hint="eastAsia" w:ascii="宋体" w:hAnsi="宋体" w:cs="宋体"/>
          <w:szCs w:val="21"/>
          <w:highlight w:val="none"/>
        </w:rPr>
        <w:t>（三）评审小组要求供应商澄清、说明或者更正响应文件应当以正式函形式作出。供应商的澄清、说明或者更正应当以正式形式按照评审小组的要求作出明确的澄清、说明或者更正，未按评审小组的要求作出明确澄清、说明或者更正的供应商的响应文件将按照有利于采购人的原则由评审小组进行判定。供应商的澄清、说明或者更正必须由法定代表人或者其授权代表签字或加盖供应商公章</w:t>
      </w:r>
      <w:r>
        <w:rPr>
          <w:rFonts w:hint="eastAsia" w:ascii="宋体" w:hAnsi="宋体" w:cs="宋体"/>
          <w:spacing w:val="-6"/>
          <w:szCs w:val="21"/>
          <w:highlight w:val="none"/>
        </w:rPr>
        <w:t>。</w:t>
      </w:r>
    </w:p>
    <w:p w14:paraId="0C12F665">
      <w:pPr>
        <w:spacing w:line="360" w:lineRule="auto"/>
        <w:ind w:firstLine="396" w:firstLineChars="200"/>
        <w:rPr>
          <w:rFonts w:hint="eastAsia" w:ascii="宋体" w:hAnsi="宋体" w:cs="宋体"/>
          <w:szCs w:val="21"/>
          <w:highlight w:val="none"/>
        </w:rPr>
      </w:pPr>
      <w:r>
        <w:rPr>
          <w:rFonts w:hint="eastAsia" w:ascii="宋体" w:hAnsi="宋体" w:cs="宋体"/>
          <w:spacing w:val="-6"/>
          <w:szCs w:val="21"/>
          <w:highlight w:val="none"/>
        </w:rPr>
        <w:t>（四）</w:t>
      </w:r>
      <w:r>
        <w:rPr>
          <w:rFonts w:hint="eastAsia" w:ascii="宋体" w:hAnsi="宋体" w:cs="宋体"/>
          <w:szCs w:val="21"/>
          <w:highlight w:val="none"/>
        </w:rPr>
        <w:t xml:space="preserve">响应文件报价出现前后不一致的，按照下列规定修正： </w:t>
      </w:r>
    </w:p>
    <w:p w14:paraId="4E8337FD">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1.响应文件中报价表内容与响应文件中相应内容不一致的，以报价表为准；</w:t>
      </w:r>
    </w:p>
    <w:p w14:paraId="1B07C0B3">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2.大写金额和小写金额不一致的，以大写金额为准；</w:t>
      </w:r>
    </w:p>
    <w:p w14:paraId="13785A10">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3.单价金额小数点或者百分比有明显错位的，以报价表的总价为准，并修改单价；</w:t>
      </w:r>
    </w:p>
    <w:p w14:paraId="0B23D2C9">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4.总价金额与按单价汇总金额不一致的，以单价金额计算结果为准。</w:t>
      </w:r>
    </w:p>
    <w:p w14:paraId="785A1A9E">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同时出现两种以上不一致的，按照以上1-4规定的顺序逐条进行修正。修正后的报价经供应商确认后产生约束力，供应商不确认的，其响应文件按无效响应处理。</w:t>
      </w:r>
    </w:p>
    <w:p w14:paraId="33BC290B">
      <w:pPr>
        <w:spacing w:line="360" w:lineRule="auto"/>
        <w:ind w:firstLine="422" w:firstLineChars="200"/>
        <w:rPr>
          <w:rFonts w:hint="eastAsia" w:ascii="宋体" w:hAnsi="宋体" w:cs="宋体"/>
          <w:b/>
          <w:bCs/>
          <w:szCs w:val="21"/>
          <w:highlight w:val="none"/>
        </w:rPr>
      </w:pPr>
      <w:r>
        <w:rPr>
          <w:rFonts w:hint="eastAsia" w:ascii="宋体" w:hAnsi="宋体" w:cs="宋体"/>
          <w:b/>
          <w:bCs/>
          <w:szCs w:val="21"/>
          <w:highlight w:val="none"/>
        </w:rPr>
        <w:t>（五）</w:t>
      </w:r>
      <w:r>
        <w:rPr>
          <w:rFonts w:hint="eastAsia" w:ascii="宋体" w:hAnsi="宋体" w:cs="宋体"/>
          <w:b/>
          <w:bCs/>
          <w:szCs w:val="21"/>
          <w:highlight w:val="none"/>
          <w:lang w:eastAsia="zh-CN"/>
        </w:rPr>
        <w:t>商务技术及</w:t>
      </w:r>
      <w:r>
        <w:rPr>
          <w:rFonts w:hint="eastAsia" w:ascii="宋体" w:hAnsi="宋体" w:cs="宋体"/>
          <w:b/>
          <w:bCs/>
          <w:szCs w:val="21"/>
          <w:highlight w:val="none"/>
        </w:rPr>
        <w:t>报价评审</w:t>
      </w:r>
    </w:p>
    <w:p w14:paraId="547F5865">
      <w:pPr>
        <w:spacing w:line="360" w:lineRule="auto"/>
        <w:ind w:firstLine="422" w:firstLineChars="200"/>
        <w:rPr>
          <w:rFonts w:hint="eastAsia" w:ascii="宋体" w:hAnsi="宋体" w:cs="宋体"/>
          <w:b/>
          <w:bCs/>
          <w:szCs w:val="21"/>
          <w:highlight w:val="none"/>
        </w:rPr>
      </w:pPr>
      <w:r>
        <w:rPr>
          <w:rFonts w:hint="eastAsia" w:ascii="宋体" w:hAnsi="宋体" w:cs="宋体"/>
          <w:b/>
          <w:bCs/>
          <w:szCs w:val="21"/>
          <w:highlight w:val="none"/>
        </w:rPr>
        <w:t>在评审时，如发现下列情形之一的，将被视为响应文件无效响应处理：</w:t>
      </w:r>
    </w:p>
    <w:p w14:paraId="346F0CE2">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1.商务技术评审</w:t>
      </w:r>
    </w:p>
    <w:p w14:paraId="234E0D0D">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1</w:t>
      </w:r>
      <w:r>
        <w:rPr>
          <w:rFonts w:hint="eastAsia" w:ascii="宋体" w:hAnsi="宋体" w:cs="宋体"/>
          <w:szCs w:val="21"/>
          <w:highlight w:val="none"/>
          <w:lang w:eastAsia="zh-CN"/>
        </w:rPr>
        <w:t>）</w:t>
      </w:r>
      <w:r>
        <w:rPr>
          <w:rFonts w:hint="eastAsia" w:ascii="宋体" w:hAnsi="宋体" w:cs="宋体"/>
          <w:szCs w:val="21"/>
          <w:highlight w:val="none"/>
        </w:rPr>
        <w:t>响应文件未按采购文件要求签署、盖章；</w:t>
      </w:r>
    </w:p>
    <w:p w14:paraId="04576220">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2</w:t>
      </w:r>
      <w:r>
        <w:rPr>
          <w:rFonts w:hint="eastAsia" w:ascii="宋体" w:hAnsi="宋体" w:cs="宋体"/>
          <w:szCs w:val="21"/>
          <w:highlight w:val="none"/>
          <w:lang w:eastAsia="zh-CN"/>
        </w:rPr>
        <w:t>）</w:t>
      </w:r>
      <w:r>
        <w:rPr>
          <w:rFonts w:hint="eastAsia" w:ascii="宋体" w:hAnsi="宋体" w:cs="宋体"/>
          <w:szCs w:val="21"/>
          <w:highlight w:val="none"/>
        </w:rPr>
        <w:t xml:space="preserve">委托代理人未能出具有效身份证或者出具的身份证与授权委托书中的信息不符的； </w:t>
      </w:r>
    </w:p>
    <w:p w14:paraId="275C1428">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3</w:t>
      </w:r>
      <w:r>
        <w:rPr>
          <w:rFonts w:hint="eastAsia" w:ascii="宋体" w:hAnsi="宋体" w:cs="宋体"/>
          <w:szCs w:val="21"/>
          <w:highlight w:val="none"/>
          <w:lang w:eastAsia="zh-CN"/>
        </w:rPr>
        <w:t>）</w:t>
      </w:r>
      <w:r>
        <w:rPr>
          <w:rFonts w:hint="eastAsia" w:ascii="宋体" w:hAnsi="宋体" w:cs="宋体"/>
          <w:szCs w:val="21"/>
          <w:highlight w:val="none"/>
        </w:rPr>
        <w:t>响应文件的实质性内容未使用中文表述、使用计量单位不符合采购文件要求；</w:t>
      </w:r>
    </w:p>
    <w:p w14:paraId="127E14A8">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4</w:t>
      </w:r>
      <w:r>
        <w:rPr>
          <w:rFonts w:hint="eastAsia" w:ascii="宋体" w:hAnsi="宋体" w:cs="宋体"/>
          <w:szCs w:val="21"/>
          <w:highlight w:val="none"/>
          <w:lang w:eastAsia="zh-CN"/>
        </w:rPr>
        <w:t>）</w:t>
      </w:r>
      <w:r>
        <w:rPr>
          <w:rFonts w:hint="eastAsia" w:ascii="宋体" w:hAnsi="宋体" w:cs="宋体"/>
          <w:szCs w:val="21"/>
          <w:highlight w:val="none"/>
        </w:rPr>
        <w:t>响应文件中的文件资料因填写不齐全或者内容虚假或者出现其他情形而导致被评审小组认定无效；</w:t>
      </w:r>
    </w:p>
    <w:p w14:paraId="09EB2782">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5</w:t>
      </w:r>
      <w:r>
        <w:rPr>
          <w:rFonts w:hint="eastAsia" w:ascii="宋体" w:hAnsi="宋体" w:cs="宋体"/>
          <w:szCs w:val="21"/>
          <w:highlight w:val="none"/>
          <w:lang w:eastAsia="zh-CN"/>
        </w:rPr>
        <w:t>）</w:t>
      </w:r>
      <w:r>
        <w:rPr>
          <w:rFonts w:hint="eastAsia" w:ascii="宋体" w:hAnsi="宋体" w:cs="宋体"/>
          <w:szCs w:val="21"/>
          <w:highlight w:val="none"/>
        </w:rPr>
        <w:t>响应文件含有采购人不能接受的附加条件；</w:t>
      </w:r>
    </w:p>
    <w:p w14:paraId="1D575BBA">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6</w:t>
      </w:r>
      <w:r>
        <w:rPr>
          <w:rFonts w:hint="eastAsia" w:ascii="宋体" w:hAnsi="宋体" w:cs="宋体"/>
          <w:szCs w:val="21"/>
          <w:highlight w:val="none"/>
          <w:lang w:eastAsia="zh-CN"/>
        </w:rPr>
        <w:t>）</w:t>
      </w:r>
      <w:r>
        <w:rPr>
          <w:rFonts w:hint="eastAsia" w:ascii="宋体" w:hAnsi="宋体" w:cs="宋体"/>
          <w:szCs w:val="21"/>
          <w:highlight w:val="none"/>
        </w:rPr>
        <w:t>虚假</w:t>
      </w:r>
      <w:r>
        <w:rPr>
          <w:rFonts w:hint="eastAsia" w:ascii="宋体" w:hAnsi="宋体" w:cs="宋体"/>
          <w:szCs w:val="21"/>
          <w:highlight w:val="none"/>
          <w:lang w:eastAsia="zh-CN"/>
        </w:rPr>
        <w:t>投标</w:t>
      </w:r>
      <w:r>
        <w:rPr>
          <w:rFonts w:hint="eastAsia" w:ascii="宋体" w:hAnsi="宋体" w:cs="宋体"/>
          <w:szCs w:val="21"/>
          <w:highlight w:val="none"/>
        </w:rPr>
        <w:t>，或者出现其他情形而导致被评审小组认定无效；</w:t>
      </w:r>
    </w:p>
    <w:p w14:paraId="3B66BC92">
      <w:pPr>
        <w:spacing w:line="360" w:lineRule="auto"/>
        <w:ind w:firstLine="420" w:firstLineChars="200"/>
        <w:rPr>
          <w:rFonts w:hint="eastAsia" w:ascii="宋体" w:hAnsi="宋体" w:cs="宋体"/>
          <w:szCs w:val="21"/>
          <w:highlight w:val="none"/>
        </w:rPr>
      </w:pPr>
      <w:bookmarkStart w:id="31" w:name="_Hlk71704147"/>
      <w:r>
        <w:rPr>
          <w:rFonts w:hint="eastAsia" w:ascii="宋体" w:hAnsi="宋体" w:cs="宋体"/>
          <w:szCs w:val="21"/>
          <w:highlight w:val="none"/>
          <w:lang w:eastAsia="zh-CN"/>
        </w:rPr>
        <w:t>（</w:t>
      </w:r>
      <w:r>
        <w:rPr>
          <w:rFonts w:hint="eastAsia" w:ascii="宋体" w:hAnsi="宋体" w:cs="宋体"/>
          <w:szCs w:val="21"/>
          <w:highlight w:val="none"/>
          <w:lang w:val="en-US" w:eastAsia="zh-CN"/>
        </w:rPr>
        <w:t>7</w:t>
      </w:r>
      <w:r>
        <w:rPr>
          <w:rFonts w:hint="eastAsia" w:ascii="宋体" w:hAnsi="宋体" w:cs="宋体"/>
          <w:szCs w:val="21"/>
          <w:highlight w:val="none"/>
          <w:lang w:eastAsia="zh-CN"/>
        </w:rPr>
        <w:t>）</w:t>
      </w:r>
      <w:r>
        <w:rPr>
          <w:rFonts w:hint="eastAsia" w:ascii="宋体" w:hAnsi="宋体" w:cs="宋体"/>
          <w:szCs w:val="21"/>
          <w:highlight w:val="none"/>
        </w:rPr>
        <w:t>采购文件未载明允许提供备选（替代）</w:t>
      </w:r>
      <w:r>
        <w:rPr>
          <w:rFonts w:hint="eastAsia" w:ascii="宋体" w:hAnsi="宋体" w:cs="宋体"/>
          <w:szCs w:val="21"/>
          <w:highlight w:val="none"/>
          <w:lang w:eastAsia="zh-CN"/>
        </w:rPr>
        <w:t>投标</w:t>
      </w:r>
      <w:r>
        <w:rPr>
          <w:rFonts w:hint="eastAsia" w:ascii="宋体" w:hAnsi="宋体" w:cs="宋体"/>
          <w:szCs w:val="21"/>
          <w:highlight w:val="none"/>
        </w:rPr>
        <w:t>方案或明确不允许提供备选（替代）</w:t>
      </w:r>
      <w:r>
        <w:rPr>
          <w:rFonts w:hint="eastAsia" w:ascii="宋体" w:hAnsi="宋体" w:cs="宋体"/>
          <w:szCs w:val="21"/>
          <w:highlight w:val="none"/>
          <w:lang w:eastAsia="zh-CN"/>
        </w:rPr>
        <w:t>投标</w:t>
      </w:r>
      <w:r>
        <w:rPr>
          <w:rFonts w:hint="eastAsia" w:ascii="宋体" w:hAnsi="宋体" w:cs="宋体"/>
          <w:szCs w:val="21"/>
          <w:highlight w:val="none"/>
        </w:rPr>
        <w:t>方案时，供应商提供了备选（替代）</w:t>
      </w:r>
      <w:r>
        <w:rPr>
          <w:rFonts w:hint="eastAsia" w:ascii="宋体" w:hAnsi="宋体" w:cs="宋体"/>
          <w:szCs w:val="21"/>
          <w:highlight w:val="none"/>
          <w:lang w:eastAsia="zh-CN"/>
        </w:rPr>
        <w:t>投标</w:t>
      </w:r>
      <w:r>
        <w:rPr>
          <w:rFonts w:hint="eastAsia" w:ascii="宋体" w:hAnsi="宋体" w:cs="宋体"/>
          <w:szCs w:val="21"/>
          <w:highlight w:val="none"/>
        </w:rPr>
        <w:t>方案的；</w:t>
      </w:r>
      <w:bookmarkEnd w:id="31"/>
    </w:p>
    <w:p w14:paraId="6F5D0A3F">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8</w:t>
      </w:r>
      <w:r>
        <w:rPr>
          <w:rFonts w:hint="eastAsia" w:ascii="宋体" w:hAnsi="宋体" w:cs="宋体"/>
          <w:szCs w:val="21"/>
          <w:highlight w:val="none"/>
          <w:lang w:eastAsia="zh-CN"/>
        </w:rPr>
        <w:t>）</w:t>
      </w:r>
      <w:r>
        <w:rPr>
          <w:rFonts w:hint="eastAsia" w:ascii="宋体" w:hAnsi="宋体" w:cs="宋体"/>
          <w:szCs w:val="21"/>
          <w:highlight w:val="none"/>
        </w:rPr>
        <w:t>响应文件标注的项目名称或者项目编号与采购文件标注的项目名称或者项目编号不一致的；</w:t>
      </w:r>
    </w:p>
    <w:p w14:paraId="5F5F1197">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9</w:t>
      </w:r>
      <w:r>
        <w:rPr>
          <w:rFonts w:hint="eastAsia" w:ascii="宋体" w:hAnsi="宋体" w:cs="宋体"/>
          <w:szCs w:val="21"/>
          <w:highlight w:val="none"/>
          <w:lang w:eastAsia="zh-CN"/>
        </w:rPr>
        <w:t>）</w:t>
      </w:r>
      <w:r>
        <w:rPr>
          <w:rFonts w:hint="eastAsia" w:ascii="宋体" w:hAnsi="宋体"/>
          <w:szCs w:val="21"/>
          <w:highlight w:val="none"/>
        </w:rPr>
        <w:t>采购文件明确不允许分包，响应文件拟分包的；</w:t>
      </w:r>
    </w:p>
    <w:p w14:paraId="5D32ADB0">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10</w:t>
      </w:r>
      <w:r>
        <w:rPr>
          <w:rFonts w:hint="eastAsia" w:ascii="宋体" w:hAnsi="宋体" w:cs="宋体"/>
          <w:szCs w:val="21"/>
          <w:highlight w:val="none"/>
          <w:lang w:eastAsia="zh-CN"/>
        </w:rPr>
        <w:t>）</w:t>
      </w:r>
      <w:r>
        <w:rPr>
          <w:rFonts w:hint="eastAsia" w:ascii="宋体" w:hAnsi="宋体" w:cs="宋体"/>
          <w:szCs w:val="21"/>
          <w:highlight w:val="none"/>
        </w:rPr>
        <w:t>未响应采购文件</w:t>
      </w:r>
      <w:r>
        <w:rPr>
          <w:rFonts w:hint="eastAsia" w:ascii="宋体" w:hAnsi="宋体" w:cs="宋体"/>
          <w:szCs w:val="21"/>
          <w:highlight w:val="none"/>
          <w:lang w:eastAsia="zh-CN"/>
        </w:rPr>
        <w:t>的采购内容、工期要求、质量要求等</w:t>
      </w:r>
      <w:r>
        <w:rPr>
          <w:rFonts w:hint="eastAsia" w:ascii="宋体" w:hAnsi="宋体" w:cs="宋体"/>
          <w:szCs w:val="21"/>
          <w:highlight w:val="none"/>
        </w:rPr>
        <w:t>实质性要求；</w:t>
      </w:r>
    </w:p>
    <w:p w14:paraId="7C3E1EFD">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11</w:t>
      </w:r>
      <w:r>
        <w:rPr>
          <w:rFonts w:hint="eastAsia" w:ascii="宋体" w:hAnsi="宋体" w:cs="宋体"/>
          <w:szCs w:val="21"/>
          <w:highlight w:val="none"/>
          <w:lang w:eastAsia="zh-CN"/>
        </w:rPr>
        <w:t>）</w:t>
      </w:r>
      <w:r>
        <w:rPr>
          <w:rFonts w:hint="eastAsia" w:ascii="宋体" w:hAnsi="宋体" w:cs="宋体"/>
          <w:szCs w:val="21"/>
          <w:highlight w:val="none"/>
        </w:rPr>
        <w:t>法律、法规和采购文件规定的其他无效情形。</w:t>
      </w:r>
    </w:p>
    <w:p w14:paraId="7637B8E2">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2.报价评审</w:t>
      </w:r>
    </w:p>
    <w:p w14:paraId="52BCA25F">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1</w:t>
      </w:r>
      <w:r>
        <w:rPr>
          <w:rFonts w:hint="eastAsia" w:ascii="宋体" w:hAnsi="宋体" w:cs="宋体"/>
          <w:szCs w:val="21"/>
          <w:highlight w:val="none"/>
          <w:lang w:eastAsia="zh-CN"/>
        </w:rPr>
        <w:t>）</w:t>
      </w:r>
      <w:r>
        <w:rPr>
          <w:rFonts w:hint="eastAsia" w:ascii="宋体" w:hAnsi="宋体" w:cs="宋体"/>
          <w:szCs w:val="21"/>
          <w:highlight w:val="none"/>
        </w:rPr>
        <w:t>响应文件未提供采购文件中规定的“</w:t>
      </w:r>
      <w:r>
        <w:rPr>
          <w:rFonts w:hint="eastAsia" w:ascii="宋体" w:hAnsi="宋体" w:cs="宋体"/>
          <w:szCs w:val="21"/>
          <w:highlight w:val="none"/>
          <w:lang w:eastAsia="zh-CN"/>
        </w:rPr>
        <w:t>投标</w:t>
      </w:r>
      <w:r>
        <w:rPr>
          <w:rFonts w:hint="eastAsia" w:ascii="宋体" w:hAnsi="宋体" w:cs="宋体"/>
          <w:szCs w:val="21"/>
          <w:highlight w:val="none"/>
        </w:rPr>
        <w:t>报价表”；</w:t>
      </w:r>
    </w:p>
    <w:p w14:paraId="29AE027C">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2</w:t>
      </w:r>
      <w:r>
        <w:rPr>
          <w:rFonts w:hint="eastAsia" w:ascii="宋体" w:hAnsi="宋体" w:cs="宋体"/>
          <w:szCs w:val="21"/>
          <w:highlight w:val="none"/>
          <w:lang w:eastAsia="zh-CN"/>
        </w:rPr>
        <w:t>）</w:t>
      </w:r>
      <w:r>
        <w:rPr>
          <w:rFonts w:hint="eastAsia" w:ascii="宋体" w:hAnsi="宋体" w:cs="宋体"/>
          <w:szCs w:val="21"/>
          <w:highlight w:val="none"/>
        </w:rPr>
        <w:t>未采用人民币报价或者未按照采购文件标明的币种报价；</w:t>
      </w:r>
    </w:p>
    <w:p w14:paraId="13A21F13">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3</w:t>
      </w:r>
      <w:r>
        <w:rPr>
          <w:rFonts w:hint="eastAsia" w:ascii="宋体" w:hAnsi="宋体" w:cs="宋体"/>
          <w:szCs w:val="21"/>
          <w:highlight w:val="none"/>
          <w:lang w:eastAsia="zh-CN"/>
        </w:rPr>
        <w:t>）</w:t>
      </w:r>
      <w:r>
        <w:rPr>
          <w:rFonts w:hint="eastAsia" w:ascii="宋体" w:hAnsi="宋体" w:cs="宋体"/>
          <w:szCs w:val="21"/>
          <w:highlight w:val="none"/>
        </w:rPr>
        <w:t>供应商未就所</w:t>
      </w:r>
      <w:r>
        <w:rPr>
          <w:rFonts w:hint="eastAsia" w:ascii="宋体" w:hAnsi="宋体" w:cs="宋体"/>
          <w:szCs w:val="21"/>
          <w:highlight w:val="none"/>
          <w:lang w:eastAsia="zh-CN"/>
        </w:rPr>
        <w:t>投标</w:t>
      </w:r>
      <w:r>
        <w:rPr>
          <w:rFonts w:hint="eastAsia" w:ascii="宋体" w:hAnsi="宋体" w:cs="宋体"/>
          <w:szCs w:val="21"/>
          <w:highlight w:val="none"/>
        </w:rPr>
        <w:t>分标进行报价或者存在漏项报价；供应商未就所</w:t>
      </w:r>
      <w:r>
        <w:rPr>
          <w:rFonts w:hint="eastAsia" w:ascii="宋体" w:hAnsi="宋体" w:cs="宋体"/>
          <w:szCs w:val="21"/>
          <w:highlight w:val="none"/>
          <w:lang w:eastAsia="zh-CN"/>
        </w:rPr>
        <w:t>投标</w:t>
      </w:r>
      <w:r>
        <w:rPr>
          <w:rFonts w:hint="eastAsia" w:ascii="宋体" w:hAnsi="宋体" w:cs="宋体"/>
          <w:szCs w:val="21"/>
          <w:highlight w:val="none"/>
        </w:rPr>
        <w:t>分标的单项内容作唯一报价；供应商未就所</w:t>
      </w:r>
      <w:r>
        <w:rPr>
          <w:rFonts w:hint="eastAsia" w:ascii="宋体" w:hAnsi="宋体" w:cs="宋体"/>
          <w:szCs w:val="21"/>
          <w:highlight w:val="none"/>
          <w:lang w:eastAsia="zh-CN"/>
        </w:rPr>
        <w:t>投标</w:t>
      </w:r>
      <w:r>
        <w:rPr>
          <w:rFonts w:hint="eastAsia" w:ascii="宋体" w:hAnsi="宋体" w:cs="宋体"/>
          <w:szCs w:val="21"/>
          <w:highlight w:val="none"/>
        </w:rPr>
        <w:t>分标的全部内容作完整唯一总价报价；供应商响应文件中存在有选择、有条件报价的（采购文件允许有备选方案或者其他约定的除外）；</w:t>
      </w:r>
    </w:p>
    <w:p w14:paraId="4D8ECF14">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4</w:t>
      </w:r>
      <w:r>
        <w:rPr>
          <w:rFonts w:hint="eastAsia" w:ascii="宋体" w:hAnsi="宋体" w:cs="宋体"/>
          <w:szCs w:val="21"/>
          <w:highlight w:val="none"/>
          <w:lang w:eastAsia="zh-CN"/>
        </w:rPr>
        <w:t>）</w:t>
      </w:r>
      <w:r>
        <w:rPr>
          <w:rFonts w:hint="eastAsia" w:ascii="宋体" w:hAnsi="宋体" w:cs="宋体"/>
          <w:szCs w:val="21"/>
          <w:highlight w:val="none"/>
        </w:rPr>
        <w:t>报价超过最高限价的（如本项目公布了最高限价）；</w:t>
      </w:r>
      <w:bookmarkStart w:id="32" w:name="_Hlk42596405"/>
      <w:r>
        <w:rPr>
          <w:rFonts w:hint="eastAsia" w:ascii="宋体" w:hAnsi="宋体" w:cs="宋体"/>
          <w:szCs w:val="21"/>
          <w:highlight w:val="none"/>
        </w:rPr>
        <w:t xml:space="preserve"> </w:t>
      </w:r>
      <w:bookmarkEnd w:id="32"/>
    </w:p>
    <w:p w14:paraId="7AAB0E6D">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5</w:t>
      </w:r>
      <w:r>
        <w:rPr>
          <w:rFonts w:hint="eastAsia" w:ascii="宋体" w:hAnsi="宋体" w:cs="宋体"/>
          <w:szCs w:val="21"/>
          <w:highlight w:val="none"/>
          <w:lang w:eastAsia="zh-CN"/>
        </w:rPr>
        <w:t>）</w:t>
      </w:r>
      <w:r>
        <w:rPr>
          <w:rFonts w:hint="eastAsia" w:ascii="宋体" w:hAnsi="宋体" w:cs="宋体"/>
          <w:szCs w:val="21"/>
          <w:highlight w:val="none"/>
        </w:rPr>
        <w:t>修正后的报价，供应商不确认的；或者经供应商确认修正后的最后报价超过最高限价（如本项目公布了最高限价）；</w:t>
      </w:r>
    </w:p>
    <w:p w14:paraId="0F55557A">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6</w:t>
      </w:r>
      <w:r>
        <w:rPr>
          <w:rFonts w:hint="eastAsia" w:ascii="宋体" w:hAnsi="宋体" w:cs="宋体"/>
          <w:szCs w:val="21"/>
          <w:highlight w:val="none"/>
          <w:lang w:eastAsia="zh-CN"/>
        </w:rPr>
        <w:t>）</w:t>
      </w:r>
      <w:r>
        <w:rPr>
          <w:rFonts w:hint="eastAsia" w:ascii="宋体" w:hAnsi="宋体"/>
          <w:szCs w:val="21"/>
          <w:highlight w:val="none"/>
        </w:rPr>
        <w:t>响应文件响应的标的数量及单位与采购文件要求实质性不一致的。</w:t>
      </w:r>
    </w:p>
    <w:p w14:paraId="57BCCFC2">
      <w:pPr>
        <w:spacing w:line="360" w:lineRule="auto"/>
        <w:ind w:firstLine="482" w:firstLineChars="200"/>
        <w:rPr>
          <w:rFonts w:hint="eastAsia" w:ascii="黑体" w:hAnsi="黑体" w:eastAsia="黑体" w:cs="宋体"/>
          <w:b/>
          <w:bCs/>
          <w:sz w:val="24"/>
          <w:highlight w:val="none"/>
          <w:lang w:eastAsia="zh-CN"/>
        </w:rPr>
      </w:pPr>
      <w:r>
        <w:rPr>
          <w:rFonts w:hint="eastAsia" w:ascii="黑体" w:hAnsi="黑体" w:eastAsia="黑体" w:cs="宋体"/>
          <w:b/>
          <w:bCs/>
          <w:sz w:val="24"/>
          <w:highlight w:val="none"/>
        </w:rPr>
        <w:t>三、比较与评</w:t>
      </w:r>
      <w:r>
        <w:rPr>
          <w:rFonts w:hint="eastAsia" w:ascii="黑体" w:hAnsi="黑体" w:eastAsia="黑体" w:cs="宋体"/>
          <w:b/>
          <w:bCs/>
          <w:sz w:val="24"/>
          <w:highlight w:val="none"/>
          <w:lang w:eastAsia="zh-CN"/>
        </w:rPr>
        <w:t>分</w:t>
      </w:r>
    </w:p>
    <w:p w14:paraId="017B264A">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（一）评审方法：综合评分法。</w:t>
      </w:r>
    </w:p>
    <w:p w14:paraId="6C788C11">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（二）由评审小组采用综合评分法对有效响应文件进行综合评分。</w:t>
      </w:r>
    </w:p>
    <w:p w14:paraId="67A2684D">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（三）评审时，评审小组各成员应当对每个有效响应的文件进行评价、打分，然后汇总每个供应商每项评分因素的得分。</w:t>
      </w:r>
    </w:p>
    <w:p w14:paraId="5C884E94">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1.评审小组按照采购文件中规定的评审标准计算各供应商的报价得分。项目评审过程中，不得去掉最后报价中的最高报价和最低报价。</w:t>
      </w:r>
    </w:p>
    <w:p w14:paraId="743B6039">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2.以投标人的有效报价的算术平均值为基准价，报价与基准价的差取绝对值。</w:t>
      </w:r>
    </w:p>
    <w:p w14:paraId="24E77075">
      <w:pPr>
        <w:spacing w:line="360" w:lineRule="auto"/>
        <w:ind w:firstLine="420" w:firstLineChars="200"/>
        <w:rPr>
          <w:rFonts w:hint="eastAsia" w:ascii="宋体" w:hAnsi="宋体"/>
          <w:kern w:val="0"/>
          <w:szCs w:val="21"/>
          <w:highlight w:val="none"/>
        </w:rPr>
      </w:pPr>
      <w:r>
        <w:rPr>
          <w:rFonts w:hint="eastAsia" w:ascii="宋体" w:hAnsi="宋体" w:cs="宋体"/>
          <w:szCs w:val="21"/>
          <w:highlight w:val="none"/>
        </w:rPr>
        <w:t>（四）由评审小组根据综合评分情况，按照评审得分由高到低顺序推荐3名成交候选供应商，并编写评</w:t>
      </w:r>
      <w:r>
        <w:rPr>
          <w:rFonts w:hint="eastAsia" w:ascii="宋体" w:hAnsi="宋体"/>
          <w:kern w:val="0"/>
          <w:szCs w:val="21"/>
          <w:highlight w:val="none"/>
        </w:rPr>
        <w:t>审报告。评审得分相同的，按照最后报价由低到高的顺序推荐。</w:t>
      </w:r>
    </w:p>
    <w:p w14:paraId="5DD1F4D2">
      <w:pPr>
        <w:spacing w:line="360" w:lineRule="auto"/>
        <w:ind w:firstLine="420" w:firstLineChars="200"/>
        <w:rPr>
          <w:rFonts w:hint="eastAsia" w:ascii="宋体" w:hAnsi="宋体" w:cs="宋体"/>
          <w:szCs w:val="21"/>
          <w:highlight w:val="none"/>
        </w:rPr>
      </w:pPr>
      <w:r>
        <w:rPr>
          <w:rFonts w:hint="eastAsia" w:ascii="宋体" w:hAnsi="宋体"/>
          <w:kern w:val="0"/>
          <w:szCs w:val="21"/>
          <w:highlight w:val="none"/>
        </w:rPr>
        <w:t>（五）评审报告应当由评审小组全体人员签字认可。评审小组成员对评审报告有异议的，评审小组按照少数服从多数的原则推荐成交候选供应商，采购程序继续进行。对评审报告有异议的评审小组成员，应当在报告上签署不同意见并说明理由，由评审小组书面记录相关情况。评审小组成员拒绝在报告上签字又不书面说明其不同意见和理由的，视为同意评审报告。</w:t>
      </w:r>
    </w:p>
    <w:p w14:paraId="5AA9FE98">
      <w:pPr>
        <w:widowControl/>
        <w:spacing w:line="360" w:lineRule="auto"/>
        <w:jc w:val="center"/>
        <w:outlineLvl w:val="1"/>
        <w:rPr>
          <w:rFonts w:hint="eastAsia" w:ascii="宋体" w:hAnsi="宋体"/>
          <w:b/>
          <w:sz w:val="24"/>
          <w:highlight w:val="none"/>
        </w:rPr>
      </w:pPr>
      <w:r>
        <w:rPr>
          <w:rFonts w:ascii="宋体" w:hAnsi="宋体"/>
          <w:b/>
          <w:sz w:val="32"/>
          <w:szCs w:val="32"/>
          <w:highlight w:val="none"/>
        </w:rPr>
        <w:br w:type="page"/>
      </w:r>
      <w:bookmarkStart w:id="33" w:name="_Toc29563"/>
      <w:bookmarkStart w:id="34" w:name="_Toc8537"/>
      <w:bookmarkStart w:id="35" w:name="_Toc7508"/>
      <w:bookmarkStart w:id="36" w:name="_Toc2435"/>
      <w:r>
        <w:rPr>
          <w:rFonts w:hint="eastAsia" w:ascii="宋体" w:hAnsi="宋体"/>
          <w:b/>
          <w:sz w:val="24"/>
          <w:highlight w:val="none"/>
        </w:rPr>
        <w:t>第二节  评审标准</w:t>
      </w:r>
      <w:bookmarkEnd w:id="33"/>
      <w:bookmarkEnd w:id="34"/>
      <w:bookmarkEnd w:id="35"/>
      <w:bookmarkEnd w:id="36"/>
    </w:p>
    <w:p w14:paraId="4698F30C">
      <w:pPr>
        <w:spacing w:line="360" w:lineRule="auto"/>
        <w:ind w:firstLine="420" w:firstLineChars="200"/>
        <w:rPr>
          <w:rFonts w:hint="eastAsia" w:ascii="宋体" w:hAnsi="宋体"/>
          <w:bCs/>
          <w:szCs w:val="21"/>
          <w:highlight w:val="none"/>
        </w:rPr>
      </w:pPr>
      <w:r>
        <w:rPr>
          <w:rFonts w:hint="eastAsia" w:ascii="宋体" w:hAnsi="宋体"/>
          <w:bCs/>
          <w:szCs w:val="21"/>
          <w:highlight w:val="none"/>
        </w:rPr>
        <w:t>评审小组将以采购文件为评审依据，对供应商的报价、技术、商务等方面内容按百分制打分。（计分方法按四舍五入取至百分位）</w:t>
      </w:r>
    </w:p>
    <w:tbl>
      <w:tblPr>
        <w:tblStyle w:val="25"/>
        <w:tblW w:w="9118" w:type="dxa"/>
        <w:jc w:val="center"/>
        <w:tblLayout w:type="fixed"/>
        <w:tblCellMar>
          <w:top w:w="28" w:type="dxa"/>
          <w:left w:w="28" w:type="dxa"/>
          <w:bottom w:w="28" w:type="dxa"/>
          <w:right w:w="28" w:type="dxa"/>
        </w:tblCellMar>
      </w:tblPr>
      <w:tblGrid>
        <w:gridCol w:w="592"/>
        <w:gridCol w:w="1671"/>
        <w:gridCol w:w="6855"/>
      </w:tblGrid>
      <w:tr w14:paraId="3E0975DB">
        <w:tblPrEx>
          <w:tblCellMar>
            <w:top w:w="28" w:type="dxa"/>
            <w:left w:w="28" w:type="dxa"/>
            <w:bottom w:w="28" w:type="dxa"/>
            <w:right w:w="28" w:type="dxa"/>
          </w:tblCellMar>
        </w:tblPrEx>
        <w:trPr>
          <w:trHeight w:val="461" w:hRule="atLeast"/>
          <w:jc w:val="center"/>
        </w:trPr>
        <w:tc>
          <w:tcPr>
            <w:tcW w:w="592" w:type="dxa"/>
            <w:tcBorders>
              <w:top w:val="single" w:color="000000" w:sz="4" w:space="0"/>
              <w:left w:val="single" w:color="000000" w:sz="4" w:space="0"/>
              <w:bottom w:val="single" w:color="000000" w:sz="4" w:space="0"/>
              <w:right w:val="single" w:color="000000" w:sz="4" w:space="0"/>
            </w:tcBorders>
            <w:vAlign w:val="center"/>
          </w:tcPr>
          <w:p w14:paraId="74B0E76D">
            <w:pPr>
              <w:spacing w:line="336" w:lineRule="auto"/>
              <w:jc w:val="center"/>
              <w:rPr>
                <w:rFonts w:hint="eastAsia" w:ascii="宋体" w:hAnsi="宋体" w:cs="宋体"/>
                <w:b/>
                <w:bCs/>
                <w:szCs w:val="21"/>
                <w:highlight w:val="none"/>
              </w:rPr>
            </w:pPr>
            <w:r>
              <w:rPr>
                <w:rFonts w:hint="eastAsia" w:ascii="宋体" w:hAnsi="宋体" w:cs="宋体"/>
                <w:b/>
                <w:bCs/>
                <w:szCs w:val="21"/>
                <w:highlight w:val="none"/>
              </w:rPr>
              <w:t>序号</w:t>
            </w:r>
          </w:p>
        </w:tc>
        <w:tc>
          <w:tcPr>
            <w:tcW w:w="1671" w:type="dxa"/>
            <w:tcBorders>
              <w:top w:val="single" w:color="000000" w:sz="4" w:space="0"/>
              <w:left w:val="single" w:color="000000" w:sz="4" w:space="0"/>
              <w:bottom w:val="single" w:color="000000" w:sz="4" w:space="0"/>
              <w:right w:val="single" w:color="000000" w:sz="4" w:space="0"/>
            </w:tcBorders>
            <w:vAlign w:val="center"/>
          </w:tcPr>
          <w:p w14:paraId="41AB3928">
            <w:pPr>
              <w:widowControl/>
              <w:spacing w:line="336" w:lineRule="auto"/>
              <w:jc w:val="center"/>
              <w:textAlignment w:val="center"/>
              <w:rPr>
                <w:rFonts w:hint="eastAsia" w:ascii="宋体" w:hAnsi="宋体" w:cs="宋体"/>
                <w:b/>
                <w:bCs/>
                <w:szCs w:val="21"/>
                <w:highlight w:val="none"/>
              </w:rPr>
            </w:pPr>
            <w:r>
              <w:rPr>
                <w:rFonts w:hint="eastAsia" w:ascii="宋体" w:hAnsi="宋体" w:cs="宋体"/>
                <w:b/>
                <w:bCs/>
                <w:szCs w:val="21"/>
                <w:highlight w:val="none"/>
              </w:rPr>
              <w:t>评审因素</w:t>
            </w:r>
          </w:p>
        </w:tc>
        <w:tc>
          <w:tcPr>
            <w:tcW w:w="6855" w:type="dxa"/>
            <w:tcBorders>
              <w:top w:val="single" w:color="000000" w:sz="4" w:space="0"/>
              <w:left w:val="single" w:color="000000" w:sz="4" w:space="0"/>
              <w:bottom w:val="single" w:color="000000" w:sz="4" w:space="0"/>
              <w:right w:val="single" w:color="000000" w:sz="4" w:space="0"/>
            </w:tcBorders>
            <w:vAlign w:val="center"/>
          </w:tcPr>
          <w:p w14:paraId="60BC9769">
            <w:pPr>
              <w:widowControl/>
              <w:spacing w:line="336" w:lineRule="auto"/>
              <w:jc w:val="center"/>
              <w:textAlignment w:val="center"/>
              <w:rPr>
                <w:rFonts w:hint="eastAsia" w:ascii="宋体" w:hAnsi="宋体" w:cs="宋体"/>
                <w:b/>
                <w:bCs/>
                <w:szCs w:val="21"/>
                <w:highlight w:val="none"/>
              </w:rPr>
            </w:pPr>
            <w:r>
              <w:rPr>
                <w:rFonts w:hint="eastAsia" w:ascii="宋体" w:hAnsi="宋体" w:cs="宋体"/>
                <w:b/>
                <w:bCs/>
                <w:szCs w:val="21"/>
                <w:highlight w:val="none"/>
              </w:rPr>
              <w:t>评</w:t>
            </w:r>
            <w:r>
              <w:rPr>
                <w:rFonts w:hint="eastAsia" w:ascii="宋体" w:hAnsi="宋体" w:cs="宋体"/>
                <w:b/>
                <w:bCs/>
                <w:szCs w:val="21"/>
                <w:highlight w:val="none"/>
                <w:lang w:eastAsia="zh-CN"/>
              </w:rPr>
              <w:t>分</w:t>
            </w:r>
            <w:r>
              <w:rPr>
                <w:rFonts w:hint="eastAsia" w:ascii="宋体" w:hAnsi="宋体" w:cs="宋体"/>
                <w:b/>
                <w:bCs/>
                <w:szCs w:val="21"/>
                <w:highlight w:val="none"/>
              </w:rPr>
              <w:t>标准</w:t>
            </w:r>
          </w:p>
        </w:tc>
      </w:tr>
      <w:tr w14:paraId="65BF5AD3">
        <w:tblPrEx>
          <w:tblCellMar>
            <w:top w:w="28" w:type="dxa"/>
            <w:left w:w="28" w:type="dxa"/>
            <w:bottom w:w="28" w:type="dxa"/>
            <w:right w:w="28" w:type="dxa"/>
          </w:tblCellMar>
        </w:tblPrEx>
        <w:trPr>
          <w:trHeight w:val="1647" w:hRule="atLeast"/>
          <w:jc w:val="center"/>
        </w:trPr>
        <w:tc>
          <w:tcPr>
            <w:tcW w:w="592" w:type="dxa"/>
            <w:tcBorders>
              <w:top w:val="single" w:color="000000" w:sz="4" w:space="0"/>
              <w:left w:val="single" w:color="000000" w:sz="4" w:space="0"/>
              <w:bottom w:val="single" w:color="000000" w:sz="4" w:space="0"/>
              <w:right w:val="single" w:color="000000" w:sz="4" w:space="0"/>
            </w:tcBorders>
            <w:vAlign w:val="center"/>
          </w:tcPr>
          <w:p w14:paraId="0BFB1CD1">
            <w:pPr>
              <w:spacing w:line="336" w:lineRule="auto"/>
              <w:jc w:val="center"/>
              <w:rPr>
                <w:rFonts w:hint="eastAsia" w:ascii="宋体" w:hAnsi="宋体" w:cs="宋体"/>
                <w:szCs w:val="21"/>
                <w:highlight w:val="none"/>
              </w:rPr>
            </w:pPr>
            <w:r>
              <w:rPr>
                <w:rFonts w:hint="eastAsia" w:ascii="宋体" w:hAnsi="宋体" w:cs="宋体"/>
                <w:szCs w:val="21"/>
                <w:highlight w:val="none"/>
              </w:rPr>
              <w:t>一</w:t>
            </w:r>
          </w:p>
        </w:tc>
        <w:tc>
          <w:tcPr>
            <w:tcW w:w="1671" w:type="dxa"/>
            <w:tcBorders>
              <w:top w:val="single" w:color="000000" w:sz="4" w:space="0"/>
              <w:left w:val="single" w:color="000000" w:sz="4" w:space="0"/>
              <w:bottom w:val="single" w:color="000000" w:sz="4" w:space="0"/>
              <w:right w:val="single" w:color="000000" w:sz="4" w:space="0"/>
            </w:tcBorders>
            <w:vAlign w:val="center"/>
          </w:tcPr>
          <w:p w14:paraId="3B8D31A0">
            <w:pPr>
              <w:widowControl/>
              <w:spacing w:line="336" w:lineRule="auto"/>
              <w:jc w:val="center"/>
              <w:textAlignment w:val="center"/>
              <w:rPr>
                <w:rFonts w:hint="eastAsia" w:ascii="宋体" w:hAnsi="宋体" w:cs="宋体"/>
                <w:szCs w:val="21"/>
                <w:highlight w:val="none"/>
              </w:rPr>
            </w:pPr>
            <w:r>
              <w:rPr>
                <w:rFonts w:hint="eastAsia" w:ascii="宋体" w:hAnsi="宋体" w:cs="宋体"/>
                <w:szCs w:val="21"/>
                <w:highlight w:val="none"/>
              </w:rPr>
              <w:t>价格</w:t>
            </w:r>
          </w:p>
          <w:p w14:paraId="32B5ADB4">
            <w:pPr>
              <w:widowControl/>
              <w:spacing w:line="336" w:lineRule="auto"/>
              <w:jc w:val="center"/>
              <w:textAlignment w:val="center"/>
              <w:rPr>
                <w:rFonts w:hint="eastAsia" w:ascii="宋体" w:hAnsi="宋体" w:cs="宋体"/>
                <w:szCs w:val="21"/>
                <w:highlight w:val="none"/>
              </w:rPr>
            </w:pPr>
            <w:r>
              <w:rPr>
                <w:rFonts w:hint="eastAsia" w:ascii="宋体" w:hAnsi="宋体" w:cs="宋体"/>
                <w:szCs w:val="21"/>
                <w:highlight w:val="none"/>
              </w:rPr>
              <w:t>（满分2</w:t>
            </w:r>
            <w:r>
              <w:rPr>
                <w:rFonts w:ascii="宋体" w:hAnsi="宋体" w:cs="宋体"/>
                <w:szCs w:val="21"/>
                <w:highlight w:val="none"/>
              </w:rPr>
              <w:t>0</w:t>
            </w:r>
            <w:r>
              <w:rPr>
                <w:rFonts w:hint="eastAsia" w:ascii="宋体" w:hAnsi="宋体" w:cs="宋体"/>
                <w:szCs w:val="21"/>
                <w:highlight w:val="none"/>
              </w:rPr>
              <w:t>分）</w:t>
            </w:r>
          </w:p>
        </w:tc>
        <w:tc>
          <w:tcPr>
            <w:tcW w:w="6855" w:type="dxa"/>
            <w:tcBorders>
              <w:top w:val="single" w:color="000000" w:sz="4" w:space="0"/>
              <w:left w:val="single" w:color="000000" w:sz="4" w:space="0"/>
              <w:bottom w:val="single" w:color="000000" w:sz="4" w:space="0"/>
              <w:right w:val="single" w:color="000000" w:sz="4" w:space="0"/>
            </w:tcBorders>
            <w:vAlign w:val="center"/>
          </w:tcPr>
          <w:p w14:paraId="7ED59F6A">
            <w:pPr>
              <w:widowControl/>
              <w:spacing w:line="336" w:lineRule="auto"/>
              <w:ind w:firstLine="420" w:firstLineChars="200"/>
              <w:textAlignment w:val="center"/>
              <w:rPr>
                <w:rFonts w:hint="eastAsia" w:ascii="宋体" w:hAnsi="宋体" w:cs="宋体"/>
                <w:szCs w:val="21"/>
                <w:highlight w:val="none"/>
              </w:rPr>
            </w:pPr>
            <w:r>
              <w:rPr>
                <w:rFonts w:hint="eastAsia" w:ascii="宋体" w:hAnsi="宋体" w:cs="宋体"/>
                <w:szCs w:val="21"/>
                <w:highlight w:val="none"/>
              </w:rPr>
              <w:t>以投标人的有效报价的算术平均值为基准价，报价与基准价的差取绝对值。有效报价为：投标人的报价未超过最高控制价，且投标人符合参与条件要求。</w:t>
            </w:r>
          </w:p>
          <w:p w14:paraId="64519B38">
            <w:pPr>
              <w:widowControl/>
              <w:spacing w:line="336" w:lineRule="auto"/>
              <w:ind w:firstLine="420" w:firstLineChars="200"/>
              <w:textAlignment w:val="center"/>
              <w:rPr>
                <w:rFonts w:hint="eastAsia" w:ascii="宋体" w:hAnsi="宋体" w:cs="宋体"/>
                <w:szCs w:val="21"/>
                <w:highlight w:val="none"/>
              </w:rPr>
            </w:pPr>
            <w:r>
              <w:rPr>
                <w:rFonts w:hint="eastAsia" w:ascii="宋体" w:hAnsi="宋体" w:cs="宋体"/>
                <w:szCs w:val="21"/>
                <w:highlight w:val="none"/>
              </w:rPr>
              <w:t>偏差率=100%×∣（报价-基准价）∣/基准价。</w:t>
            </w:r>
          </w:p>
          <w:p w14:paraId="29BC9AF9">
            <w:pPr>
              <w:widowControl/>
              <w:spacing w:line="336" w:lineRule="auto"/>
              <w:ind w:firstLine="420" w:firstLineChars="200"/>
              <w:textAlignment w:val="center"/>
              <w:rPr>
                <w:rFonts w:hint="eastAsia" w:ascii="宋体" w:hAnsi="宋体" w:cs="宋体"/>
                <w:szCs w:val="21"/>
                <w:highlight w:val="none"/>
              </w:rPr>
            </w:pPr>
            <w:r>
              <w:rPr>
                <w:rFonts w:hint="eastAsia" w:ascii="宋体" w:hAnsi="宋体" w:cs="宋体"/>
                <w:szCs w:val="21"/>
                <w:highlight w:val="none"/>
              </w:rPr>
              <w:t>若投标人报价&gt;评标基准价，则得分=20-偏差率×100×0.2；</w:t>
            </w:r>
          </w:p>
          <w:p w14:paraId="4391FDF3">
            <w:pPr>
              <w:widowControl/>
              <w:spacing w:line="336" w:lineRule="auto"/>
              <w:ind w:firstLine="420" w:firstLineChars="200"/>
              <w:textAlignment w:val="center"/>
              <w:rPr>
                <w:rFonts w:hint="eastAsia" w:ascii="宋体" w:hAnsi="宋体" w:cs="宋体"/>
                <w:szCs w:val="21"/>
                <w:highlight w:val="none"/>
              </w:rPr>
            </w:pPr>
            <w:r>
              <w:rPr>
                <w:rFonts w:hint="eastAsia" w:ascii="宋体" w:hAnsi="宋体" w:cs="宋体"/>
                <w:szCs w:val="21"/>
                <w:highlight w:val="none"/>
              </w:rPr>
              <w:t>若投标人报价≤评标基准价，则得分=20-偏差率×100×0.1。</w:t>
            </w:r>
          </w:p>
          <w:p w14:paraId="52C835A8">
            <w:pPr>
              <w:widowControl/>
              <w:spacing w:line="336" w:lineRule="auto"/>
              <w:textAlignment w:val="center"/>
              <w:rPr>
                <w:rFonts w:hint="eastAsia" w:ascii="宋体" w:hAnsi="宋体" w:cs="宋体"/>
                <w:szCs w:val="21"/>
                <w:highlight w:val="none"/>
              </w:rPr>
            </w:pPr>
            <w:r>
              <w:rPr>
                <w:rFonts w:hint="eastAsia" w:ascii="宋体" w:hAnsi="宋体" w:cs="宋体"/>
                <w:szCs w:val="21"/>
                <w:highlight w:val="none"/>
              </w:rPr>
              <w:t>注：分数取小数点后两位。</w:t>
            </w:r>
          </w:p>
        </w:tc>
      </w:tr>
      <w:tr w14:paraId="7A686926">
        <w:tblPrEx>
          <w:tblCellMar>
            <w:top w:w="28" w:type="dxa"/>
            <w:left w:w="28" w:type="dxa"/>
            <w:bottom w:w="28" w:type="dxa"/>
            <w:right w:w="28" w:type="dxa"/>
          </w:tblCellMar>
        </w:tblPrEx>
        <w:trPr>
          <w:trHeight w:val="632" w:hRule="atLeast"/>
          <w:jc w:val="center"/>
        </w:trPr>
        <w:tc>
          <w:tcPr>
            <w:tcW w:w="592" w:type="dxa"/>
            <w:tcBorders>
              <w:top w:val="single" w:color="000000" w:sz="4" w:space="0"/>
              <w:left w:val="single" w:color="000000" w:sz="4" w:space="0"/>
              <w:bottom w:val="single" w:color="auto" w:sz="4" w:space="0"/>
              <w:right w:val="single" w:color="auto" w:sz="4" w:space="0"/>
            </w:tcBorders>
            <w:vAlign w:val="center"/>
          </w:tcPr>
          <w:p w14:paraId="790C46F6">
            <w:pPr>
              <w:widowControl/>
              <w:spacing w:line="336" w:lineRule="auto"/>
              <w:jc w:val="center"/>
              <w:textAlignment w:val="center"/>
              <w:rPr>
                <w:rFonts w:hint="eastAsia" w:ascii="宋体" w:hAnsi="宋体" w:cs="宋体"/>
                <w:szCs w:val="21"/>
                <w:highlight w:val="none"/>
              </w:rPr>
            </w:pPr>
            <w:r>
              <w:rPr>
                <w:rFonts w:hint="eastAsia" w:ascii="宋体" w:hAnsi="宋体" w:cs="宋体"/>
                <w:szCs w:val="21"/>
                <w:highlight w:val="none"/>
              </w:rPr>
              <w:t>二</w:t>
            </w:r>
          </w:p>
        </w:tc>
        <w:tc>
          <w:tcPr>
            <w:tcW w:w="1671" w:type="dxa"/>
            <w:tcBorders>
              <w:top w:val="single" w:color="000000" w:sz="4" w:space="0"/>
              <w:left w:val="single" w:color="auto" w:sz="4" w:space="0"/>
              <w:bottom w:val="single" w:color="000000" w:sz="4" w:space="0"/>
              <w:right w:val="single" w:color="000000" w:sz="4" w:space="0"/>
            </w:tcBorders>
            <w:vAlign w:val="center"/>
          </w:tcPr>
          <w:p w14:paraId="670B444D">
            <w:pPr>
              <w:widowControl/>
              <w:spacing w:line="336" w:lineRule="auto"/>
              <w:jc w:val="center"/>
              <w:textAlignment w:val="center"/>
              <w:rPr>
                <w:rFonts w:hint="eastAsia" w:ascii="宋体" w:hAnsi="宋体" w:cs="宋体"/>
                <w:szCs w:val="21"/>
                <w:highlight w:val="none"/>
              </w:rPr>
            </w:pPr>
            <w:r>
              <w:rPr>
                <w:rFonts w:hint="eastAsia" w:ascii="宋体" w:hAnsi="宋体" w:cs="宋体"/>
                <w:szCs w:val="21"/>
                <w:highlight w:val="none"/>
              </w:rPr>
              <w:t>资信业绩</w:t>
            </w:r>
          </w:p>
          <w:p w14:paraId="36481E68">
            <w:pPr>
              <w:widowControl/>
              <w:spacing w:line="336" w:lineRule="auto"/>
              <w:jc w:val="center"/>
              <w:textAlignment w:val="center"/>
              <w:rPr>
                <w:rFonts w:hint="eastAsia" w:ascii="宋体" w:hAnsi="宋体" w:cs="宋体"/>
                <w:szCs w:val="21"/>
                <w:highlight w:val="none"/>
              </w:rPr>
            </w:pPr>
            <w:r>
              <w:rPr>
                <w:rFonts w:hint="eastAsia" w:ascii="宋体" w:hAnsi="宋体" w:cs="宋体"/>
                <w:szCs w:val="21"/>
                <w:highlight w:val="none"/>
              </w:rPr>
              <w:t>（满分</w:t>
            </w:r>
            <w:r>
              <w:rPr>
                <w:rFonts w:ascii="宋体" w:hAnsi="宋体" w:cs="宋体"/>
                <w:szCs w:val="21"/>
                <w:highlight w:val="none"/>
              </w:rPr>
              <w:t>20</w:t>
            </w:r>
            <w:r>
              <w:rPr>
                <w:rFonts w:hint="eastAsia" w:ascii="宋体" w:hAnsi="宋体" w:cs="宋体"/>
                <w:szCs w:val="21"/>
                <w:highlight w:val="none"/>
              </w:rPr>
              <w:t>分）</w:t>
            </w:r>
          </w:p>
        </w:tc>
        <w:tc>
          <w:tcPr>
            <w:tcW w:w="6855" w:type="dxa"/>
            <w:tcBorders>
              <w:top w:val="nil"/>
              <w:left w:val="single" w:color="000000" w:sz="4" w:space="0"/>
              <w:bottom w:val="single" w:color="000000" w:sz="4" w:space="0"/>
              <w:right w:val="single" w:color="000000" w:sz="4" w:space="0"/>
            </w:tcBorders>
            <w:vAlign w:val="center"/>
          </w:tcPr>
          <w:p w14:paraId="07C34CDB">
            <w:pPr>
              <w:pStyle w:val="32"/>
              <w:spacing w:before="0" w:after="0" w:line="336" w:lineRule="auto"/>
              <w:jc w:val="both"/>
              <w:rPr>
                <w:bCs w:val="0"/>
                <w:spacing w:val="0"/>
                <w:kern w:val="2"/>
                <w:sz w:val="21"/>
                <w:szCs w:val="21"/>
                <w:highlight w:val="none"/>
              </w:rPr>
            </w:pPr>
            <w:r>
              <w:rPr>
                <w:rFonts w:hint="eastAsia"/>
                <w:bCs w:val="0"/>
                <w:spacing w:val="0"/>
                <w:kern w:val="2"/>
                <w:sz w:val="21"/>
                <w:szCs w:val="21"/>
                <w:highlight w:val="none"/>
              </w:rPr>
              <w:t>1. 在满足资格条件的基础上，投标人自2020年1月1日至今完成类似项目（内河1000吨级及以上航道工程）的测量</w:t>
            </w:r>
            <w:r>
              <w:rPr>
                <w:rFonts w:hint="eastAsia"/>
                <w:bCs w:val="0"/>
                <w:spacing w:val="0"/>
                <w:kern w:val="2"/>
                <w:sz w:val="21"/>
                <w:szCs w:val="21"/>
                <w:highlight w:val="none"/>
                <w:lang w:eastAsia="zh-CN"/>
              </w:rPr>
              <w:t>工作</w:t>
            </w:r>
            <w:r>
              <w:rPr>
                <w:rFonts w:hint="eastAsia"/>
                <w:bCs w:val="0"/>
                <w:spacing w:val="0"/>
                <w:kern w:val="2"/>
                <w:sz w:val="21"/>
                <w:szCs w:val="21"/>
                <w:highlight w:val="none"/>
              </w:rPr>
              <w:t>的，每项得2分；最高分4分。</w:t>
            </w:r>
          </w:p>
          <w:p w14:paraId="6A683590">
            <w:pPr>
              <w:pStyle w:val="32"/>
              <w:spacing w:before="0" w:after="0" w:line="336" w:lineRule="auto"/>
              <w:jc w:val="both"/>
              <w:rPr>
                <w:bCs w:val="0"/>
                <w:spacing w:val="0"/>
                <w:kern w:val="2"/>
                <w:sz w:val="21"/>
                <w:szCs w:val="21"/>
                <w:highlight w:val="none"/>
              </w:rPr>
            </w:pPr>
            <w:r>
              <w:rPr>
                <w:rFonts w:hint="eastAsia"/>
                <w:bCs w:val="0"/>
                <w:spacing w:val="0"/>
                <w:kern w:val="2"/>
                <w:sz w:val="21"/>
                <w:szCs w:val="21"/>
                <w:highlight w:val="none"/>
              </w:rPr>
              <w:t>注：</w:t>
            </w:r>
            <w:r>
              <w:rPr>
                <w:rFonts w:hint="eastAsia"/>
                <w:bCs w:val="0"/>
                <w:spacing w:val="0"/>
                <w:kern w:val="2"/>
                <w:sz w:val="21"/>
                <w:szCs w:val="21"/>
                <w:highlight w:val="none"/>
                <w:lang w:val="en-US" w:eastAsia="zh-CN"/>
              </w:rPr>
              <w:t>1.业绩时间</w:t>
            </w:r>
            <w:r>
              <w:rPr>
                <w:rFonts w:hint="eastAsia"/>
                <w:bCs w:val="0"/>
                <w:spacing w:val="0"/>
                <w:kern w:val="2"/>
                <w:sz w:val="21"/>
                <w:szCs w:val="21"/>
                <w:highlight w:val="none"/>
              </w:rPr>
              <w:t>以测量成果验收时间为准</w:t>
            </w:r>
            <w:r>
              <w:rPr>
                <w:rFonts w:hint="eastAsia"/>
                <w:bCs w:val="0"/>
                <w:spacing w:val="0"/>
                <w:kern w:val="2"/>
                <w:sz w:val="21"/>
                <w:szCs w:val="21"/>
                <w:highlight w:val="none"/>
                <w:lang w:eastAsia="zh-CN"/>
              </w:rPr>
              <w:t>；</w:t>
            </w:r>
            <w:r>
              <w:rPr>
                <w:rFonts w:hint="eastAsia"/>
                <w:bCs w:val="0"/>
                <w:spacing w:val="0"/>
                <w:kern w:val="2"/>
                <w:sz w:val="21"/>
                <w:szCs w:val="21"/>
                <w:highlight w:val="none"/>
                <w:lang w:val="en-US" w:eastAsia="zh-CN"/>
              </w:rPr>
              <w:t>2.</w:t>
            </w:r>
            <w:r>
              <w:rPr>
                <w:rFonts w:hint="eastAsia"/>
                <w:bCs w:val="0"/>
                <w:spacing w:val="0"/>
                <w:kern w:val="2"/>
                <w:sz w:val="21"/>
                <w:szCs w:val="21"/>
                <w:highlight w:val="none"/>
              </w:rPr>
              <w:t>业绩需提供合同复印件和成果验收资料作为评审依据，证明材料均加盖公章</w:t>
            </w:r>
            <w:r>
              <w:rPr>
                <w:rFonts w:hint="eastAsia"/>
                <w:kern w:val="2"/>
                <w:sz w:val="21"/>
                <w:szCs w:val="21"/>
                <w:highlight w:val="none"/>
              </w:rPr>
              <w:t>，未按要求提供相关证明材料的不得分</w:t>
            </w:r>
            <w:r>
              <w:rPr>
                <w:rFonts w:hint="eastAsia"/>
                <w:bCs w:val="0"/>
                <w:spacing w:val="0"/>
                <w:kern w:val="2"/>
                <w:sz w:val="21"/>
                <w:szCs w:val="21"/>
                <w:highlight w:val="none"/>
              </w:rPr>
              <w:t>。</w:t>
            </w:r>
          </w:p>
          <w:p w14:paraId="2AF25AFA">
            <w:pPr>
              <w:pStyle w:val="10"/>
              <w:spacing w:after="0" w:line="336" w:lineRule="auto"/>
              <w:rPr>
                <w:szCs w:val="21"/>
                <w:highlight w:val="none"/>
              </w:rPr>
            </w:pPr>
            <w:r>
              <w:rPr>
                <w:rFonts w:hint="eastAsia"/>
                <w:szCs w:val="21"/>
                <w:highlight w:val="none"/>
              </w:rPr>
              <w:t>2. 在满足资格条件的基础上，投标人自2020年1月1日至今</w:t>
            </w:r>
            <w:r>
              <w:rPr>
                <w:rFonts w:hint="eastAsia"/>
                <w:bCs w:val="0"/>
                <w:spacing w:val="0"/>
                <w:kern w:val="2"/>
                <w:sz w:val="21"/>
                <w:szCs w:val="21"/>
                <w:highlight w:val="none"/>
              </w:rPr>
              <w:t>完成类似项目（内河1000吨级及以上航道工程）的</w:t>
            </w:r>
            <w:r>
              <w:rPr>
                <w:rFonts w:hint="eastAsia"/>
                <w:szCs w:val="21"/>
                <w:highlight w:val="none"/>
                <w:lang w:eastAsia="zh-CN"/>
              </w:rPr>
              <w:t>工程可行性研究（</w:t>
            </w:r>
            <w:r>
              <w:rPr>
                <w:rFonts w:hint="eastAsia"/>
                <w:szCs w:val="21"/>
                <w:highlight w:val="none"/>
              </w:rPr>
              <w:t>或设计</w:t>
            </w:r>
            <w:r>
              <w:rPr>
                <w:rFonts w:hint="eastAsia"/>
                <w:szCs w:val="21"/>
                <w:highlight w:val="none"/>
                <w:lang w:eastAsia="zh-CN"/>
              </w:rPr>
              <w:t>）工作</w:t>
            </w:r>
            <w:r>
              <w:rPr>
                <w:rFonts w:hint="eastAsia"/>
                <w:szCs w:val="21"/>
                <w:highlight w:val="none"/>
              </w:rPr>
              <w:t>的，每有1项得2分，最多得6分。</w:t>
            </w:r>
          </w:p>
          <w:p w14:paraId="2CD72D15">
            <w:pPr>
              <w:pStyle w:val="29"/>
              <w:snapToGrid/>
              <w:spacing w:line="336" w:lineRule="auto"/>
              <w:ind w:firstLine="0" w:firstLineChars="0"/>
              <w:jc w:val="both"/>
              <w:rPr>
                <w:rFonts w:hint="eastAsia"/>
                <w:kern w:val="2"/>
                <w:sz w:val="21"/>
                <w:szCs w:val="21"/>
                <w:highlight w:val="none"/>
              </w:rPr>
            </w:pPr>
            <w:r>
              <w:rPr>
                <w:rFonts w:hint="eastAsia"/>
                <w:bCs w:val="0"/>
                <w:spacing w:val="0"/>
                <w:kern w:val="2"/>
                <w:sz w:val="21"/>
                <w:szCs w:val="21"/>
                <w:highlight w:val="none"/>
              </w:rPr>
              <w:t>注：</w:t>
            </w:r>
            <w:r>
              <w:rPr>
                <w:rFonts w:hint="eastAsia"/>
                <w:bCs w:val="0"/>
                <w:spacing w:val="0"/>
                <w:kern w:val="2"/>
                <w:sz w:val="21"/>
                <w:szCs w:val="21"/>
                <w:highlight w:val="none"/>
                <w:lang w:val="en-US" w:eastAsia="zh-CN"/>
              </w:rPr>
              <w:t>1.业绩时间</w:t>
            </w:r>
            <w:r>
              <w:rPr>
                <w:rFonts w:hint="eastAsia"/>
                <w:bCs w:val="0"/>
                <w:spacing w:val="0"/>
                <w:kern w:val="2"/>
                <w:sz w:val="21"/>
                <w:szCs w:val="21"/>
                <w:highlight w:val="none"/>
              </w:rPr>
              <w:t>以</w:t>
            </w:r>
            <w:r>
              <w:rPr>
                <w:rFonts w:hint="eastAsia"/>
                <w:bCs w:val="0"/>
                <w:spacing w:val="0"/>
                <w:kern w:val="2"/>
                <w:sz w:val="21"/>
                <w:szCs w:val="21"/>
                <w:highlight w:val="none"/>
                <w:lang w:eastAsia="zh-CN"/>
              </w:rPr>
              <w:t>工可报告（或设计）批复</w:t>
            </w:r>
            <w:r>
              <w:rPr>
                <w:rFonts w:hint="eastAsia"/>
                <w:bCs w:val="0"/>
                <w:spacing w:val="0"/>
                <w:kern w:val="2"/>
                <w:sz w:val="21"/>
                <w:szCs w:val="21"/>
                <w:highlight w:val="none"/>
              </w:rPr>
              <w:t>时间为准</w:t>
            </w:r>
            <w:r>
              <w:rPr>
                <w:rFonts w:hint="eastAsia"/>
                <w:bCs w:val="0"/>
                <w:spacing w:val="0"/>
                <w:kern w:val="2"/>
                <w:sz w:val="21"/>
                <w:szCs w:val="21"/>
                <w:highlight w:val="none"/>
                <w:lang w:eastAsia="zh-CN"/>
              </w:rPr>
              <w:t>；</w:t>
            </w:r>
            <w:r>
              <w:rPr>
                <w:rFonts w:hint="eastAsia"/>
                <w:bCs w:val="0"/>
                <w:spacing w:val="0"/>
                <w:kern w:val="2"/>
                <w:sz w:val="21"/>
                <w:szCs w:val="21"/>
                <w:highlight w:val="none"/>
                <w:lang w:val="en-US" w:eastAsia="zh-CN"/>
              </w:rPr>
              <w:t>2.</w:t>
            </w:r>
            <w:r>
              <w:rPr>
                <w:rFonts w:hint="eastAsia"/>
                <w:bCs w:val="0"/>
                <w:spacing w:val="0"/>
                <w:kern w:val="2"/>
                <w:sz w:val="21"/>
                <w:szCs w:val="21"/>
                <w:highlight w:val="none"/>
              </w:rPr>
              <w:t>业绩需提供合同复印件和</w:t>
            </w:r>
            <w:r>
              <w:rPr>
                <w:rFonts w:hint="eastAsia"/>
                <w:bCs w:val="0"/>
                <w:spacing w:val="0"/>
                <w:kern w:val="2"/>
                <w:sz w:val="21"/>
                <w:szCs w:val="21"/>
                <w:highlight w:val="none"/>
                <w:lang w:eastAsia="zh-CN"/>
              </w:rPr>
              <w:t>批复文件复印件</w:t>
            </w:r>
            <w:r>
              <w:rPr>
                <w:rFonts w:hint="eastAsia"/>
                <w:bCs w:val="0"/>
                <w:spacing w:val="0"/>
                <w:kern w:val="2"/>
                <w:sz w:val="21"/>
                <w:szCs w:val="21"/>
                <w:highlight w:val="none"/>
              </w:rPr>
              <w:t>作为评审依据，证明材料均加盖公章</w:t>
            </w:r>
            <w:r>
              <w:rPr>
                <w:rFonts w:hint="eastAsia"/>
                <w:kern w:val="2"/>
                <w:sz w:val="21"/>
                <w:szCs w:val="21"/>
                <w:highlight w:val="none"/>
              </w:rPr>
              <w:t>，未按要求提供相关证明材料的不得分</w:t>
            </w:r>
            <w:r>
              <w:rPr>
                <w:rFonts w:hint="eastAsia"/>
                <w:bCs w:val="0"/>
                <w:spacing w:val="0"/>
                <w:kern w:val="2"/>
                <w:sz w:val="21"/>
                <w:szCs w:val="21"/>
                <w:highlight w:val="none"/>
              </w:rPr>
              <w:t>。</w:t>
            </w:r>
          </w:p>
          <w:p w14:paraId="3ADBC482">
            <w:pPr>
              <w:pStyle w:val="29"/>
              <w:snapToGrid/>
              <w:spacing w:line="336" w:lineRule="auto"/>
              <w:ind w:firstLine="0" w:firstLineChars="0"/>
              <w:jc w:val="both"/>
              <w:rPr>
                <w:kern w:val="2"/>
                <w:sz w:val="21"/>
                <w:szCs w:val="21"/>
                <w:highlight w:val="none"/>
              </w:rPr>
            </w:pPr>
            <w:r>
              <w:rPr>
                <w:rFonts w:hint="eastAsia"/>
                <w:kern w:val="2"/>
                <w:sz w:val="21"/>
                <w:szCs w:val="21"/>
                <w:highlight w:val="none"/>
              </w:rPr>
              <w:t>3. 具有有效的工程勘察综合甲级资质证书和自然资源部颁发的测绘甲级（至少含工程测量、海洋测绘）资质证书的，每项得1.5分，满分为3分。</w:t>
            </w:r>
          </w:p>
          <w:p w14:paraId="74B6C7C6">
            <w:pPr>
              <w:pStyle w:val="29"/>
              <w:snapToGrid/>
              <w:spacing w:line="336" w:lineRule="auto"/>
              <w:ind w:firstLine="0" w:firstLineChars="0"/>
              <w:jc w:val="both"/>
              <w:rPr>
                <w:rFonts w:hint="eastAsia"/>
                <w:kern w:val="2"/>
                <w:sz w:val="21"/>
                <w:szCs w:val="21"/>
                <w:highlight w:val="none"/>
              </w:rPr>
            </w:pPr>
            <w:r>
              <w:rPr>
                <w:rFonts w:hint="eastAsia"/>
                <w:bCs w:val="0"/>
                <w:spacing w:val="0"/>
                <w:kern w:val="2"/>
                <w:sz w:val="21"/>
                <w:szCs w:val="21"/>
                <w:highlight w:val="none"/>
              </w:rPr>
              <w:t>注：需提供</w:t>
            </w:r>
            <w:r>
              <w:rPr>
                <w:rFonts w:hint="eastAsia"/>
                <w:bCs w:val="0"/>
                <w:spacing w:val="0"/>
                <w:kern w:val="2"/>
                <w:sz w:val="21"/>
                <w:szCs w:val="21"/>
                <w:highlight w:val="none"/>
                <w:lang w:eastAsia="zh-CN"/>
              </w:rPr>
              <w:t>资质证书</w:t>
            </w:r>
            <w:r>
              <w:rPr>
                <w:rFonts w:hint="eastAsia"/>
                <w:bCs w:val="0"/>
                <w:spacing w:val="0"/>
                <w:kern w:val="2"/>
                <w:sz w:val="21"/>
                <w:szCs w:val="21"/>
                <w:highlight w:val="none"/>
              </w:rPr>
              <w:t>复印件作为评审依据，证明材料均加盖公章</w:t>
            </w:r>
            <w:r>
              <w:rPr>
                <w:rFonts w:hint="eastAsia"/>
                <w:kern w:val="2"/>
                <w:sz w:val="21"/>
                <w:szCs w:val="21"/>
                <w:highlight w:val="none"/>
              </w:rPr>
              <w:t>，未按要求提供相关证明材料的不得分</w:t>
            </w:r>
            <w:r>
              <w:rPr>
                <w:rFonts w:hint="eastAsia"/>
                <w:bCs w:val="0"/>
                <w:spacing w:val="0"/>
                <w:kern w:val="2"/>
                <w:sz w:val="21"/>
                <w:szCs w:val="21"/>
                <w:highlight w:val="none"/>
              </w:rPr>
              <w:t>。</w:t>
            </w:r>
          </w:p>
          <w:p w14:paraId="1C0E77FC">
            <w:pPr>
              <w:pStyle w:val="29"/>
              <w:snapToGrid/>
              <w:spacing w:line="336" w:lineRule="auto"/>
              <w:ind w:firstLine="0" w:firstLineChars="0"/>
              <w:jc w:val="both"/>
              <w:rPr>
                <w:kern w:val="2"/>
                <w:sz w:val="21"/>
                <w:szCs w:val="21"/>
                <w:highlight w:val="none"/>
              </w:rPr>
            </w:pPr>
            <w:r>
              <w:rPr>
                <w:rFonts w:hint="eastAsia"/>
                <w:kern w:val="2"/>
                <w:sz w:val="21"/>
                <w:szCs w:val="21"/>
                <w:highlight w:val="none"/>
              </w:rPr>
              <w:t>4. 投标人自2020年1月1日以来承担的内河航道工程项目获得省部级以上优秀勘察或咨询成果或设计奖项的，每有一项得0.5分，最多得3分。</w:t>
            </w:r>
          </w:p>
          <w:p w14:paraId="3ABE3AE5">
            <w:pPr>
              <w:pStyle w:val="29"/>
              <w:snapToGrid/>
              <w:spacing w:line="336" w:lineRule="auto"/>
              <w:ind w:firstLine="0" w:firstLineChars="0"/>
              <w:jc w:val="both"/>
              <w:rPr>
                <w:rFonts w:hint="eastAsia"/>
                <w:kern w:val="2"/>
                <w:sz w:val="21"/>
                <w:szCs w:val="21"/>
                <w:highlight w:val="none"/>
              </w:rPr>
            </w:pPr>
            <w:r>
              <w:rPr>
                <w:rFonts w:hint="eastAsia"/>
                <w:kern w:val="2"/>
                <w:sz w:val="21"/>
                <w:szCs w:val="21"/>
                <w:highlight w:val="none"/>
                <w:lang w:eastAsia="zh-CN"/>
              </w:rPr>
              <w:t>注：</w:t>
            </w:r>
            <w:r>
              <w:rPr>
                <w:rFonts w:hint="eastAsia"/>
                <w:kern w:val="2"/>
                <w:sz w:val="21"/>
                <w:szCs w:val="21"/>
                <w:highlight w:val="none"/>
                <w:lang w:val="en-US" w:eastAsia="zh-CN"/>
              </w:rPr>
              <w:t>1.</w:t>
            </w:r>
            <w:r>
              <w:rPr>
                <w:rFonts w:hint="eastAsia"/>
                <w:kern w:val="2"/>
                <w:sz w:val="21"/>
                <w:szCs w:val="21"/>
                <w:highlight w:val="none"/>
              </w:rPr>
              <w:t>奖项时间认定以获奖时间为准</w:t>
            </w:r>
            <w:r>
              <w:rPr>
                <w:rFonts w:hint="eastAsia"/>
                <w:kern w:val="2"/>
                <w:sz w:val="21"/>
                <w:szCs w:val="21"/>
                <w:highlight w:val="none"/>
                <w:lang w:eastAsia="zh-CN"/>
              </w:rPr>
              <w:t>；</w:t>
            </w:r>
            <w:r>
              <w:rPr>
                <w:rFonts w:hint="eastAsia"/>
                <w:kern w:val="2"/>
                <w:sz w:val="21"/>
                <w:szCs w:val="21"/>
                <w:highlight w:val="none"/>
                <w:lang w:val="en-US" w:eastAsia="zh-CN"/>
              </w:rPr>
              <w:t>2.</w:t>
            </w:r>
            <w:r>
              <w:rPr>
                <w:rFonts w:hint="eastAsia"/>
                <w:kern w:val="2"/>
                <w:sz w:val="21"/>
                <w:szCs w:val="21"/>
                <w:highlight w:val="none"/>
              </w:rPr>
              <w:t>须提供获奖证书或证明材料复印件（或彩色扫描件）</w:t>
            </w:r>
            <w:r>
              <w:rPr>
                <w:rFonts w:hint="eastAsia"/>
                <w:bCs w:val="0"/>
                <w:spacing w:val="0"/>
                <w:kern w:val="2"/>
                <w:sz w:val="21"/>
                <w:szCs w:val="21"/>
                <w:highlight w:val="none"/>
              </w:rPr>
              <w:t>，证明材料均加盖公章</w:t>
            </w:r>
            <w:r>
              <w:rPr>
                <w:rFonts w:hint="eastAsia"/>
                <w:kern w:val="2"/>
                <w:sz w:val="21"/>
                <w:szCs w:val="21"/>
                <w:highlight w:val="none"/>
              </w:rPr>
              <w:t>，未按要求提供相关证明材料的不得分。</w:t>
            </w:r>
          </w:p>
          <w:p w14:paraId="721DC055">
            <w:pPr>
              <w:pStyle w:val="29"/>
              <w:snapToGrid/>
              <w:spacing w:line="336" w:lineRule="auto"/>
              <w:ind w:firstLine="0" w:firstLineChars="0"/>
              <w:jc w:val="both"/>
              <w:rPr>
                <w:sz w:val="21"/>
                <w:szCs w:val="21"/>
                <w:highlight w:val="none"/>
              </w:rPr>
            </w:pPr>
            <w:r>
              <w:rPr>
                <w:rFonts w:hint="eastAsia"/>
                <w:kern w:val="2"/>
                <w:sz w:val="21"/>
                <w:szCs w:val="21"/>
                <w:highlight w:val="none"/>
              </w:rPr>
              <w:t>5. 投标人2024年度获得水运建设市场设计企业信用评价为AA级，得4分；如信用评价仅为A级，得2分；其他等级或无等级，得0分。投标人的设计企业信用等级优先顺序：（1）2024年度广西壮族自治区交通运输厅公布的广西水运建设市场设计企业信用评价结果的等级；（2）2024年度交通运输部公布的全国水运工程设计企业信用评价结果的等级。本项满分4分。</w:t>
            </w:r>
          </w:p>
        </w:tc>
      </w:tr>
      <w:tr w14:paraId="14E4CFFC">
        <w:tblPrEx>
          <w:tblCellMar>
            <w:top w:w="28" w:type="dxa"/>
            <w:left w:w="28" w:type="dxa"/>
            <w:bottom w:w="28" w:type="dxa"/>
            <w:right w:w="28" w:type="dxa"/>
          </w:tblCellMar>
        </w:tblPrEx>
        <w:trPr>
          <w:trHeight w:val="1372" w:hRule="atLeast"/>
          <w:jc w:val="center"/>
        </w:trPr>
        <w:tc>
          <w:tcPr>
            <w:tcW w:w="592" w:type="dxa"/>
            <w:tcBorders>
              <w:top w:val="single" w:color="auto" w:sz="4" w:space="0"/>
              <w:left w:val="single" w:color="000000" w:sz="4" w:space="0"/>
              <w:bottom w:val="single" w:color="auto" w:sz="4" w:space="0"/>
              <w:right w:val="single" w:color="auto" w:sz="4" w:space="0"/>
            </w:tcBorders>
            <w:vAlign w:val="center"/>
          </w:tcPr>
          <w:p w14:paraId="1296C2C8">
            <w:pPr>
              <w:spacing w:line="336" w:lineRule="auto"/>
              <w:jc w:val="center"/>
              <w:textAlignment w:val="center"/>
              <w:rPr>
                <w:rFonts w:hint="eastAsia" w:ascii="宋体" w:hAnsi="宋体" w:cs="宋体"/>
                <w:szCs w:val="21"/>
                <w:highlight w:val="none"/>
              </w:rPr>
            </w:pPr>
            <w:r>
              <w:rPr>
                <w:rFonts w:hint="eastAsia" w:ascii="宋体" w:hAnsi="宋体" w:cs="宋体"/>
                <w:szCs w:val="21"/>
                <w:highlight w:val="none"/>
              </w:rPr>
              <w:t>三</w:t>
            </w:r>
          </w:p>
        </w:tc>
        <w:tc>
          <w:tcPr>
            <w:tcW w:w="1671" w:type="dxa"/>
            <w:tcBorders>
              <w:top w:val="single" w:color="000000" w:sz="4" w:space="0"/>
              <w:left w:val="single" w:color="auto" w:sz="4" w:space="0"/>
              <w:bottom w:val="single" w:color="000000" w:sz="4" w:space="0"/>
              <w:right w:val="single" w:color="000000" w:sz="4" w:space="0"/>
            </w:tcBorders>
            <w:vAlign w:val="center"/>
          </w:tcPr>
          <w:p w14:paraId="3CBB1C64">
            <w:pPr>
              <w:widowControl/>
              <w:spacing w:line="336" w:lineRule="auto"/>
              <w:jc w:val="center"/>
              <w:textAlignment w:val="center"/>
              <w:rPr>
                <w:rFonts w:hint="eastAsia" w:ascii="宋体" w:hAnsi="宋体" w:cs="宋体"/>
                <w:szCs w:val="21"/>
                <w:highlight w:val="none"/>
              </w:rPr>
            </w:pPr>
            <w:r>
              <w:rPr>
                <w:rFonts w:hint="eastAsia" w:ascii="宋体" w:hAnsi="宋体" w:cs="宋体"/>
                <w:szCs w:val="21"/>
                <w:highlight w:val="none"/>
              </w:rPr>
              <w:t>人员配置</w:t>
            </w:r>
          </w:p>
          <w:p w14:paraId="713D08D5">
            <w:pPr>
              <w:widowControl/>
              <w:spacing w:line="336" w:lineRule="auto"/>
              <w:jc w:val="center"/>
              <w:textAlignment w:val="center"/>
              <w:rPr>
                <w:rFonts w:hint="eastAsia" w:ascii="宋体" w:hAnsi="宋体" w:cs="宋体"/>
                <w:szCs w:val="21"/>
                <w:highlight w:val="none"/>
              </w:rPr>
            </w:pPr>
            <w:r>
              <w:rPr>
                <w:rFonts w:hint="eastAsia" w:ascii="宋体" w:hAnsi="宋体" w:cs="宋体"/>
                <w:szCs w:val="21"/>
                <w:highlight w:val="none"/>
              </w:rPr>
              <w:t>（满分</w:t>
            </w:r>
            <w:r>
              <w:rPr>
                <w:rFonts w:ascii="宋体" w:hAnsi="宋体" w:cs="宋体"/>
                <w:szCs w:val="21"/>
                <w:highlight w:val="none"/>
              </w:rPr>
              <w:t>2</w:t>
            </w:r>
            <w:r>
              <w:rPr>
                <w:rFonts w:hint="eastAsia" w:ascii="宋体" w:hAnsi="宋体" w:cs="宋体"/>
                <w:szCs w:val="21"/>
                <w:highlight w:val="none"/>
              </w:rPr>
              <w:t>0分）</w:t>
            </w:r>
          </w:p>
        </w:tc>
        <w:tc>
          <w:tcPr>
            <w:tcW w:w="6855" w:type="dxa"/>
            <w:tcBorders>
              <w:top w:val="single" w:color="000000" w:sz="4" w:space="0"/>
              <w:left w:val="single" w:color="000000" w:sz="4" w:space="0"/>
              <w:bottom w:val="single" w:color="000000" w:sz="4" w:space="0"/>
              <w:right w:val="single" w:color="000000" w:sz="4" w:space="0"/>
            </w:tcBorders>
            <w:vAlign w:val="center"/>
          </w:tcPr>
          <w:p w14:paraId="34DF18B7">
            <w:pPr>
              <w:pStyle w:val="32"/>
              <w:spacing w:before="0" w:after="0" w:line="336" w:lineRule="auto"/>
              <w:rPr>
                <w:bCs w:val="0"/>
                <w:spacing w:val="0"/>
                <w:kern w:val="2"/>
                <w:sz w:val="21"/>
                <w:szCs w:val="21"/>
                <w:highlight w:val="none"/>
              </w:rPr>
            </w:pPr>
            <w:r>
              <w:rPr>
                <w:rFonts w:hint="eastAsia"/>
                <w:bCs w:val="0"/>
                <w:spacing w:val="0"/>
                <w:kern w:val="2"/>
                <w:sz w:val="21"/>
                <w:szCs w:val="21"/>
                <w:highlight w:val="none"/>
              </w:rPr>
              <w:t>1</w:t>
            </w:r>
            <w:bookmarkStart w:id="37" w:name="OLE_LINK22"/>
            <w:r>
              <w:rPr>
                <w:rFonts w:hint="eastAsia"/>
                <w:bCs w:val="0"/>
                <w:spacing w:val="0"/>
                <w:kern w:val="2"/>
                <w:sz w:val="21"/>
                <w:szCs w:val="21"/>
                <w:highlight w:val="none"/>
                <w:lang w:val="en-US" w:eastAsia="zh-CN"/>
              </w:rPr>
              <w:t>.</w:t>
            </w:r>
            <w:r>
              <w:rPr>
                <w:rFonts w:hint="eastAsia"/>
                <w:bCs w:val="0"/>
                <w:spacing w:val="0"/>
                <w:kern w:val="2"/>
                <w:sz w:val="21"/>
                <w:szCs w:val="21"/>
                <w:highlight w:val="none"/>
              </w:rPr>
              <w:t>在满足资格条件的基础上，</w:t>
            </w:r>
            <w:bookmarkEnd w:id="37"/>
            <w:r>
              <w:rPr>
                <w:rFonts w:hint="eastAsia"/>
                <w:bCs w:val="0"/>
                <w:spacing w:val="0"/>
                <w:kern w:val="2"/>
                <w:sz w:val="21"/>
                <w:szCs w:val="21"/>
                <w:highlight w:val="none"/>
              </w:rPr>
              <w:t>测量负责人</w:t>
            </w:r>
            <w:bookmarkStart w:id="38" w:name="OLE_LINK21"/>
            <w:r>
              <w:rPr>
                <w:rFonts w:hint="eastAsia"/>
                <w:bCs w:val="0"/>
                <w:spacing w:val="0"/>
                <w:kern w:val="2"/>
                <w:sz w:val="21"/>
                <w:szCs w:val="21"/>
                <w:highlight w:val="none"/>
              </w:rPr>
              <w:t>自</w:t>
            </w:r>
            <w:r>
              <w:rPr>
                <w:bCs w:val="0"/>
                <w:spacing w:val="0"/>
                <w:kern w:val="2"/>
                <w:sz w:val="21"/>
                <w:szCs w:val="21"/>
                <w:highlight w:val="none"/>
              </w:rPr>
              <w:t>20</w:t>
            </w:r>
            <w:r>
              <w:rPr>
                <w:rFonts w:hint="eastAsia"/>
                <w:bCs w:val="0"/>
                <w:spacing w:val="0"/>
                <w:kern w:val="2"/>
                <w:sz w:val="21"/>
                <w:szCs w:val="21"/>
                <w:highlight w:val="none"/>
              </w:rPr>
              <w:t>20年1月1日至今担任过类似项目（内河1000吨级及以上航道工程）</w:t>
            </w:r>
            <w:r>
              <w:rPr>
                <w:rFonts w:hint="eastAsia"/>
                <w:bCs w:val="0"/>
                <w:spacing w:val="0"/>
                <w:kern w:val="2"/>
                <w:sz w:val="21"/>
                <w:szCs w:val="21"/>
                <w:highlight w:val="none"/>
                <w:lang w:eastAsia="zh-CN"/>
              </w:rPr>
              <w:t>的</w:t>
            </w:r>
            <w:r>
              <w:rPr>
                <w:rFonts w:hint="eastAsia"/>
                <w:bCs w:val="0"/>
                <w:spacing w:val="0"/>
                <w:kern w:val="2"/>
                <w:sz w:val="21"/>
                <w:szCs w:val="21"/>
                <w:highlight w:val="none"/>
              </w:rPr>
              <w:t>测量负责人</w:t>
            </w:r>
            <w:bookmarkEnd w:id="38"/>
            <w:r>
              <w:rPr>
                <w:rFonts w:hint="eastAsia"/>
                <w:bCs w:val="0"/>
                <w:spacing w:val="0"/>
                <w:kern w:val="2"/>
                <w:sz w:val="21"/>
                <w:szCs w:val="21"/>
                <w:highlight w:val="none"/>
              </w:rPr>
              <w:t>的，每有1项得 1 分，最多得2分。</w:t>
            </w:r>
          </w:p>
          <w:p w14:paraId="41361D00">
            <w:pPr>
              <w:pStyle w:val="10"/>
              <w:spacing w:after="0" w:line="336" w:lineRule="auto"/>
              <w:rPr>
                <w:rFonts w:hint="eastAsia"/>
                <w:szCs w:val="21"/>
                <w:highlight w:val="none"/>
              </w:rPr>
            </w:pPr>
            <w:r>
              <w:rPr>
                <w:rFonts w:hint="eastAsia"/>
                <w:bCs w:val="0"/>
                <w:spacing w:val="0"/>
                <w:kern w:val="2"/>
                <w:sz w:val="21"/>
                <w:szCs w:val="21"/>
                <w:highlight w:val="none"/>
              </w:rPr>
              <w:t>注：</w:t>
            </w:r>
            <w:r>
              <w:rPr>
                <w:rFonts w:hint="eastAsia"/>
                <w:bCs w:val="0"/>
                <w:spacing w:val="0"/>
                <w:kern w:val="2"/>
                <w:sz w:val="21"/>
                <w:szCs w:val="21"/>
                <w:highlight w:val="none"/>
                <w:lang w:val="en-US" w:eastAsia="zh-CN"/>
              </w:rPr>
              <w:t>1.业绩时间</w:t>
            </w:r>
            <w:r>
              <w:rPr>
                <w:rFonts w:hint="eastAsia"/>
                <w:bCs w:val="0"/>
                <w:spacing w:val="0"/>
                <w:kern w:val="2"/>
                <w:sz w:val="21"/>
                <w:szCs w:val="21"/>
                <w:highlight w:val="none"/>
              </w:rPr>
              <w:t>以测量成果验收时间为准</w:t>
            </w:r>
            <w:r>
              <w:rPr>
                <w:rFonts w:hint="eastAsia"/>
                <w:bCs w:val="0"/>
                <w:spacing w:val="0"/>
                <w:kern w:val="2"/>
                <w:sz w:val="21"/>
                <w:szCs w:val="21"/>
                <w:highlight w:val="none"/>
                <w:lang w:eastAsia="zh-CN"/>
              </w:rPr>
              <w:t>；</w:t>
            </w:r>
            <w:r>
              <w:rPr>
                <w:rFonts w:hint="eastAsia"/>
                <w:bCs w:val="0"/>
                <w:spacing w:val="0"/>
                <w:kern w:val="2"/>
                <w:sz w:val="21"/>
                <w:szCs w:val="21"/>
                <w:highlight w:val="none"/>
                <w:lang w:val="en-US" w:eastAsia="zh-CN"/>
              </w:rPr>
              <w:t>2.</w:t>
            </w:r>
            <w:r>
              <w:rPr>
                <w:rFonts w:hint="eastAsia"/>
                <w:bCs w:val="0"/>
                <w:spacing w:val="0"/>
                <w:kern w:val="2"/>
                <w:sz w:val="21"/>
                <w:szCs w:val="21"/>
                <w:highlight w:val="none"/>
              </w:rPr>
              <w:t>业绩需提供合同复印件和成果验收资料作为评审依据，证明材料均加盖公章</w:t>
            </w:r>
            <w:r>
              <w:rPr>
                <w:rFonts w:hint="eastAsia"/>
                <w:kern w:val="2"/>
                <w:sz w:val="21"/>
                <w:szCs w:val="21"/>
                <w:highlight w:val="none"/>
              </w:rPr>
              <w:t>，未按要求提供相关证明材料的不得分</w:t>
            </w:r>
            <w:r>
              <w:rPr>
                <w:rFonts w:hint="eastAsia"/>
                <w:bCs w:val="0"/>
                <w:spacing w:val="0"/>
                <w:kern w:val="2"/>
                <w:sz w:val="21"/>
                <w:szCs w:val="21"/>
                <w:highlight w:val="none"/>
              </w:rPr>
              <w:t>。</w:t>
            </w:r>
          </w:p>
          <w:p w14:paraId="71C689E8">
            <w:pPr>
              <w:pStyle w:val="10"/>
              <w:spacing w:after="0" w:line="336" w:lineRule="auto"/>
              <w:rPr>
                <w:szCs w:val="21"/>
                <w:highlight w:val="none"/>
              </w:rPr>
            </w:pPr>
            <w:r>
              <w:rPr>
                <w:rFonts w:hint="eastAsia"/>
                <w:szCs w:val="21"/>
                <w:highlight w:val="none"/>
              </w:rPr>
              <w:t>2</w:t>
            </w:r>
            <w:r>
              <w:rPr>
                <w:rFonts w:hint="eastAsia"/>
                <w:szCs w:val="21"/>
                <w:highlight w:val="none"/>
                <w:lang w:val="en-US" w:eastAsia="zh-CN"/>
              </w:rPr>
              <w:t>.</w:t>
            </w:r>
            <w:r>
              <w:rPr>
                <w:rFonts w:hint="eastAsia"/>
                <w:szCs w:val="21"/>
                <w:highlight w:val="none"/>
              </w:rPr>
              <w:t>在满足资格条件的基础上，</w:t>
            </w:r>
            <w:r>
              <w:rPr>
                <w:rFonts w:hint="eastAsia"/>
                <w:szCs w:val="21"/>
                <w:highlight w:val="none"/>
                <w:lang w:eastAsia="zh-CN"/>
              </w:rPr>
              <w:t>工程可行性研究</w:t>
            </w:r>
            <w:r>
              <w:rPr>
                <w:rFonts w:hint="eastAsia"/>
                <w:szCs w:val="21"/>
                <w:highlight w:val="none"/>
              </w:rPr>
              <w:t>负责人具有注册土木工程师（港口与航道工程）执业证书，得2分；</w:t>
            </w:r>
            <w:bookmarkStart w:id="39" w:name="OLE_LINK23"/>
            <w:r>
              <w:rPr>
                <w:rFonts w:hint="eastAsia"/>
                <w:szCs w:val="21"/>
                <w:highlight w:val="none"/>
              </w:rPr>
              <w:t>自2020年1月1日至今参与过</w:t>
            </w:r>
            <w:r>
              <w:rPr>
                <w:rFonts w:hint="eastAsia"/>
                <w:bCs w:val="0"/>
                <w:spacing w:val="0"/>
                <w:kern w:val="2"/>
                <w:sz w:val="21"/>
                <w:szCs w:val="21"/>
                <w:highlight w:val="none"/>
              </w:rPr>
              <w:t>类似项目（内河1000吨级及以上航道工程）</w:t>
            </w:r>
            <w:r>
              <w:rPr>
                <w:rFonts w:hint="eastAsia"/>
                <w:szCs w:val="21"/>
                <w:highlight w:val="none"/>
                <w:lang w:eastAsia="zh-CN"/>
              </w:rPr>
              <w:t>工程可行性研究（</w:t>
            </w:r>
            <w:r>
              <w:rPr>
                <w:rFonts w:hint="eastAsia"/>
                <w:szCs w:val="21"/>
                <w:highlight w:val="none"/>
              </w:rPr>
              <w:t>或设计</w:t>
            </w:r>
            <w:r>
              <w:rPr>
                <w:rFonts w:hint="eastAsia"/>
                <w:szCs w:val="21"/>
                <w:highlight w:val="none"/>
                <w:lang w:eastAsia="zh-CN"/>
              </w:rPr>
              <w:t>）工作</w:t>
            </w:r>
            <w:r>
              <w:rPr>
                <w:rFonts w:hint="eastAsia"/>
                <w:szCs w:val="21"/>
                <w:highlight w:val="none"/>
              </w:rPr>
              <w:t>的，每有1项得2分，最多得6分。</w:t>
            </w:r>
            <w:bookmarkEnd w:id="39"/>
            <w:r>
              <w:rPr>
                <w:rFonts w:hint="eastAsia"/>
                <w:szCs w:val="21"/>
                <w:highlight w:val="none"/>
              </w:rPr>
              <w:t>本项满分8分。</w:t>
            </w:r>
          </w:p>
          <w:p w14:paraId="464F8117">
            <w:pPr>
              <w:pStyle w:val="32"/>
              <w:spacing w:before="0" w:after="0" w:line="336" w:lineRule="auto"/>
              <w:rPr>
                <w:rFonts w:hint="eastAsia"/>
                <w:bCs w:val="0"/>
                <w:spacing w:val="0"/>
                <w:kern w:val="2"/>
                <w:sz w:val="21"/>
                <w:szCs w:val="21"/>
                <w:highlight w:val="none"/>
              </w:rPr>
            </w:pPr>
            <w:r>
              <w:rPr>
                <w:rFonts w:hint="eastAsia"/>
                <w:bCs w:val="0"/>
                <w:spacing w:val="0"/>
                <w:kern w:val="2"/>
                <w:sz w:val="21"/>
                <w:szCs w:val="21"/>
                <w:highlight w:val="none"/>
              </w:rPr>
              <w:t>注：</w:t>
            </w:r>
            <w:r>
              <w:rPr>
                <w:rFonts w:hint="eastAsia"/>
                <w:bCs w:val="0"/>
                <w:spacing w:val="0"/>
                <w:kern w:val="2"/>
                <w:sz w:val="21"/>
                <w:szCs w:val="21"/>
                <w:highlight w:val="none"/>
                <w:lang w:val="en-US" w:eastAsia="zh-CN"/>
              </w:rPr>
              <w:t>1.业绩时间</w:t>
            </w:r>
            <w:r>
              <w:rPr>
                <w:rFonts w:hint="eastAsia"/>
                <w:bCs w:val="0"/>
                <w:spacing w:val="0"/>
                <w:kern w:val="2"/>
                <w:sz w:val="21"/>
                <w:szCs w:val="21"/>
                <w:highlight w:val="none"/>
              </w:rPr>
              <w:t>以</w:t>
            </w:r>
            <w:r>
              <w:rPr>
                <w:rFonts w:hint="eastAsia"/>
                <w:bCs w:val="0"/>
                <w:spacing w:val="0"/>
                <w:kern w:val="2"/>
                <w:sz w:val="21"/>
                <w:szCs w:val="21"/>
                <w:highlight w:val="none"/>
                <w:lang w:eastAsia="zh-CN"/>
              </w:rPr>
              <w:t>工可报告（或设计）批复</w:t>
            </w:r>
            <w:r>
              <w:rPr>
                <w:rFonts w:hint="eastAsia"/>
                <w:bCs w:val="0"/>
                <w:spacing w:val="0"/>
                <w:kern w:val="2"/>
                <w:sz w:val="21"/>
                <w:szCs w:val="21"/>
                <w:highlight w:val="none"/>
              </w:rPr>
              <w:t>时间为准</w:t>
            </w:r>
            <w:r>
              <w:rPr>
                <w:rFonts w:hint="eastAsia"/>
                <w:bCs w:val="0"/>
                <w:spacing w:val="0"/>
                <w:kern w:val="2"/>
                <w:sz w:val="21"/>
                <w:szCs w:val="21"/>
                <w:highlight w:val="none"/>
                <w:lang w:eastAsia="zh-CN"/>
              </w:rPr>
              <w:t>；</w:t>
            </w:r>
            <w:r>
              <w:rPr>
                <w:rFonts w:hint="eastAsia"/>
                <w:bCs w:val="0"/>
                <w:spacing w:val="0"/>
                <w:kern w:val="2"/>
                <w:sz w:val="21"/>
                <w:szCs w:val="21"/>
                <w:highlight w:val="none"/>
                <w:lang w:val="en-US" w:eastAsia="zh-CN"/>
              </w:rPr>
              <w:t>2.</w:t>
            </w:r>
            <w:r>
              <w:rPr>
                <w:rFonts w:hint="eastAsia"/>
                <w:bCs w:val="0"/>
                <w:spacing w:val="0"/>
                <w:kern w:val="2"/>
                <w:sz w:val="21"/>
                <w:szCs w:val="21"/>
                <w:highlight w:val="none"/>
              </w:rPr>
              <w:t>业绩需提供合同复印件</w:t>
            </w:r>
            <w:r>
              <w:rPr>
                <w:rFonts w:hint="eastAsia"/>
                <w:bCs w:val="0"/>
                <w:spacing w:val="0"/>
                <w:kern w:val="2"/>
                <w:sz w:val="21"/>
                <w:szCs w:val="21"/>
                <w:highlight w:val="none"/>
                <w:lang w:eastAsia="zh-CN"/>
              </w:rPr>
              <w:t>、工可报告（或设计文件）签字扉页</w:t>
            </w:r>
            <w:r>
              <w:rPr>
                <w:rFonts w:hint="eastAsia"/>
                <w:bCs w:val="0"/>
                <w:spacing w:val="0"/>
                <w:kern w:val="2"/>
                <w:sz w:val="21"/>
                <w:szCs w:val="21"/>
                <w:highlight w:val="none"/>
              </w:rPr>
              <w:t>和</w:t>
            </w:r>
            <w:r>
              <w:rPr>
                <w:rFonts w:hint="eastAsia"/>
                <w:bCs w:val="0"/>
                <w:spacing w:val="0"/>
                <w:kern w:val="2"/>
                <w:sz w:val="21"/>
                <w:szCs w:val="21"/>
                <w:highlight w:val="none"/>
                <w:lang w:eastAsia="zh-CN"/>
              </w:rPr>
              <w:t>批复文件复印件</w:t>
            </w:r>
            <w:r>
              <w:rPr>
                <w:rFonts w:hint="eastAsia"/>
                <w:bCs w:val="0"/>
                <w:spacing w:val="0"/>
                <w:kern w:val="2"/>
                <w:sz w:val="21"/>
                <w:szCs w:val="21"/>
                <w:highlight w:val="none"/>
              </w:rPr>
              <w:t>作为评审依据，证明材料均加盖公章</w:t>
            </w:r>
            <w:r>
              <w:rPr>
                <w:rFonts w:hint="eastAsia"/>
                <w:kern w:val="2"/>
                <w:sz w:val="21"/>
                <w:szCs w:val="21"/>
                <w:highlight w:val="none"/>
              </w:rPr>
              <w:t>，未按要求提供相关证明材料的不得分</w:t>
            </w:r>
            <w:r>
              <w:rPr>
                <w:rFonts w:hint="eastAsia"/>
                <w:bCs w:val="0"/>
                <w:spacing w:val="0"/>
                <w:kern w:val="2"/>
                <w:sz w:val="21"/>
                <w:szCs w:val="21"/>
                <w:highlight w:val="none"/>
              </w:rPr>
              <w:t>。</w:t>
            </w:r>
          </w:p>
          <w:p w14:paraId="4C88D3B6">
            <w:pPr>
              <w:pStyle w:val="32"/>
              <w:spacing w:before="0" w:after="0" w:line="336" w:lineRule="auto"/>
              <w:rPr>
                <w:bCs w:val="0"/>
                <w:spacing w:val="0"/>
                <w:kern w:val="2"/>
                <w:sz w:val="21"/>
                <w:szCs w:val="21"/>
                <w:highlight w:val="none"/>
              </w:rPr>
            </w:pPr>
            <w:r>
              <w:rPr>
                <w:rFonts w:hint="eastAsia"/>
                <w:bCs w:val="0"/>
                <w:spacing w:val="0"/>
                <w:kern w:val="2"/>
                <w:sz w:val="21"/>
                <w:szCs w:val="21"/>
                <w:highlight w:val="none"/>
              </w:rPr>
              <w:t>3</w:t>
            </w:r>
            <w:r>
              <w:rPr>
                <w:rFonts w:hint="eastAsia"/>
                <w:bCs w:val="0"/>
                <w:spacing w:val="0"/>
                <w:kern w:val="2"/>
                <w:sz w:val="21"/>
                <w:szCs w:val="21"/>
                <w:highlight w:val="none"/>
                <w:lang w:val="en-US" w:eastAsia="zh-CN"/>
              </w:rPr>
              <w:t>.</w:t>
            </w:r>
            <w:r>
              <w:rPr>
                <w:rFonts w:hint="eastAsia"/>
                <w:bCs w:val="0"/>
                <w:spacing w:val="0"/>
                <w:kern w:val="2"/>
                <w:sz w:val="21"/>
                <w:szCs w:val="21"/>
                <w:highlight w:val="none"/>
              </w:rPr>
              <w:t>拟投入人员（测量负责人和</w:t>
            </w:r>
            <w:bookmarkStart w:id="40" w:name="OLE_LINK20"/>
            <w:r>
              <w:rPr>
                <w:rFonts w:hint="eastAsia"/>
                <w:bCs w:val="0"/>
                <w:spacing w:val="0"/>
                <w:kern w:val="2"/>
                <w:sz w:val="21"/>
                <w:szCs w:val="21"/>
                <w:highlight w:val="none"/>
                <w:lang w:eastAsia="zh-CN"/>
              </w:rPr>
              <w:t>工程可行性研究</w:t>
            </w:r>
            <w:r>
              <w:rPr>
                <w:rFonts w:hint="eastAsia"/>
                <w:bCs w:val="0"/>
                <w:spacing w:val="0"/>
                <w:kern w:val="2"/>
                <w:sz w:val="21"/>
                <w:szCs w:val="21"/>
                <w:highlight w:val="none"/>
              </w:rPr>
              <w:t>负责人</w:t>
            </w:r>
            <w:bookmarkEnd w:id="40"/>
            <w:r>
              <w:rPr>
                <w:rFonts w:hint="eastAsia"/>
                <w:bCs w:val="0"/>
                <w:spacing w:val="0"/>
                <w:kern w:val="2"/>
                <w:sz w:val="21"/>
                <w:szCs w:val="21"/>
                <w:highlight w:val="none"/>
              </w:rPr>
              <w:t>之外）中</w:t>
            </w:r>
            <w:r>
              <w:rPr>
                <w:rFonts w:hint="eastAsia"/>
                <w:bCs w:val="0"/>
                <w:spacing w:val="0"/>
                <w:kern w:val="2"/>
                <w:sz w:val="21"/>
                <w:szCs w:val="21"/>
                <w:highlight w:val="none"/>
                <w:lang w:eastAsia="zh-CN"/>
              </w:rPr>
              <w:t>，</w:t>
            </w:r>
            <w:r>
              <w:rPr>
                <w:rFonts w:hint="eastAsia"/>
                <w:bCs w:val="0"/>
                <w:spacing w:val="0"/>
                <w:kern w:val="2"/>
                <w:sz w:val="21"/>
                <w:szCs w:val="21"/>
                <w:highlight w:val="none"/>
              </w:rPr>
              <w:t>具有高级职称</w:t>
            </w:r>
            <w:r>
              <w:rPr>
                <w:rFonts w:hint="eastAsia"/>
                <w:bCs w:val="0"/>
                <w:spacing w:val="0"/>
                <w:kern w:val="2"/>
                <w:sz w:val="21"/>
                <w:szCs w:val="21"/>
                <w:highlight w:val="none"/>
                <w:lang w:eastAsia="zh-CN"/>
              </w:rPr>
              <w:t>，同时具有</w:t>
            </w:r>
            <w:r>
              <w:rPr>
                <w:rFonts w:hint="eastAsia"/>
                <w:bCs w:val="0"/>
                <w:spacing w:val="0"/>
                <w:kern w:val="2"/>
                <w:sz w:val="21"/>
                <w:szCs w:val="21"/>
                <w:highlight w:val="none"/>
              </w:rPr>
              <w:t>注册测绘师或</w:t>
            </w:r>
            <w:bookmarkStart w:id="41" w:name="OLE_LINK17"/>
            <w:r>
              <w:rPr>
                <w:rFonts w:hint="eastAsia"/>
                <w:bCs w:val="0"/>
                <w:spacing w:val="0"/>
                <w:kern w:val="2"/>
                <w:sz w:val="21"/>
                <w:szCs w:val="21"/>
                <w:highlight w:val="none"/>
              </w:rPr>
              <w:t>注册咨询工程师（水运（港口河海工程）专业）</w:t>
            </w:r>
            <w:bookmarkEnd w:id="41"/>
            <w:r>
              <w:rPr>
                <w:rFonts w:hint="eastAsia"/>
                <w:bCs w:val="0"/>
                <w:spacing w:val="0"/>
                <w:kern w:val="2"/>
                <w:sz w:val="21"/>
                <w:szCs w:val="21"/>
                <w:highlight w:val="none"/>
              </w:rPr>
              <w:t>证书的</w:t>
            </w:r>
            <w:r>
              <w:rPr>
                <w:rFonts w:hint="eastAsia"/>
                <w:bCs w:val="0"/>
                <w:spacing w:val="0"/>
                <w:kern w:val="2"/>
                <w:sz w:val="21"/>
                <w:szCs w:val="21"/>
                <w:highlight w:val="none"/>
                <w:lang w:eastAsia="zh-CN"/>
              </w:rPr>
              <w:t>，</w:t>
            </w:r>
            <w:r>
              <w:rPr>
                <w:rFonts w:hint="eastAsia"/>
                <w:bCs w:val="0"/>
                <w:spacing w:val="0"/>
                <w:kern w:val="2"/>
                <w:sz w:val="21"/>
                <w:szCs w:val="21"/>
                <w:highlight w:val="none"/>
              </w:rPr>
              <w:t>每人得2分</w:t>
            </w:r>
            <w:r>
              <w:rPr>
                <w:rFonts w:hint="eastAsia"/>
                <w:bCs w:val="0"/>
                <w:spacing w:val="0"/>
                <w:kern w:val="2"/>
                <w:sz w:val="21"/>
                <w:szCs w:val="21"/>
                <w:highlight w:val="none"/>
                <w:lang w:eastAsia="zh-CN"/>
              </w:rPr>
              <w:t>；</w:t>
            </w:r>
            <w:r>
              <w:rPr>
                <w:rFonts w:hint="eastAsia"/>
                <w:bCs w:val="0"/>
                <w:spacing w:val="0"/>
                <w:kern w:val="2"/>
                <w:sz w:val="21"/>
                <w:szCs w:val="21"/>
                <w:highlight w:val="none"/>
              </w:rPr>
              <w:t>具有中级职称</w:t>
            </w:r>
            <w:r>
              <w:rPr>
                <w:rFonts w:hint="eastAsia"/>
                <w:bCs w:val="0"/>
                <w:spacing w:val="0"/>
                <w:kern w:val="2"/>
                <w:sz w:val="21"/>
                <w:szCs w:val="21"/>
                <w:highlight w:val="none"/>
                <w:lang w:eastAsia="zh-CN"/>
              </w:rPr>
              <w:t>，同时具有</w:t>
            </w:r>
            <w:r>
              <w:rPr>
                <w:rFonts w:hint="eastAsia"/>
                <w:bCs w:val="0"/>
                <w:spacing w:val="0"/>
                <w:kern w:val="2"/>
                <w:sz w:val="21"/>
                <w:szCs w:val="21"/>
                <w:highlight w:val="none"/>
              </w:rPr>
              <w:t>注册测绘师或注册咨询工程师（水运（港口河海工程）专业）证书的</w:t>
            </w:r>
            <w:r>
              <w:rPr>
                <w:rFonts w:hint="eastAsia"/>
                <w:bCs w:val="0"/>
                <w:spacing w:val="0"/>
                <w:kern w:val="2"/>
                <w:sz w:val="21"/>
                <w:szCs w:val="21"/>
                <w:highlight w:val="none"/>
                <w:lang w:eastAsia="zh-CN"/>
              </w:rPr>
              <w:t>，</w:t>
            </w:r>
            <w:r>
              <w:rPr>
                <w:rFonts w:hint="eastAsia"/>
                <w:bCs w:val="0"/>
                <w:spacing w:val="0"/>
                <w:kern w:val="2"/>
                <w:sz w:val="21"/>
                <w:szCs w:val="21"/>
                <w:highlight w:val="none"/>
              </w:rPr>
              <w:t>每人得1分</w:t>
            </w:r>
            <w:r>
              <w:rPr>
                <w:rFonts w:hint="eastAsia"/>
                <w:bCs w:val="0"/>
                <w:spacing w:val="0"/>
                <w:kern w:val="2"/>
                <w:sz w:val="21"/>
                <w:szCs w:val="21"/>
                <w:highlight w:val="none"/>
                <w:lang w:eastAsia="zh-CN"/>
              </w:rPr>
              <w:t>；本项</w:t>
            </w:r>
            <w:r>
              <w:rPr>
                <w:rFonts w:hint="eastAsia"/>
                <w:bCs w:val="0"/>
                <w:spacing w:val="0"/>
                <w:kern w:val="2"/>
                <w:sz w:val="21"/>
                <w:szCs w:val="21"/>
                <w:highlight w:val="none"/>
              </w:rPr>
              <w:t>满分10分。</w:t>
            </w:r>
          </w:p>
          <w:p w14:paraId="4D88D1C8">
            <w:pPr>
              <w:pStyle w:val="32"/>
              <w:spacing w:before="0" w:after="0" w:line="336" w:lineRule="auto"/>
              <w:rPr>
                <w:sz w:val="21"/>
                <w:szCs w:val="21"/>
                <w:highlight w:val="none"/>
              </w:rPr>
            </w:pPr>
            <w:r>
              <w:rPr>
                <w:rFonts w:hint="eastAsia"/>
                <w:bCs w:val="0"/>
                <w:spacing w:val="0"/>
                <w:kern w:val="2"/>
                <w:sz w:val="21"/>
                <w:szCs w:val="21"/>
                <w:highlight w:val="none"/>
              </w:rPr>
              <w:t>注：同一人员不重复计分。</w:t>
            </w:r>
            <w:r>
              <w:rPr>
                <w:rFonts w:hint="eastAsia"/>
                <w:bCs w:val="0"/>
                <w:spacing w:val="0"/>
                <w:kern w:val="2"/>
                <w:sz w:val="21"/>
                <w:szCs w:val="21"/>
                <w:highlight w:val="none"/>
                <w:lang w:eastAsia="zh-CN"/>
              </w:rPr>
              <w:t>需</w:t>
            </w:r>
            <w:r>
              <w:rPr>
                <w:rFonts w:hint="eastAsia"/>
                <w:bCs w:val="0"/>
                <w:spacing w:val="0"/>
                <w:kern w:val="2"/>
                <w:sz w:val="21"/>
                <w:szCs w:val="21"/>
                <w:highlight w:val="none"/>
              </w:rPr>
              <w:t>提供职称证书</w:t>
            </w:r>
            <w:r>
              <w:rPr>
                <w:rFonts w:hint="eastAsia"/>
                <w:bCs w:val="0"/>
                <w:spacing w:val="0"/>
                <w:kern w:val="2"/>
                <w:sz w:val="21"/>
                <w:szCs w:val="21"/>
                <w:highlight w:val="none"/>
                <w:lang w:eastAsia="zh-CN"/>
              </w:rPr>
              <w:t>、注册资格证书</w:t>
            </w:r>
            <w:r>
              <w:rPr>
                <w:rFonts w:hint="eastAsia"/>
                <w:bCs w:val="0"/>
                <w:spacing w:val="0"/>
                <w:kern w:val="2"/>
                <w:sz w:val="21"/>
                <w:szCs w:val="21"/>
                <w:highlight w:val="none"/>
              </w:rPr>
              <w:t>复印件作为评审依据，证明材料均需加盖公章</w:t>
            </w:r>
            <w:r>
              <w:rPr>
                <w:rFonts w:hint="eastAsia"/>
                <w:kern w:val="2"/>
                <w:sz w:val="21"/>
                <w:szCs w:val="21"/>
                <w:highlight w:val="none"/>
              </w:rPr>
              <w:t>，未按要求提供相关证明材料的不得分</w:t>
            </w:r>
            <w:r>
              <w:rPr>
                <w:rFonts w:hint="eastAsia"/>
                <w:bCs w:val="0"/>
                <w:spacing w:val="0"/>
                <w:kern w:val="2"/>
                <w:sz w:val="21"/>
                <w:szCs w:val="21"/>
                <w:highlight w:val="none"/>
              </w:rPr>
              <w:t>。</w:t>
            </w:r>
          </w:p>
        </w:tc>
      </w:tr>
      <w:tr w14:paraId="7AE94F1D">
        <w:tblPrEx>
          <w:tblCellMar>
            <w:top w:w="28" w:type="dxa"/>
            <w:left w:w="28" w:type="dxa"/>
            <w:bottom w:w="28" w:type="dxa"/>
            <w:right w:w="28" w:type="dxa"/>
          </w:tblCellMar>
        </w:tblPrEx>
        <w:trPr>
          <w:trHeight w:val="2893" w:hRule="atLeast"/>
          <w:jc w:val="center"/>
        </w:trPr>
        <w:tc>
          <w:tcPr>
            <w:tcW w:w="592" w:type="dxa"/>
            <w:tcBorders>
              <w:top w:val="single" w:color="auto" w:sz="4" w:space="0"/>
              <w:left w:val="single" w:color="000000" w:sz="4" w:space="0"/>
              <w:bottom w:val="single" w:color="auto" w:sz="4" w:space="0"/>
              <w:right w:val="single" w:color="auto" w:sz="4" w:space="0"/>
            </w:tcBorders>
            <w:vAlign w:val="center"/>
          </w:tcPr>
          <w:p w14:paraId="290BA05C">
            <w:pPr>
              <w:spacing w:line="336" w:lineRule="auto"/>
              <w:jc w:val="center"/>
              <w:rPr>
                <w:rFonts w:hint="eastAsia" w:ascii="宋体" w:hAnsi="宋体" w:cs="宋体"/>
                <w:szCs w:val="21"/>
                <w:highlight w:val="none"/>
              </w:rPr>
            </w:pPr>
            <w:r>
              <w:rPr>
                <w:rFonts w:hint="eastAsia" w:ascii="宋体" w:hAnsi="宋体" w:cs="宋体"/>
                <w:szCs w:val="21"/>
                <w:highlight w:val="none"/>
              </w:rPr>
              <w:t>四</w:t>
            </w:r>
          </w:p>
        </w:tc>
        <w:tc>
          <w:tcPr>
            <w:tcW w:w="1671" w:type="dxa"/>
            <w:tcBorders>
              <w:top w:val="single" w:color="000000" w:sz="4" w:space="0"/>
              <w:left w:val="single" w:color="auto" w:sz="4" w:space="0"/>
              <w:bottom w:val="single" w:color="000000" w:sz="4" w:space="0"/>
              <w:right w:val="single" w:color="000000" w:sz="4" w:space="0"/>
            </w:tcBorders>
            <w:vAlign w:val="center"/>
          </w:tcPr>
          <w:p w14:paraId="3E13AA89">
            <w:pPr>
              <w:widowControl/>
              <w:spacing w:line="336" w:lineRule="auto"/>
              <w:jc w:val="center"/>
              <w:textAlignment w:val="center"/>
              <w:rPr>
                <w:rFonts w:hint="eastAsia" w:ascii="宋体" w:hAnsi="宋体" w:cs="宋体"/>
                <w:szCs w:val="21"/>
                <w:highlight w:val="none"/>
              </w:rPr>
            </w:pPr>
            <w:r>
              <w:rPr>
                <w:rFonts w:hint="eastAsia" w:ascii="宋体" w:hAnsi="宋体" w:cs="宋体"/>
                <w:szCs w:val="21"/>
                <w:highlight w:val="none"/>
                <w:lang w:eastAsia="zh-CN"/>
              </w:rPr>
              <w:t>工程可行性研究</w:t>
            </w:r>
            <w:r>
              <w:rPr>
                <w:rFonts w:hint="eastAsia" w:ascii="宋体" w:hAnsi="宋体" w:cs="宋体"/>
                <w:szCs w:val="21"/>
                <w:highlight w:val="none"/>
              </w:rPr>
              <w:t>方案</w:t>
            </w:r>
          </w:p>
          <w:p w14:paraId="13821DB1">
            <w:pPr>
              <w:widowControl/>
              <w:spacing w:line="336" w:lineRule="auto"/>
              <w:jc w:val="center"/>
              <w:textAlignment w:val="center"/>
              <w:rPr>
                <w:rFonts w:hint="eastAsia" w:ascii="宋体" w:hAnsi="宋体" w:cs="宋体"/>
                <w:szCs w:val="21"/>
                <w:highlight w:val="none"/>
              </w:rPr>
            </w:pPr>
            <w:r>
              <w:rPr>
                <w:rFonts w:hint="eastAsia" w:ascii="宋体" w:hAnsi="宋体" w:cs="宋体"/>
                <w:szCs w:val="21"/>
                <w:highlight w:val="none"/>
              </w:rPr>
              <w:t>（满分40分）</w:t>
            </w:r>
          </w:p>
        </w:tc>
        <w:tc>
          <w:tcPr>
            <w:tcW w:w="6855" w:type="dxa"/>
            <w:tcBorders>
              <w:top w:val="single" w:color="000000" w:sz="4" w:space="0"/>
              <w:left w:val="single" w:color="000000" w:sz="4" w:space="0"/>
              <w:bottom w:val="single" w:color="000000" w:sz="4" w:space="0"/>
              <w:right w:val="single" w:color="000000" w:sz="4" w:space="0"/>
            </w:tcBorders>
            <w:vAlign w:val="center"/>
          </w:tcPr>
          <w:p w14:paraId="01B9D391">
            <w:pPr>
              <w:widowControl/>
              <w:spacing w:line="336" w:lineRule="auto"/>
              <w:textAlignment w:val="center"/>
              <w:rPr>
                <w:rFonts w:hint="eastAsia" w:ascii="宋体" w:hAnsi="宋体" w:cs="宋体"/>
                <w:b/>
                <w:szCs w:val="21"/>
                <w:highlight w:val="none"/>
              </w:rPr>
            </w:pPr>
            <w:r>
              <w:rPr>
                <w:rFonts w:hint="eastAsia" w:ascii="宋体" w:hAnsi="宋体" w:cs="宋体"/>
                <w:b/>
                <w:szCs w:val="21"/>
                <w:highlight w:val="none"/>
              </w:rPr>
              <w:t>优：</w:t>
            </w:r>
            <w:r>
              <w:rPr>
                <w:rFonts w:hint="eastAsia" w:ascii="宋体" w:hAnsi="宋体" w:cs="宋体"/>
                <w:bCs/>
                <w:szCs w:val="21"/>
                <w:highlight w:val="none"/>
              </w:rPr>
              <w:t>工作思路清晰，内容</w:t>
            </w:r>
            <w:r>
              <w:rPr>
                <w:rFonts w:hint="eastAsia" w:ascii="宋体" w:hAnsi="宋体" w:cs="宋体"/>
                <w:bCs/>
                <w:szCs w:val="21"/>
                <w:highlight w:val="none"/>
                <w:lang w:eastAsia="zh-CN"/>
              </w:rPr>
              <w:t>全面</w:t>
            </w:r>
            <w:r>
              <w:rPr>
                <w:rFonts w:hint="eastAsia" w:ascii="宋体" w:hAnsi="宋体" w:cs="宋体"/>
                <w:bCs/>
                <w:szCs w:val="21"/>
                <w:highlight w:val="none"/>
              </w:rPr>
              <w:t>详实，对本项目重点</w:t>
            </w:r>
            <w:r>
              <w:rPr>
                <w:rFonts w:hint="eastAsia" w:ascii="宋体" w:hAnsi="宋体" w:cs="宋体"/>
                <w:bCs/>
                <w:szCs w:val="21"/>
                <w:highlight w:val="none"/>
                <w:lang w:eastAsia="zh-CN"/>
              </w:rPr>
              <w:t>男</w:t>
            </w:r>
            <w:r>
              <w:rPr>
                <w:rFonts w:hint="eastAsia" w:ascii="宋体" w:hAnsi="宋体" w:cs="宋体"/>
                <w:bCs/>
                <w:szCs w:val="21"/>
                <w:highlight w:val="none"/>
              </w:rPr>
              <w:t>点分析准确到位，进度计划安排合理，各阶段工作安排得当，</w:t>
            </w:r>
            <w:r>
              <w:rPr>
                <w:rFonts w:hint="eastAsia" w:ascii="宋体" w:hAnsi="宋体" w:cs="宋体"/>
                <w:bCs/>
                <w:szCs w:val="21"/>
                <w:highlight w:val="none"/>
                <w:lang w:eastAsia="zh-CN"/>
              </w:rPr>
              <w:t>质量、</w:t>
            </w:r>
            <w:r>
              <w:rPr>
                <w:rFonts w:hint="eastAsia" w:ascii="宋体" w:hAnsi="宋体" w:cs="宋体"/>
                <w:bCs/>
                <w:szCs w:val="21"/>
                <w:highlight w:val="none"/>
              </w:rPr>
              <w:t>进度</w:t>
            </w:r>
            <w:r>
              <w:rPr>
                <w:rFonts w:hint="eastAsia" w:ascii="宋体" w:hAnsi="宋体" w:cs="宋体"/>
                <w:bCs/>
                <w:szCs w:val="21"/>
                <w:highlight w:val="none"/>
                <w:lang w:eastAsia="zh-CN"/>
              </w:rPr>
              <w:t>保障</w:t>
            </w:r>
            <w:r>
              <w:rPr>
                <w:rFonts w:hint="eastAsia" w:ascii="宋体" w:hAnsi="宋体" w:cs="宋体"/>
                <w:bCs/>
                <w:szCs w:val="21"/>
                <w:highlight w:val="none"/>
              </w:rPr>
              <w:t>措施合理、可行，针对性强，能很好地满足采购需求（33.6-40分）；</w:t>
            </w:r>
          </w:p>
          <w:p w14:paraId="50F600FF">
            <w:pPr>
              <w:widowControl/>
              <w:spacing w:line="336" w:lineRule="auto"/>
              <w:textAlignment w:val="center"/>
              <w:rPr>
                <w:rFonts w:hint="eastAsia" w:ascii="宋体" w:hAnsi="宋体" w:cs="宋体"/>
                <w:b/>
                <w:szCs w:val="21"/>
                <w:highlight w:val="none"/>
              </w:rPr>
            </w:pPr>
            <w:r>
              <w:rPr>
                <w:rFonts w:hint="eastAsia" w:ascii="宋体" w:hAnsi="宋体" w:cs="宋体"/>
                <w:b/>
                <w:szCs w:val="21"/>
                <w:highlight w:val="none"/>
              </w:rPr>
              <w:t>良：</w:t>
            </w:r>
            <w:r>
              <w:rPr>
                <w:rFonts w:hint="eastAsia" w:ascii="宋体" w:hAnsi="宋体" w:cs="宋体"/>
                <w:bCs/>
                <w:szCs w:val="21"/>
                <w:highlight w:val="none"/>
              </w:rPr>
              <w:t>工作思路较清晰，内容较详实，对本项目重点</w:t>
            </w:r>
            <w:r>
              <w:rPr>
                <w:rFonts w:hint="eastAsia" w:ascii="宋体" w:hAnsi="宋体" w:cs="宋体"/>
                <w:bCs/>
                <w:szCs w:val="21"/>
                <w:highlight w:val="none"/>
                <w:lang w:eastAsia="zh-CN"/>
              </w:rPr>
              <w:t>难</w:t>
            </w:r>
            <w:r>
              <w:rPr>
                <w:rFonts w:hint="eastAsia" w:ascii="宋体" w:hAnsi="宋体" w:cs="宋体"/>
                <w:bCs/>
                <w:szCs w:val="21"/>
                <w:highlight w:val="none"/>
              </w:rPr>
              <w:t>点分析比较准确到位，进度计划安排较合理，提出的工作保障措施可行、针对性较强，满足采购需求（26.8-33.5分）；</w:t>
            </w:r>
          </w:p>
          <w:p w14:paraId="08910DA2">
            <w:pPr>
              <w:widowControl/>
              <w:spacing w:line="336" w:lineRule="auto"/>
              <w:textAlignment w:val="center"/>
              <w:rPr>
                <w:rFonts w:hint="eastAsia" w:ascii="宋体" w:hAnsi="宋体" w:cs="宋体"/>
                <w:b/>
                <w:szCs w:val="21"/>
                <w:highlight w:val="none"/>
              </w:rPr>
            </w:pPr>
            <w:r>
              <w:rPr>
                <w:rFonts w:hint="eastAsia" w:ascii="宋体" w:hAnsi="宋体" w:cs="宋体"/>
                <w:b/>
                <w:szCs w:val="21"/>
                <w:highlight w:val="none"/>
              </w:rPr>
              <w:t>中：</w:t>
            </w:r>
            <w:r>
              <w:rPr>
                <w:rFonts w:hint="eastAsia" w:ascii="宋体" w:hAnsi="宋体" w:cs="宋体"/>
                <w:bCs/>
                <w:szCs w:val="21"/>
                <w:highlight w:val="none"/>
              </w:rPr>
              <w:t>工作思路基本清晰，内容基本详实，对本项目重点要点分析基本准确到位，进度计划工期安排一般，提出的工作保障措施基本可行、针对性一般，基本满足采购需求（20.1-26.7分）；</w:t>
            </w:r>
          </w:p>
          <w:p w14:paraId="3FC4C5E9">
            <w:pPr>
              <w:widowControl/>
              <w:spacing w:line="336" w:lineRule="auto"/>
              <w:textAlignment w:val="center"/>
              <w:rPr>
                <w:rFonts w:hint="eastAsia" w:ascii="宋体" w:hAnsi="宋体" w:cs="宋体"/>
                <w:b/>
                <w:szCs w:val="21"/>
                <w:highlight w:val="none"/>
              </w:rPr>
            </w:pPr>
            <w:r>
              <w:rPr>
                <w:rFonts w:hint="eastAsia" w:ascii="宋体" w:hAnsi="宋体" w:cs="宋体"/>
                <w:b/>
                <w:szCs w:val="21"/>
                <w:highlight w:val="none"/>
              </w:rPr>
              <w:t>差：服务方案不能满足采购需求（0-20分）。</w:t>
            </w:r>
          </w:p>
        </w:tc>
      </w:tr>
      <w:tr w14:paraId="346505A9">
        <w:tblPrEx>
          <w:tblCellMar>
            <w:top w:w="28" w:type="dxa"/>
            <w:left w:w="28" w:type="dxa"/>
            <w:bottom w:w="28" w:type="dxa"/>
            <w:right w:w="28" w:type="dxa"/>
          </w:tblCellMar>
        </w:tblPrEx>
        <w:trPr>
          <w:trHeight w:val="589" w:hRule="atLeast"/>
          <w:jc w:val="center"/>
        </w:trPr>
        <w:tc>
          <w:tcPr>
            <w:tcW w:w="592" w:type="dxa"/>
            <w:tcBorders>
              <w:top w:val="single" w:color="auto" w:sz="4" w:space="0"/>
              <w:left w:val="single" w:color="000000" w:sz="4" w:space="0"/>
              <w:bottom w:val="single" w:color="auto" w:sz="4" w:space="0"/>
              <w:right w:val="single" w:color="auto" w:sz="4" w:space="0"/>
            </w:tcBorders>
            <w:vAlign w:val="center"/>
          </w:tcPr>
          <w:p w14:paraId="638CF2B6">
            <w:pPr>
              <w:widowControl/>
              <w:spacing w:line="336" w:lineRule="auto"/>
              <w:jc w:val="center"/>
              <w:textAlignment w:val="center"/>
              <w:rPr>
                <w:rFonts w:hint="eastAsia" w:ascii="宋体" w:hAnsi="宋体" w:cs="宋体"/>
                <w:szCs w:val="21"/>
                <w:highlight w:val="none"/>
              </w:rPr>
            </w:pPr>
            <w:r>
              <w:rPr>
                <w:rFonts w:hint="eastAsia" w:ascii="宋体" w:hAnsi="宋体" w:cs="宋体"/>
                <w:szCs w:val="21"/>
                <w:highlight w:val="none"/>
              </w:rPr>
              <w:t>五</w:t>
            </w:r>
          </w:p>
        </w:tc>
        <w:tc>
          <w:tcPr>
            <w:tcW w:w="8526" w:type="dxa"/>
            <w:gridSpan w:val="2"/>
            <w:tcBorders>
              <w:top w:val="single" w:color="000000" w:sz="4" w:space="0"/>
              <w:left w:val="single" w:color="auto" w:sz="4" w:space="0"/>
              <w:bottom w:val="single" w:color="000000" w:sz="4" w:space="0"/>
              <w:right w:val="single" w:color="000000" w:sz="4" w:space="0"/>
            </w:tcBorders>
            <w:vAlign w:val="center"/>
          </w:tcPr>
          <w:p w14:paraId="31480E9A">
            <w:pPr>
              <w:widowControl/>
              <w:spacing w:line="336" w:lineRule="auto"/>
              <w:textAlignment w:val="center"/>
              <w:rPr>
                <w:rFonts w:hint="eastAsia" w:ascii="宋体" w:hAnsi="宋体" w:cs="宋体"/>
                <w:szCs w:val="21"/>
                <w:highlight w:val="none"/>
              </w:rPr>
            </w:pPr>
            <w:r>
              <w:rPr>
                <w:rFonts w:hint="eastAsia" w:ascii="宋体" w:hAnsi="宋体" w:cs="宋体"/>
                <w:szCs w:val="21"/>
                <w:highlight w:val="none"/>
              </w:rPr>
              <w:t>总分=价格分+业绩分+人员配置分+服务方案分</w:t>
            </w:r>
          </w:p>
        </w:tc>
      </w:tr>
    </w:tbl>
    <w:p w14:paraId="2296E476">
      <w:pPr>
        <w:spacing w:line="360" w:lineRule="auto"/>
        <w:ind w:firstLine="420" w:firstLineChars="200"/>
        <w:rPr>
          <w:rFonts w:hint="eastAsia" w:ascii="宋体" w:hAnsi="宋体"/>
          <w:bCs/>
          <w:szCs w:val="21"/>
          <w:highlight w:val="none"/>
        </w:rPr>
      </w:pPr>
    </w:p>
    <w:p w14:paraId="11C741F6">
      <w:pPr>
        <w:rPr>
          <w:highlight w:val="none"/>
        </w:rPr>
      </w:pPr>
      <w:r>
        <w:rPr>
          <w:rFonts w:hint="eastAsia"/>
          <w:highlight w:val="none"/>
        </w:rPr>
        <w:br w:type="page"/>
      </w:r>
    </w:p>
    <w:p w14:paraId="243A2B99">
      <w:pPr>
        <w:pStyle w:val="10"/>
        <w:rPr>
          <w:highlight w:val="none"/>
        </w:rPr>
      </w:pPr>
    </w:p>
    <w:p w14:paraId="66A74D05">
      <w:pPr>
        <w:rPr>
          <w:highlight w:val="none"/>
        </w:rPr>
      </w:pPr>
    </w:p>
    <w:p w14:paraId="3B429AC0">
      <w:pPr>
        <w:pStyle w:val="2"/>
        <w:spacing w:before="0" w:after="0" w:line="579" w:lineRule="auto"/>
        <w:jc w:val="center"/>
        <w:rPr>
          <w:sz w:val="28"/>
          <w:szCs w:val="28"/>
          <w:highlight w:val="none"/>
        </w:rPr>
      </w:pPr>
      <w:bookmarkStart w:id="42" w:name="_Toc5116"/>
      <w:bookmarkStart w:id="43" w:name="_Toc31993"/>
      <w:bookmarkStart w:id="44" w:name="_Toc29925"/>
      <w:r>
        <w:rPr>
          <w:rFonts w:hint="eastAsia"/>
          <w:sz w:val="28"/>
          <w:szCs w:val="28"/>
          <w:highlight w:val="none"/>
        </w:rPr>
        <w:t>第五章 响应文件格式</w:t>
      </w:r>
      <w:bookmarkEnd w:id="42"/>
      <w:bookmarkEnd w:id="43"/>
      <w:bookmarkEnd w:id="44"/>
    </w:p>
    <w:p w14:paraId="221E7559">
      <w:pPr>
        <w:spacing w:line="240" w:lineRule="atLeast"/>
        <w:rPr>
          <w:rFonts w:hint="eastAsia" w:ascii="仿宋_GB2312" w:hAnsi="仿宋_GB2312" w:eastAsia="仿宋_GB2312" w:cs="仿宋_GB2312"/>
          <w:bCs/>
          <w:sz w:val="32"/>
          <w:szCs w:val="32"/>
          <w:highlight w:val="none"/>
        </w:rPr>
      </w:pPr>
    </w:p>
    <w:p w14:paraId="0588A915">
      <w:pPr>
        <w:snapToGrid w:val="0"/>
        <w:spacing w:before="120" w:beforeLines="50" w:after="50" w:line="360" w:lineRule="auto"/>
        <w:jc w:val="left"/>
        <w:rPr>
          <w:rFonts w:hint="eastAsia" w:ascii="宋体" w:hAnsi="宋体"/>
          <w:b/>
          <w:sz w:val="24"/>
          <w:highlight w:val="none"/>
        </w:rPr>
      </w:pPr>
      <w:bookmarkStart w:id="45" w:name="_Toc44229899"/>
      <w:bookmarkStart w:id="46" w:name="_Toc71365925"/>
      <w:bookmarkStart w:id="47" w:name="_Toc31728084"/>
      <w:bookmarkStart w:id="48" w:name="_Toc31723070"/>
      <w:bookmarkStart w:id="49" w:name="_Toc35611438"/>
      <w:bookmarkStart w:id="50" w:name="_Toc35611516"/>
      <w:r>
        <w:rPr>
          <w:b/>
          <w:sz w:val="32"/>
          <w:szCs w:val="32"/>
          <w:highlight w:val="none"/>
        </w:rPr>
        <w:br w:type="page"/>
      </w:r>
      <w:bookmarkEnd w:id="45"/>
      <w:bookmarkEnd w:id="46"/>
      <w:bookmarkEnd w:id="47"/>
      <w:bookmarkEnd w:id="48"/>
      <w:bookmarkEnd w:id="49"/>
      <w:bookmarkEnd w:id="50"/>
    </w:p>
    <w:p w14:paraId="66CB449F">
      <w:pPr>
        <w:snapToGrid w:val="0"/>
        <w:spacing w:before="120" w:beforeLines="50" w:after="50"/>
        <w:rPr>
          <w:rFonts w:hint="eastAsia" w:ascii="宋体" w:hAnsi="宋体"/>
          <w:bCs/>
          <w:sz w:val="32"/>
          <w:szCs w:val="20"/>
          <w:highlight w:val="none"/>
        </w:rPr>
      </w:pPr>
      <w:r>
        <w:rPr>
          <w:rFonts w:hint="eastAsia" w:ascii="宋体" w:hAnsi="宋体"/>
          <w:sz w:val="24"/>
          <w:highlight w:val="none"/>
        </w:rPr>
        <w:t xml:space="preserve">                                                    </w:t>
      </w:r>
    </w:p>
    <w:p w14:paraId="1F14783B">
      <w:pPr>
        <w:snapToGrid w:val="0"/>
        <w:spacing w:before="120" w:beforeLines="50" w:after="50"/>
        <w:rPr>
          <w:rFonts w:hint="eastAsia" w:ascii="宋体" w:hAnsi="宋体"/>
          <w:sz w:val="24"/>
          <w:szCs w:val="20"/>
          <w:highlight w:val="none"/>
        </w:rPr>
      </w:pPr>
    </w:p>
    <w:p w14:paraId="33DACBC5">
      <w:pPr>
        <w:snapToGrid w:val="0"/>
        <w:spacing w:before="120" w:beforeLines="50" w:after="50"/>
        <w:jc w:val="center"/>
        <w:rPr>
          <w:rFonts w:hint="eastAsia" w:ascii="宋体" w:hAnsi="宋体" w:eastAsia="宋体" w:cs="宋体"/>
          <w:sz w:val="32"/>
          <w:szCs w:val="32"/>
          <w:highlight w:val="none"/>
          <w:lang w:eastAsia="zh-CN"/>
        </w:rPr>
      </w:pPr>
      <w:r>
        <w:rPr>
          <w:rFonts w:hint="eastAsia" w:ascii="宋体" w:hAnsi="宋体" w:cs="宋体"/>
          <w:sz w:val="32"/>
          <w:szCs w:val="32"/>
          <w:highlight w:val="none"/>
          <w:lang w:eastAsia="zh-CN"/>
        </w:rPr>
        <w:t>桂江（莲花大桥至桂江河口）航道扩建工程</w:t>
      </w:r>
      <w:r>
        <w:rPr>
          <w:rFonts w:hint="eastAsia" w:ascii="宋体" w:hAnsi="宋体" w:cs="宋体"/>
          <w:sz w:val="32"/>
          <w:szCs w:val="32"/>
          <w:highlight w:val="none"/>
        </w:rPr>
        <w:t>工程可行性研究</w:t>
      </w:r>
      <w:r>
        <w:rPr>
          <w:rFonts w:hint="eastAsia" w:ascii="宋体" w:hAnsi="宋体" w:cs="宋体"/>
          <w:sz w:val="32"/>
          <w:szCs w:val="32"/>
          <w:highlight w:val="none"/>
          <w:lang w:eastAsia="zh-CN"/>
        </w:rPr>
        <w:t>服务采购项目</w:t>
      </w:r>
    </w:p>
    <w:p w14:paraId="684C2188">
      <w:pPr>
        <w:snapToGrid w:val="0"/>
        <w:spacing w:before="120" w:beforeLines="50" w:after="50"/>
        <w:jc w:val="center"/>
        <w:rPr>
          <w:rFonts w:hint="eastAsia" w:ascii="宋体" w:hAnsi="宋体" w:cs="宋体"/>
          <w:bCs/>
          <w:sz w:val="32"/>
          <w:szCs w:val="32"/>
          <w:highlight w:val="none"/>
        </w:rPr>
      </w:pPr>
    </w:p>
    <w:p w14:paraId="6BC810EA">
      <w:pPr>
        <w:snapToGrid w:val="0"/>
        <w:spacing w:before="120" w:beforeLines="50" w:after="50"/>
        <w:jc w:val="center"/>
        <w:rPr>
          <w:rFonts w:hint="eastAsia" w:ascii="黑体" w:hAnsi="黑体" w:eastAsia="黑体" w:cs="黑体"/>
          <w:bCs/>
          <w:sz w:val="84"/>
          <w:szCs w:val="84"/>
          <w:highlight w:val="none"/>
        </w:rPr>
      </w:pPr>
      <w:r>
        <w:rPr>
          <w:rFonts w:hint="eastAsia" w:ascii="黑体" w:hAnsi="黑体" w:eastAsia="黑体" w:cs="黑体"/>
          <w:bCs/>
          <w:sz w:val="84"/>
          <w:szCs w:val="84"/>
          <w:highlight w:val="none"/>
        </w:rPr>
        <w:t>响 应 文 件</w:t>
      </w:r>
    </w:p>
    <w:p w14:paraId="753DE4BB">
      <w:pPr>
        <w:snapToGrid w:val="0"/>
        <w:spacing w:before="120" w:beforeLines="50" w:after="50"/>
        <w:jc w:val="center"/>
        <w:rPr>
          <w:rFonts w:hint="eastAsia" w:ascii="方正小标宋简体" w:hAnsi="方正小标宋简体" w:eastAsia="方正小标宋简体" w:cs="方正小标宋简体"/>
          <w:bCs/>
          <w:sz w:val="44"/>
          <w:szCs w:val="44"/>
          <w:highlight w:val="none"/>
        </w:rPr>
      </w:pPr>
    </w:p>
    <w:p w14:paraId="627CC05C">
      <w:pPr>
        <w:snapToGrid w:val="0"/>
        <w:spacing w:before="120" w:beforeLines="50" w:after="50"/>
        <w:jc w:val="center"/>
        <w:rPr>
          <w:rFonts w:hint="eastAsia" w:ascii="方正小标宋简体" w:hAnsi="方正小标宋简体" w:eastAsia="方正小标宋简体" w:cs="方正小标宋简体"/>
          <w:bCs/>
          <w:sz w:val="32"/>
          <w:szCs w:val="32"/>
          <w:highlight w:val="none"/>
        </w:rPr>
      </w:pPr>
    </w:p>
    <w:p w14:paraId="66EC6EF3">
      <w:pPr>
        <w:snapToGrid w:val="0"/>
        <w:spacing w:before="120" w:beforeLines="50" w:after="50"/>
        <w:rPr>
          <w:rFonts w:hint="eastAsia" w:ascii="宋体" w:hAnsi="宋体"/>
          <w:bCs/>
          <w:sz w:val="24"/>
          <w:szCs w:val="20"/>
          <w:highlight w:val="none"/>
        </w:rPr>
      </w:pPr>
    </w:p>
    <w:p w14:paraId="17693ED7">
      <w:pPr>
        <w:snapToGrid w:val="0"/>
        <w:spacing w:before="120" w:beforeLines="50" w:after="50"/>
        <w:rPr>
          <w:rFonts w:hint="eastAsia" w:ascii="宋体" w:hAnsi="宋体"/>
          <w:bCs/>
          <w:sz w:val="24"/>
          <w:szCs w:val="20"/>
          <w:highlight w:val="none"/>
        </w:rPr>
      </w:pPr>
    </w:p>
    <w:p w14:paraId="3B9C7A6C">
      <w:pPr>
        <w:snapToGrid w:val="0"/>
        <w:spacing w:before="120" w:beforeLines="50" w:after="50"/>
        <w:rPr>
          <w:rFonts w:hint="eastAsia" w:ascii="宋体" w:hAnsi="宋体"/>
          <w:bCs/>
          <w:sz w:val="24"/>
          <w:szCs w:val="20"/>
          <w:highlight w:val="none"/>
        </w:rPr>
      </w:pPr>
    </w:p>
    <w:p w14:paraId="7D116389">
      <w:pPr>
        <w:snapToGrid w:val="0"/>
        <w:spacing w:before="120" w:beforeLines="50" w:after="50"/>
        <w:ind w:firstLine="640" w:firstLineChars="200"/>
        <w:rPr>
          <w:rFonts w:hint="eastAsia" w:ascii="宋体" w:hAnsi="宋体" w:cs="仿宋_GB2312"/>
          <w:bCs/>
          <w:sz w:val="32"/>
          <w:szCs w:val="32"/>
          <w:highlight w:val="none"/>
        </w:rPr>
      </w:pPr>
    </w:p>
    <w:p w14:paraId="1F248AF6">
      <w:pPr>
        <w:snapToGrid w:val="0"/>
        <w:spacing w:before="120" w:beforeLines="50" w:after="50"/>
        <w:ind w:firstLine="720" w:firstLineChars="225"/>
        <w:rPr>
          <w:rFonts w:hint="eastAsia" w:ascii="宋体" w:hAnsi="宋体" w:cs="仿宋_GB2312"/>
          <w:bCs/>
          <w:sz w:val="32"/>
          <w:szCs w:val="32"/>
          <w:highlight w:val="none"/>
        </w:rPr>
      </w:pPr>
    </w:p>
    <w:p w14:paraId="57F3D383">
      <w:pPr>
        <w:snapToGrid w:val="0"/>
        <w:spacing w:before="120" w:beforeLines="50" w:after="50"/>
        <w:ind w:firstLine="720" w:firstLineChars="225"/>
        <w:rPr>
          <w:rFonts w:hint="eastAsia" w:ascii="宋体" w:hAnsi="宋体" w:cs="仿宋_GB2312"/>
          <w:bCs/>
          <w:sz w:val="32"/>
          <w:szCs w:val="32"/>
          <w:highlight w:val="none"/>
        </w:rPr>
      </w:pPr>
      <w:r>
        <w:rPr>
          <w:rFonts w:hint="eastAsia" w:ascii="宋体" w:hAnsi="宋体" w:cs="仿宋_GB2312"/>
          <w:bCs/>
          <w:sz w:val="32"/>
          <w:szCs w:val="32"/>
          <w:highlight w:val="none"/>
        </w:rPr>
        <w:t>供应商名称：</w:t>
      </w:r>
      <w:r>
        <w:rPr>
          <w:rFonts w:hint="eastAsia" w:ascii="宋体" w:hAnsi="宋体" w:cs="仿宋_GB2312"/>
          <w:bCs/>
          <w:sz w:val="32"/>
          <w:szCs w:val="32"/>
          <w:highlight w:val="none"/>
          <w:u w:val="single"/>
        </w:rPr>
        <w:t xml:space="preserve">                         </w:t>
      </w:r>
      <w:r>
        <w:rPr>
          <w:rFonts w:hint="eastAsia" w:ascii="宋体" w:hAnsi="宋体" w:cs="仿宋_GB2312"/>
          <w:bCs/>
          <w:sz w:val="32"/>
          <w:szCs w:val="32"/>
          <w:highlight w:val="none"/>
        </w:rPr>
        <w:t>（盖单位公章）</w:t>
      </w:r>
    </w:p>
    <w:p w14:paraId="400621C1">
      <w:pPr>
        <w:snapToGrid w:val="0"/>
        <w:spacing w:before="120" w:beforeLines="50" w:after="50"/>
        <w:ind w:firstLine="720" w:firstLineChars="225"/>
        <w:rPr>
          <w:rFonts w:hint="eastAsia" w:ascii="宋体" w:hAnsi="宋体" w:cs="仿宋_GB2312"/>
          <w:bCs/>
          <w:sz w:val="32"/>
          <w:szCs w:val="32"/>
          <w:highlight w:val="none"/>
        </w:rPr>
      </w:pPr>
      <w:r>
        <w:rPr>
          <w:rFonts w:hint="eastAsia" w:ascii="宋体" w:hAnsi="宋体" w:cs="仿宋_GB2312"/>
          <w:bCs/>
          <w:sz w:val="32"/>
          <w:szCs w:val="32"/>
          <w:highlight w:val="none"/>
        </w:rPr>
        <w:t>法定代表人或其委托代理人：</w:t>
      </w:r>
      <w:r>
        <w:rPr>
          <w:rFonts w:hint="eastAsia" w:ascii="宋体" w:hAnsi="宋体" w:cs="仿宋_GB2312"/>
          <w:bCs/>
          <w:sz w:val="32"/>
          <w:szCs w:val="32"/>
          <w:highlight w:val="none"/>
          <w:u w:val="single"/>
        </w:rPr>
        <w:t xml:space="preserve">           </w:t>
      </w:r>
      <w:r>
        <w:rPr>
          <w:rFonts w:hint="eastAsia" w:ascii="宋体" w:hAnsi="宋体" w:cs="仿宋_GB2312"/>
          <w:bCs/>
          <w:sz w:val="32"/>
          <w:szCs w:val="32"/>
          <w:highlight w:val="none"/>
        </w:rPr>
        <w:t>（签字）</w:t>
      </w:r>
    </w:p>
    <w:p w14:paraId="4649C8CC">
      <w:pPr>
        <w:snapToGrid w:val="0"/>
        <w:spacing w:before="120" w:beforeLines="50" w:after="50"/>
        <w:ind w:firstLine="720" w:firstLineChars="225"/>
        <w:rPr>
          <w:rFonts w:hint="eastAsia" w:ascii="宋体" w:hAnsi="宋体" w:cs="仿宋_GB2312"/>
          <w:bCs/>
          <w:sz w:val="32"/>
          <w:szCs w:val="32"/>
          <w:highlight w:val="none"/>
        </w:rPr>
      </w:pPr>
    </w:p>
    <w:p w14:paraId="17A9123A">
      <w:pPr>
        <w:pStyle w:val="5"/>
        <w:snapToGrid w:val="0"/>
        <w:spacing w:before="50" w:after="50"/>
        <w:ind w:firstLine="720" w:firstLineChars="225"/>
        <w:rPr>
          <w:rFonts w:hint="eastAsia" w:ascii="宋体" w:hAnsi="宋体" w:cs="仿宋_GB2312"/>
          <w:bCs/>
          <w:sz w:val="32"/>
          <w:szCs w:val="32"/>
          <w:highlight w:val="none"/>
        </w:rPr>
      </w:pPr>
    </w:p>
    <w:p w14:paraId="4C2D05EC">
      <w:pPr>
        <w:pStyle w:val="5"/>
        <w:snapToGrid w:val="0"/>
        <w:spacing w:before="50" w:after="50"/>
        <w:ind w:firstLine="720" w:firstLineChars="225"/>
        <w:rPr>
          <w:rFonts w:hint="eastAsia" w:ascii="宋体" w:hAnsi="宋体" w:cs="仿宋_GB2312"/>
          <w:bCs/>
          <w:sz w:val="32"/>
          <w:szCs w:val="32"/>
          <w:highlight w:val="none"/>
        </w:rPr>
      </w:pPr>
    </w:p>
    <w:p w14:paraId="76491A2E">
      <w:pPr>
        <w:pStyle w:val="5"/>
        <w:snapToGrid w:val="0"/>
        <w:spacing w:before="50" w:after="50"/>
        <w:ind w:firstLine="720" w:firstLineChars="225"/>
        <w:rPr>
          <w:rFonts w:hint="eastAsia" w:ascii="宋体" w:hAnsi="宋体" w:cs="仿宋_GB2312"/>
          <w:bCs/>
          <w:sz w:val="32"/>
          <w:szCs w:val="32"/>
          <w:highlight w:val="none"/>
        </w:rPr>
      </w:pPr>
    </w:p>
    <w:p w14:paraId="6D7E42AE">
      <w:pPr>
        <w:pStyle w:val="5"/>
        <w:snapToGrid w:val="0"/>
        <w:spacing w:before="50" w:after="50"/>
        <w:ind w:firstLine="1280" w:firstLineChars="400"/>
        <w:rPr>
          <w:rFonts w:hint="eastAsia" w:ascii="宋体" w:hAnsi="宋体" w:cs="仿宋_GB2312"/>
          <w:bCs/>
          <w:sz w:val="32"/>
          <w:szCs w:val="32"/>
          <w:highlight w:val="none"/>
        </w:rPr>
      </w:pPr>
    </w:p>
    <w:p w14:paraId="1FD103AD">
      <w:pPr>
        <w:snapToGrid w:val="0"/>
        <w:spacing w:before="120" w:beforeLines="50" w:after="50"/>
        <w:jc w:val="center"/>
        <w:rPr>
          <w:rFonts w:hint="eastAsia" w:ascii="宋体" w:hAnsi="宋体" w:cs="仿宋_GB2312"/>
          <w:sz w:val="32"/>
          <w:szCs w:val="32"/>
          <w:highlight w:val="none"/>
        </w:rPr>
      </w:pPr>
      <w:r>
        <w:rPr>
          <w:rFonts w:hint="eastAsia" w:ascii="宋体" w:hAnsi="宋体" w:cs="仿宋_GB2312"/>
          <w:sz w:val="32"/>
          <w:szCs w:val="32"/>
          <w:highlight w:val="none"/>
          <w:u w:val="single"/>
        </w:rPr>
        <w:t xml:space="preserve">      </w:t>
      </w:r>
      <w:r>
        <w:rPr>
          <w:rFonts w:hint="eastAsia" w:ascii="宋体" w:hAnsi="宋体" w:cs="仿宋_GB2312"/>
          <w:sz w:val="32"/>
          <w:szCs w:val="32"/>
          <w:highlight w:val="none"/>
        </w:rPr>
        <w:t>年</w:t>
      </w:r>
      <w:r>
        <w:rPr>
          <w:rFonts w:hint="eastAsia" w:ascii="宋体" w:hAnsi="宋体" w:cs="仿宋_GB2312"/>
          <w:sz w:val="32"/>
          <w:szCs w:val="32"/>
          <w:highlight w:val="none"/>
          <w:u w:val="single"/>
        </w:rPr>
        <w:t xml:space="preserve">    </w:t>
      </w:r>
      <w:r>
        <w:rPr>
          <w:rFonts w:hint="eastAsia" w:ascii="宋体" w:hAnsi="宋体" w:cs="仿宋_GB2312"/>
          <w:sz w:val="32"/>
          <w:szCs w:val="32"/>
          <w:highlight w:val="none"/>
        </w:rPr>
        <w:t>月</w:t>
      </w:r>
      <w:r>
        <w:rPr>
          <w:rFonts w:hint="eastAsia" w:ascii="宋体" w:hAnsi="宋体" w:cs="仿宋_GB2312"/>
          <w:sz w:val="32"/>
          <w:szCs w:val="32"/>
          <w:highlight w:val="none"/>
          <w:u w:val="single"/>
        </w:rPr>
        <w:t xml:space="preserve">    </w:t>
      </w:r>
      <w:r>
        <w:rPr>
          <w:rFonts w:hint="eastAsia" w:ascii="宋体" w:hAnsi="宋体" w:cs="仿宋_GB2312"/>
          <w:sz w:val="32"/>
          <w:szCs w:val="32"/>
          <w:highlight w:val="none"/>
        </w:rPr>
        <w:t>日</w:t>
      </w:r>
    </w:p>
    <w:p w14:paraId="3086BE11">
      <w:pPr>
        <w:snapToGrid w:val="0"/>
        <w:spacing w:before="120" w:beforeLines="50" w:after="50" w:line="360" w:lineRule="auto"/>
        <w:jc w:val="center"/>
        <w:outlineLvl w:val="1"/>
        <w:rPr>
          <w:rFonts w:hint="eastAsia" w:ascii="宋体" w:hAnsi="宋体"/>
          <w:b/>
          <w:bCs/>
          <w:sz w:val="36"/>
          <w:szCs w:val="36"/>
          <w:highlight w:val="none"/>
        </w:rPr>
      </w:pPr>
      <w:r>
        <w:rPr>
          <w:rFonts w:ascii="宋体" w:hAnsi="宋体"/>
          <w:sz w:val="24"/>
          <w:highlight w:val="none"/>
        </w:rPr>
        <w:br w:type="page"/>
      </w:r>
      <w:bookmarkStart w:id="51" w:name="_Toc13495"/>
      <w:bookmarkStart w:id="52" w:name="_Toc5241"/>
      <w:bookmarkStart w:id="53" w:name="_Toc14424"/>
      <w:r>
        <w:rPr>
          <w:rFonts w:hint="eastAsia" w:ascii="宋体" w:hAnsi="宋体"/>
          <w:b/>
          <w:bCs/>
          <w:sz w:val="36"/>
          <w:szCs w:val="36"/>
          <w:highlight w:val="none"/>
        </w:rPr>
        <w:t>目录</w:t>
      </w:r>
      <w:bookmarkEnd w:id="51"/>
      <w:bookmarkEnd w:id="52"/>
      <w:bookmarkEnd w:id="53"/>
    </w:p>
    <w:p w14:paraId="3C36712F">
      <w:pPr>
        <w:snapToGrid w:val="0"/>
        <w:spacing w:before="120" w:beforeLines="50" w:after="50"/>
        <w:rPr>
          <w:rFonts w:hint="eastAsia" w:ascii="宋体" w:hAnsi="宋体"/>
          <w:sz w:val="24"/>
          <w:szCs w:val="20"/>
          <w:highlight w:val="none"/>
        </w:rPr>
      </w:pPr>
    </w:p>
    <w:p w14:paraId="0FA0FE34">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一、</w:t>
      </w:r>
      <w:r>
        <w:rPr>
          <w:rFonts w:hint="eastAsia" w:ascii="宋体" w:hAnsi="宋体"/>
          <w:sz w:val="24"/>
          <w:szCs w:val="20"/>
          <w:highlight w:val="none"/>
          <w:lang w:eastAsia="zh-CN"/>
        </w:rPr>
        <w:t>投标</w:t>
      </w:r>
      <w:r>
        <w:rPr>
          <w:rFonts w:hint="eastAsia" w:ascii="宋体" w:hAnsi="宋体"/>
          <w:sz w:val="24"/>
          <w:szCs w:val="20"/>
          <w:highlight w:val="none"/>
        </w:rPr>
        <w:t>函</w:t>
      </w:r>
    </w:p>
    <w:p w14:paraId="2E44DA79">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二、法定代表人身份证明（适用于无委托代理人的情况）</w:t>
      </w:r>
    </w:p>
    <w:p w14:paraId="227E15AC">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二、授权委托书（适用于有委托代理人的情况）</w:t>
      </w:r>
    </w:p>
    <w:p w14:paraId="5A12266C">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三、报价清单</w:t>
      </w:r>
    </w:p>
    <w:p w14:paraId="0558ED42">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四、</w:t>
      </w:r>
      <w:r>
        <w:rPr>
          <w:rFonts w:hint="eastAsia" w:ascii="宋体" w:hAnsi="宋体"/>
          <w:sz w:val="24"/>
          <w:szCs w:val="20"/>
          <w:highlight w:val="none"/>
          <w:lang w:eastAsia="zh-CN"/>
        </w:rPr>
        <w:t>资格审查</w:t>
      </w:r>
      <w:r>
        <w:rPr>
          <w:rFonts w:hint="eastAsia" w:ascii="宋体" w:hAnsi="宋体"/>
          <w:sz w:val="24"/>
          <w:szCs w:val="20"/>
          <w:highlight w:val="none"/>
        </w:rPr>
        <w:t>资料</w:t>
      </w:r>
    </w:p>
    <w:p w14:paraId="2D9D475F">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(一)投标人基本情况表</w:t>
      </w:r>
    </w:p>
    <w:p w14:paraId="6B3D613B">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(二)近年完成的</w:t>
      </w:r>
      <w:r>
        <w:rPr>
          <w:rFonts w:hint="eastAsia" w:ascii="宋体" w:hAnsi="宋体"/>
          <w:sz w:val="24"/>
          <w:szCs w:val="20"/>
          <w:highlight w:val="none"/>
          <w:lang w:eastAsia="zh-CN"/>
        </w:rPr>
        <w:t>业绩证明文件</w:t>
      </w:r>
    </w:p>
    <w:p w14:paraId="651BCCDD">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w:t>
      </w:r>
      <w:r>
        <w:rPr>
          <w:rFonts w:hint="eastAsia" w:ascii="宋体" w:hAnsi="宋体"/>
          <w:sz w:val="24"/>
          <w:szCs w:val="20"/>
          <w:highlight w:val="none"/>
          <w:lang w:eastAsia="zh-CN"/>
        </w:rPr>
        <w:t>三</w:t>
      </w:r>
      <w:r>
        <w:rPr>
          <w:rFonts w:hint="eastAsia" w:ascii="宋体" w:hAnsi="宋体"/>
          <w:sz w:val="24"/>
          <w:szCs w:val="20"/>
          <w:highlight w:val="none"/>
        </w:rPr>
        <w:t>)</w:t>
      </w:r>
      <w:r>
        <w:rPr>
          <w:rFonts w:hint="eastAsia" w:ascii="宋体" w:hAnsi="宋体"/>
          <w:sz w:val="24"/>
          <w:szCs w:val="20"/>
          <w:highlight w:val="none"/>
          <w:lang w:eastAsia="zh-CN"/>
        </w:rPr>
        <w:t>供应商信用及守法证明材料</w:t>
      </w:r>
    </w:p>
    <w:p w14:paraId="6A8968C9">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w:t>
      </w:r>
      <w:r>
        <w:rPr>
          <w:rFonts w:hint="eastAsia" w:ascii="宋体" w:hAnsi="宋体"/>
          <w:sz w:val="24"/>
          <w:szCs w:val="20"/>
          <w:highlight w:val="none"/>
          <w:lang w:eastAsia="zh-CN"/>
        </w:rPr>
        <w:t>四</w:t>
      </w:r>
      <w:r>
        <w:rPr>
          <w:rFonts w:hint="eastAsia" w:ascii="宋体" w:hAnsi="宋体"/>
          <w:sz w:val="24"/>
          <w:szCs w:val="20"/>
          <w:highlight w:val="none"/>
        </w:rPr>
        <w:t>)</w:t>
      </w:r>
      <w:r>
        <w:rPr>
          <w:rFonts w:hint="eastAsia" w:ascii="宋体" w:hAnsi="宋体"/>
          <w:sz w:val="24"/>
          <w:szCs w:val="20"/>
          <w:highlight w:val="none"/>
          <w:lang w:eastAsia="zh-CN"/>
        </w:rPr>
        <w:t>拟投入的主要人员表</w:t>
      </w:r>
    </w:p>
    <w:p w14:paraId="3F929F4B">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五、</w:t>
      </w:r>
      <w:r>
        <w:rPr>
          <w:rFonts w:hint="eastAsia" w:ascii="宋体" w:hAnsi="宋体"/>
          <w:sz w:val="24"/>
          <w:szCs w:val="20"/>
          <w:highlight w:val="none"/>
          <w:lang w:eastAsia="zh-CN"/>
        </w:rPr>
        <w:t>工程可行性研究</w:t>
      </w:r>
      <w:r>
        <w:rPr>
          <w:rFonts w:hint="eastAsia" w:ascii="宋体" w:hAnsi="宋体"/>
          <w:sz w:val="24"/>
          <w:szCs w:val="20"/>
          <w:highlight w:val="none"/>
        </w:rPr>
        <w:t>方案</w:t>
      </w:r>
    </w:p>
    <w:p w14:paraId="76F5E16D">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六、其他资料</w:t>
      </w:r>
    </w:p>
    <w:p w14:paraId="51D602FD">
      <w:pPr>
        <w:spacing w:line="300" w:lineRule="auto"/>
        <w:rPr>
          <w:rFonts w:hint="eastAsia" w:ascii="宋体" w:hAnsi="宋体"/>
          <w:szCs w:val="21"/>
          <w:highlight w:val="none"/>
        </w:rPr>
      </w:pPr>
    </w:p>
    <w:p w14:paraId="1A3D8F6F">
      <w:pPr>
        <w:spacing w:line="300" w:lineRule="auto"/>
        <w:rPr>
          <w:rFonts w:hint="eastAsia" w:ascii="宋体" w:hAnsi="宋体"/>
          <w:szCs w:val="21"/>
          <w:highlight w:val="none"/>
        </w:rPr>
      </w:pPr>
    </w:p>
    <w:p w14:paraId="46B461E7">
      <w:pPr>
        <w:spacing w:line="300" w:lineRule="auto"/>
        <w:rPr>
          <w:rFonts w:hint="eastAsia" w:ascii="宋体" w:hAnsi="宋体"/>
          <w:szCs w:val="21"/>
          <w:highlight w:val="none"/>
        </w:rPr>
      </w:pPr>
    </w:p>
    <w:p w14:paraId="111CA6D3">
      <w:pPr>
        <w:spacing w:line="300" w:lineRule="auto"/>
        <w:rPr>
          <w:rFonts w:hint="eastAsia" w:ascii="宋体" w:hAnsi="宋体"/>
          <w:szCs w:val="21"/>
          <w:highlight w:val="none"/>
        </w:rPr>
      </w:pPr>
    </w:p>
    <w:p w14:paraId="1338A035">
      <w:pPr>
        <w:jc w:val="center"/>
        <w:outlineLvl w:val="1"/>
        <w:rPr>
          <w:rFonts w:hint="eastAsia" w:ascii="黑体" w:hAnsi="黑体" w:eastAsia="黑体" w:cs="黑体"/>
          <w:sz w:val="36"/>
          <w:szCs w:val="36"/>
          <w:highlight w:val="none"/>
        </w:rPr>
      </w:pPr>
      <w:r>
        <w:rPr>
          <w:rFonts w:ascii="宋体" w:hAnsi="宋体"/>
          <w:szCs w:val="21"/>
          <w:highlight w:val="none"/>
        </w:rPr>
        <w:br w:type="page"/>
      </w:r>
      <w:bookmarkStart w:id="54" w:name="_Toc12166"/>
      <w:bookmarkStart w:id="55" w:name="_Toc5505"/>
      <w:bookmarkStart w:id="56" w:name="_Toc30651"/>
      <w:r>
        <w:rPr>
          <w:rFonts w:hint="eastAsia" w:ascii="黑体" w:hAnsi="黑体" w:eastAsia="黑体" w:cs="黑体"/>
          <w:sz w:val="36"/>
          <w:szCs w:val="36"/>
          <w:highlight w:val="none"/>
        </w:rPr>
        <w:t>一、</w:t>
      </w:r>
      <w:r>
        <w:rPr>
          <w:rFonts w:hint="eastAsia" w:ascii="黑体" w:hAnsi="黑体" w:eastAsia="黑体" w:cs="黑体"/>
          <w:sz w:val="36"/>
          <w:szCs w:val="36"/>
          <w:highlight w:val="none"/>
          <w:lang w:eastAsia="zh-CN"/>
        </w:rPr>
        <w:t>投标</w:t>
      </w:r>
      <w:r>
        <w:rPr>
          <w:rFonts w:hint="eastAsia" w:ascii="黑体" w:hAnsi="黑体" w:eastAsia="黑体" w:cs="黑体"/>
          <w:sz w:val="36"/>
          <w:szCs w:val="36"/>
          <w:highlight w:val="none"/>
        </w:rPr>
        <w:t>函</w:t>
      </w:r>
      <w:bookmarkEnd w:id="54"/>
      <w:bookmarkEnd w:id="55"/>
      <w:bookmarkEnd w:id="56"/>
    </w:p>
    <w:p w14:paraId="7E66C387">
      <w:pPr>
        <w:spacing w:line="320" w:lineRule="exact"/>
        <w:jc w:val="center"/>
        <w:rPr>
          <w:rFonts w:hint="eastAsia" w:ascii="宋体" w:hAnsi="宋体"/>
          <w:b/>
          <w:sz w:val="32"/>
          <w:szCs w:val="32"/>
          <w:highlight w:val="none"/>
        </w:rPr>
      </w:pPr>
    </w:p>
    <w:p w14:paraId="47680DAD">
      <w:pPr>
        <w:jc w:val="center"/>
        <w:rPr>
          <w:rFonts w:hint="eastAsia" w:ascii="宋体" w:hAnsi="宋体"/>
          <w:b/>
          <w:sz w:val="32"/>
          <w:szCs w:val="32"/>
          <w:highlight w:val="none"/>
        </w:rPr>
      </w:pPr>
      <w:r>
        <w:rPr>
          <w:rFonts w:hint="eastAsia" w:ascii="宋体" w:hAnsi="宋体"/>
          <w:b/>
          <w:sz w:val="32"/>
          <w:szCs w:val="32"/>
          <w:highlight w:val="none"/>
          <w:lang w:eastAsia="zh-CN"/>
        </w:rPr>
        <w:t>投标</w:t>
      </w:r>
      <w:r>
        <w:rPr>
          <w:rFonts w:hint="eastAsia" w:ascii="宋体" w:hAnsi="宋体"/>
          <w:b/>
          <w:sz w:val="32"/>
          <w:szCs w:val="32"/>
          <w:highlight w:val="none"/>
        </w:rPr>
        <w:t>函</w:t>
      </w:r>
    </w:p>
    <w:p w14:paraId="7DE17498">
      <w:pPr>
        <w:spacing w:line="320" w:lineRule="exact"/>
        <w:jc w:val="center"/>
        <w:rPr>
          <w:rFonts w:hint="eastAsia" w:ascii="宋体" w:hAnsi="宋体"/>
          <w:sz w:val="24"/>
          <w:szCs w:val="20"/>
          <w:highlight w:val="none"/>
        </w:rPr>
      </w:pPr>
    </w:p>
    <w:p w14:paraId="4D42E7C0">
      <w:pPr>
        <w:spacing w:line="360" w:lineRule="auto"/>
        <w:contextualSpacing/>
        <w:rPr>
          <w:rFonts w:hint="eastAsia" w:ascii="宋体" w:hAnsi="宋体" w:cs="宋体"/>
          <w:sz w:val="24"/>
          <w:highlight w:val="none"/>
        </w:rPr>
      </w:pPr>
      <w:r>
        <w:rPr>
          <w:rFonts w:hint="eastAsia" w:ascii="宋体" w:hAnsi="宋体" w:cs="宋体"/>
          <w:sz w:val="24"/>
          <w:highlight w:val="none"/>
          <w:u w:val="single"/>
        </w:rPr>
        <w:t xml:space="preserve">广西壮族自治区港行发展中心 </w:t>
      </w:r>
      <w:r>
        <w:rPr>
          <w:rFonts w:hint="eastAsia" w:ascii="宋体" w:hAnsi="宋体" w:cs="宋体"/>
          <w:sz w:val="24"/>
          <w:highlight w:val="none"/>
        </w:rPr>
        <w:t>：</w:t>
      </w:r>
    </w:p>
    <w:p w14:paraId="1AC18665">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1.我方已仔细研究了</w:t>
      </w:r>
      <w:r>
        <w:rPr>
          <w:rFonts w:hint="eastAsia" w:ascii="宋体" w:hAnsi="宋体" w:cs="宋体"/>
          <w:sz w:val="24"/>
          <w:highlight w:val="none"/>
          <w:u w:val="single"/>
        </w:rPr>
        <w:t xml:space="preserve"> </w:t>
      </w:r>
      <w:r>
        <w:rPr>
          <w:rFonts w:hint="eastAsia" w:ascii="宋体" w:hAnsi="宋体" w:cs="宋体"/>
          <w:sz w:val="24"/>
          <w:highlight w:val="none"/>
          <w:u w:val="single"/>
          <w:lang w:eastAsia="zh-CN"/>
        </w:rPr>
        <w:t>桂江（莲花大桥至桂江河口）航道扩建工程</w:t>
      </w:r>
      <w:r>
        <w:rPr>
          <w:rFonts w:hint="eastAsia" w:ascii="宋体" w:hAnsi="宋体" w:cs="宋体"/>
          <w:sz w:val="24"/>
          <w:highlight w:val="none"/>
          <w:u w:val="single"/>
        </w:rPr>
        <w:t>工程可行性研究</w:t>
      </w:r>
      <w:r>
        <w:rPr>
          <w:rFonts w:hint="eastAsia" w:ascii="宋体" w:hAnsi="宋体" w:cs="宋体"/>
          <w:sz w:val="24"/>
          <w:highlight w:val="none"/>
          <w:u w:val="single"/>
          <w:lang w:eastAsia="zh-CN"/>
        </w:rPr>
        <w:t>服务</w:t>
      </w:r>
      <w:r>
        <w:rPr>
          <w:rFonts w:hint="eastAsia" w:ascii="宋体" w:hAnsi="宋体" w:cs="宋体"/>
          <w:sz w:val="24"/>
          <w:highlight w:val="none"/>
        </w:rPr>
        <w:t>采购文件的全部内容，愿意以人民币（大写）</w:t>
      </w:r>
      <w:r>
        <w:rPr>
          <w:rFonts w:hint="eastAsia" w:ascii="宋体" w:hAnsi="宋体" w:cs="宋体"/>
          <w:sz w:val="24"/>
          <w:highlight w:val="none"/>
          <w:u w:val="single"/>
        </w:rPr>
        <w:t xml:space="preserve">             （¥               ）</w:t>
      </w:r>
      <w:r>
        <w:rPr>
          <w:rFonts w:hint="eastAsia" w:ascii="宋体" w:hAnsi="宋体" w:cs="宋体"/>
          <w:sz w:val="24"/>
          <w:highlight w:val="none"/>
        </w:rPr>
        <w:t>的</w:t>
      </w:r>
      <w:r>
        <w:rPr>
          <w:rFonts w:hint="eastAsia" w:ascii="宋体" w:hAnsi="宋体" w:cs="宋体"/>
          <w:sz w:val="24"/>
          <w:highlight w:val="none"/>
          <w:lang w:eastAsia="zh-CN"/>
        </w:rPr>
        <w:t>投标</w:t>
      </w:r>
      <w:r>
        <w:rPr>
          <w:rFonts w:hint="eastAsia" w:ascii="宋体" w:hAnsi="宋体" w:cs="宋体"/>
          <w:sz w:val="24"/>
          <w:highlight w:val="none"/>
        </w:rPr>
        <w:t>总报价</w:t>
      </w:r>
      <w:r>
        <w:rPr>
          <w:rFonts w:hint="eastAsia" w:ascii="宋体" w:hAnsi="宋体" w:cs="宋体"/>
          <w:sz w:val="24"/>
          <w:highlight w:val="none"/>
          <w:lang w:eastAsia="zh-CN"/>
        </w:rPr>
        <w:t>（其中，增值税税率为</w:t>
      </w:r>
      <w:r>
        <w:rPr>
          <w:rFonts w:hint="eastAsia" w:ascii="宋体" w:hAnsi="宋体" w:cs="宋体"/>
          <w:sz w:val="24"/>
          <w:highlight w:val="none"/>
          <w:u w:val="single"/>
          <w:lang w:val="en-US" w:eastAsia="zh-CN"/>
        </w:rPr>
        <w:t xml:space="preserve">       </w:t>
      </w:r>
      <w:r>
        <w:rPr>
          <w:rFonts w:hint="eastAsia" w:ascii="宋体" w:hAnsi="宋体" w:cs="宋体"/>
          <w:sz w:val="24"/>
          <w:highlight w:val="none"/>
          <w:lang w:eastAsia="zh-CN"/>
        </w:rPr>
        <w:t>）</w:t>
      </w:r>
      <w:r>
        <w:rPr>
          <w:rFonts w:hint="eastAsia" w:ascii="宋体" w:hAnsi="宋体" w:cs="宋体"/>
          <w:sz w:val="24"/>
          <w:highlight w:val="none"/>
        </w:rPr>
        <w:t>，</w:t>
      </w:r>
      <w:r>
        <w:rPr>
          <w:rFonts w:hint="eastAsia" w:ascii="宋体" w:hAnsi="宋体" w:cs="宋体"/>
          <w:sz w:val="24"/>
          <w:highlight w:val="none"/>
          <w:lang w:eastAsia="zh-CN"/>
        </w:rPr>
        <w:t>工程可行性研究服务期限：</w:t>
      </w:r>
      <w:r>
        <w:rPr>
          <w:rFonts w:hint="eastAsia" w:ascii="宋体" w:hAnsi="宋体" w:cs="宋体"/>
          <w:sz w:val="24"/>
          <w:highlight w:val="none"/>
          <w:u w:val="single"/>
          <w:lang w:val="en-US" w:eastAsia="zh-CN"/>
        </w:rPr>
        <w:t xml:space="preserve">      </w:t>
      </w:r>
      <w:r>
        <w:rPr>
          <w:rFonts w:hint="eastAsia" w:ascii="宋体" w:hAnsi="宋体" w:cs="宋体"/>
          <w:sz w:val="24"/>
          <w:highlight w:val="none"/>
          <w:lang w:val="en-US" w:eastAsia="zh-CN"/>
        </w:rPr>
        <w:t>日历天，</w:t>
      </w:r>
      <w:r>
        <w:rPr>
          <w:rFonts w:hint="eastAsia" w:ascii="宋体" w:hAnsi="宋体" w:cs="宋体"/>
          <w:sz w:val="24"/>
          <w:highlight w:val="none"/>
        </w:rPr>
        <w:t>按合同约定完成工程可行性研究工作。</w:t>
      </w:r>
    </w:p>
    <w:p w14:paraId="0D4D9BC6">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2.我方的响应文件包括下列内容：：</w:t>
      </w:r>
    </w:p>
    <w:p w14:paraId="755DAE8D">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（1）</w:t>
      </w:r>
      <w:r>
        <w:rPr>
          <w:rFonts w:hint="eastAsia" w:ascii="宋体" w:hAnsi="宋体" w:cs="宋体"/>
          <w:sz w:val="24"/>
          <w:highlight w:val="none"/>
          <w:lang w:eastAsia="zh-CN"/>
        </w:rPr>
        <w:t>投标</w:t>
      </w:r>
      <w:r>
        <w:rPr>
          <w:rFonts w:hint="eastAsia" w:ascii="宋体" w:hAnsi="宋体" w:cs="宋体"/>
          <w:sz w:val="24"/>
          <w:highlight w:val="none"/>
        </w:rPr>
        <w:t>函；</w:t>
      </w:r>
    </w:p>
    <w:p w14:paraId="25FE5D32">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（2）法定代表人身份证明或授权委托书；</w:t>
      </w:r>
    </w:p>
    <w:p w14:paraId="2A4A1850">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（3）报价清单；</w:t>
      </w:r>
    </w:p>
    <w:p w14:paraId="77938409">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（4）资格审查资料；</w:t>
      </w:r>
    </w:p>
    <w:p w14:paraId="713D3857">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（5）</w:t>
      </w:r>
      <w:r>
        <w:rPr>
          <w:rFonts w:hint="eastAsia" w:ascii="宋体" w:hAnsi="宋体" w:cs="宋体"/>
          <w:sz w:val="24"/>
          <w:highlight w:val="none"/>
          <w:lang w:eastAsia="zh-CN"/>
        </w:rPr>
        <w:t>工程可行性研究</w:t>
      </w:r>
      <w:r>
        <w:rPr>
          <w:rFonts w:hint="eastAsia" w:ascii="宋体" w:hAnsi="宋体" w:cs="宋体"/>
          <w:sz w:val="24"/>
          <w:highlight w:val="none"/>
        </w:rPr>
        <w:t>方案。</w:t>
      </w:r>
    </w:p>
    <w:p w14:paraId="54A7512C">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响应文件的上述组成部分如存在内容不一致的，以</w:t>
      </w:r>
      <w:r>
        <w:rPr>
          <w:rFonts w:hint="eastAsia" w:ascii="宋体" w:hAnsi="宋体" w:cs="宋体"/>
          <w:sz w:val="24"/>
          <w:highlight w:val="none"/>
          <w:lang w:eastAsia="zh-CN"/>
        </w:rPr>
        <w:t>投标</w:t>
      </w:r>
      <w:r>
        <w:rPr>
          <w:rFonts w:hint="eastAsia" w:ascii="宋体" w:hAnsi="宋体" w:cs="宋体"/>
          <w:sz w:val="24"/>
          <w:highlight w:val="none"/>
        </w:rPr>
        <w:t>函为准。</w:t>
      </w:r>
    </w:p>
    <w:p w14:paraId="31E1F0A8">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3.项目负责人姓名：</w:t>
      </w:r>
      <w:r>
        <w:rPr>
          <w:rFonts w:hint="eastAsia" w:ascii="宋体" w:hAnsi="宋体" w:cs="宋体"/>
          <w:sz w:val="24"/>
          <w:highlight w:val="none"/>
          <w:u w:val="single"/>
        </w:rPr>
        <w:t xml:space="preserve">        </w:t>
      </w:r>
      <w:r>
        <w:rPr>
          <w:rFonts w:hint="eastAsia" w:ascii="宋体" w:hAnsi="宋体" w:cs="宋体"/>
          <w:sz w:val="24"/>
          <w:highlight w:val="none"/>
        </w:rPr>
        <w:t>年龄：</w:t>
      </w:r>
      <w:r>
        <w:rPr>
          <w:rFonts w:hint="eastAsia" w:ascii="宋体" w:hAnsi="宋体" w:cs="宋体"/>
          <w:sz w:val="24"/>
          <w:highlight w:val="none"/>
          <w:u w:val="single"/>
        </w:rPr>
        <w:t xml:space="preserve">    </w:t>
      </w:r>
      <w:r>
        <w:rPr>
          <w:rFonts w:hint="eastAsia" w:ascii="宋体" w:hAnsi="宋体" w:cs="宋体"/>
          <w:sz w:val="24"/>
          <w:highlight w:val="none"/>
        </w:rPr>
        <w:t>现任职务：</w:t>
      </w:r>
      <w:r>
        <w:rPr>
          <w:rFonts w:hint="eastAsia" w:ascii="宋体" w:hAnsi="宋体" w:cs="宋体"/>
          <w:sz w:val="24"/>
          <w:highlight w:val="none"/>
          <w:u w:val="single"/>
        </w:rPr>
        <w:t xml:space="preserve">      </w:t>
      </w:r>
      <w:r>
        <w:rPr>
          <w:rFonts w:hint="eastAsia" w:ascii="宋体" w:hAnsi="宋体" w:cs="宋体"/>
          <w:sz w:val="24"/>
          <w:highlight w:val="none"/>
        </w:rPr>
        <w:t xml:space="preserve"> 职称：</w:t>
      </w:r>
      <w:r>
        <w:rPr>
          <w:rFonts w:hint="eastAsia" w:ascii="宋体" w:hAnsi="宋体" w:cs="宋体"/>
          <w:sz w:val="24"/>
          <w:highlight w:val="none"/>
          <w:u w:val="single"/>
        </w:rPr>
        <w:t xml:space="preserve">          </w:t>
      </w:r>
      <w:r>
        <w:rPr>
          <w:rFonts w:hint="eastAsia" w:ascii="宋体" w:hAnsi="宋体" w:cs="宋体"/>
          <w:sz w:val="24"/>
          <w:highlight w:val="none"/>
        </w:rPr>
        <w:t>。</w:t>
      </w:r>
    </w:p>
    <w:p w14:paraId="43DA378B">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4.我方承诺在采购文件规定的</w:t>
      </w:r>
      <w:r>
        <w:rPr>
          <w:rFonts w:hint="eastAsia" w:ascii="宋体" w:hAnsi="宋体" w:cs="宋体"/>
          <w:sz w:val="24"/>
          <w:highlight w:val="none"/>
          <w:lang w:eastAsia="zh-CN"/>
        </w:rPr>
        <w:t>投标</w:t>
      </w:r>
      <w:r>
        <w:rPr>
          <w:rFonts w:hint="eastAsia" w:ascii="宋体" w:hAnsi="宋体" w:cs="宋体"/>
          <w:sz w:val="24"/>
          <w:highlight w:val="none"/>
        </w:rPr>
        <w:t>有效期内不撤销响应文件。</w:t>
      </w:r>
    </w:p>
    <w:p w14:paraId="2591B986">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5.如我方中标，我方承诺：</w:t>
      </w:r>
    </w:p>
    <w:p w14:paraId="6286FDFA">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（1）在收到中标通知书后，在中标通知书规定的期限内与你方签订合同；</w:t>
      </w:r>
    </w:p>
    <w:p w14:paraId="6FCA57C7">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（2）在签订合同时不向你方提出附加条件；</w:t>
      </w:r>
    </w:p>
    <w:p w14:paraId="40966614">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（3）在合同约定的期限内完成合同规定的全部义务。</w:t>
      </w:r>
    </w:p>
    <w:p w14:paraId="64D6DF9C">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6.我方在此声明，所递交的响应文件及有关资料内容完整、真实和准确。</w:t>
      </w:r>
    </w:p>
    <w:p w14:paraId="224D556A">
      <w:pPr>
        <w:pStyle w:val="13"/>
        <w:tabs>
          <w:tab w:val="left" w:pos="939"/>
        </w:tabs>
        <w:spacing w:line="360" w:lineRule="auto"/>
        <w:ind w:left="0" w:leftChars="0" w:firstLine="480" w:firstLineChars="200"/>
        <w:rPr>
          <w:rFonts w:hint="eastAsia" w:ascii="宋体" w:hAnsi="宋体" w:cs="宋体"/>
          <w:sz w:val="24"/>
          <w:highlight w:val="none"/>
        </w:rPr>
      </w:pPr>
    </w:p>
    <w:p w14:paraId="0BD29303">
      <w:pPr>
        <w:pStyle w:val="5"/>
        <w:overflowPunct w:val="0"/>
        <w:spacing w:line="520" w:lineRule="exact"/>
        <w:ind w:firstLine="0"/>
        <w:jc w:val="center"/>
        <w:rPr>
          <w:sz w:val="24"/>
          <w:highlight w:val="none"/>
        </w:rPr>
      </w:pPr>
      <w:r>
        <w:rPr>
          <w:rFonts w:hint="eastAsia"/>
          <w:sz w:val="24"/>
          <w:highlight w:val="none"/>
        </w:rPr>
        <w:t>供应商名称：</w:t>
      </w:r>
      <w:r>
        <w:rPr>
          <w:rFonts w:hint="eastAsia"/>
          <w:sz w:val="24"/>
          <w:highlight w:val="none"/>
          <w:u w:val="single"/>
        </w:rPr>
        <w:t xml:space="preserve">                         </w:t>
      </w:r>
      <w:r>
        <w:rPr>
          <w:rFonts w:hint="eastAsia"/>
          <w:sz w:val="24"/>
          <w:highlight w:val="none"/>
        </w:rPr>
        <w:t>（盖单位公章）</w:t>
      </w:r>
    </w:p>
    <w:p w14:paraId="285E82DA">
      <w:pPr>
        <w:pStyle w:val="5"/>
        <w:overflowPunct w:val="0"/>
        <w:spacing w:line="520" w:lineRule="exact"/>
        <w:ind w:firstLine="1478" w:firstLineChars="616"/>
        <w:rPr>
          <w:sz w:val="24"/>
          <w:highlight w:val="none"/>
        </w:rPr>
      </w:pPr>
      <w:r>
        <w:rPr>
          <w:rFonts w:hint="eastAsia"/>
          <w:sz w:val="24"/>
          <w:highlight w:val="none"/>
        </w:rPr>
        <w:t>法定代表人或其委托代理人：</w:t>
      </w:r>
      <w:r>
        <w:rPr>
          <w:rFonts w:hint="eastAsia"/>
          <w:sz w:val="24"/>
          <w:highlight w:val="none"/>
          <w:u w:val="single"/>
        </w:rPr>
        <w:t xml:space="preserve">           </w:t>
      </w:r>
      <w:r>
        <w:rPr>
          <w:rFonts w:hint="eastAsia"/>
          <w:sz w:val="24"/>
          <w:highlight w:val="none"/>
        </w:rPr>
        <w:t>（签字）</w:t>
      </w:r>
    </w:p>
    <w:p w14:paraId="4CCEB7D7">
      <w:pPr>
        <w:pStyle w:val="5"/>
        <w:overflowPunct w:val="0"/>
        <w:spacing w:line="520" w:lineRule="exact"/>
        <w:ind w:firstLine="3998" w:firstLineChars="1666"/>
        <w:rPr>
          <w:sz w:val="24"/>
          <w:highlight w:val="none"/>
        </w:rPr>
      </w:pPr>
      <w:r>
        <w:rPr>
          <w:rFonts w:hint="eastAsia"/>
          <w:sz w:val="24"/>
          <w:highlight w:val="none"/>
          <w:u w:val="single"/>
        </w:rPr>
        <w:t xml:space="preserve">      </w:t>
      </w:r>
      <w:r>
        <w:rPr>
          <w:rFonts w:hint="eastAsia"/>
          <w:sz w:val="24"/>
          <w:highlight w:val="none"/>
        </w:rPr>
        <w:t>年</w:t>
      </w:r>
      <w:r>
        <w:rPr>
          <w:rFonts w:hint="eastAsia"/>
          <w:sz w:val="24"/>
          <w:highlight w:val="none"/>
          <w:u w:val="single"/>
        </w:rPr>
        <w:t xml:space="preserve">    </w:t>
      </w:r>
      <w:r>
        <w:rPr>
          <w:rFonts w:hint="eastAsia"/>
          <w:sz w:val="24"/>
          <w:highlight w:val="none"/>
        </w:rPr>
        <w:t>月</w:t>
      </w:r>
      <w:r>
        <w:rPr>
          <w:rFonts w:hint="eastAsia"/>
          <w:sz w:val="24"/>
          <w:highlight w:val="none"/>
          <w:u w:val="single"/>
        </w:rPr>
        <w:t xml:space="preserve">    </w:t>
      </w:r>
      <w:r>
        <w:rPr>
          <w:rFonts w:hint="eastAsia"/>
          <w:sz w:val="24"/>
          <w:highlight w:val="none"/>
        </w:rPr>
        <w:t>日</w:t>
      </w:r>
    </w:p>
    <w:p w14:paraId="316F9A5C">
      <w:pPr>
        <w:rPr>
          <w:rFonts w:hint="eastAsia" w:ascii="宋体" w:hAnsi="宋体" w:cs="仿宋_GB2312"/>
          <w:sz w:val="24"/>
          <w:highlight w:val="none"/>
        </w:rPr>
      </w:pPr>
      <w:r>
        <w:rPr>
          <w:rFonts w:hint="eastAsia" w:ascii="宋体" w:hAnsi="宋体" w:cs="仿宋_GB2312"/>
          <w:sz w:val="24"/>
          <w:highlight w:val="none"/>
        </w:rPr>
        <w:br w:type="page"/>
      </w:r>
    </w:p>
    <w:p w14:paraId="21817A70">
      <w:pPr>
        <w:snapToGrid w:val="0"/>
        <w:spacing w:line="360" w:lineRule="auto"/>
        <w:jc w:val="center"/>
        <w:outlineLvl w:val="1"/>
        <w:rPr>
          <w:rFonts w:hint="eastAsia" w:ascii="黑体" w:hAnsi="黑体" w:eastAsia="黑体" w:cs="黑体"/>
          <w:sz w:val="36"/>
          <w:szCs w:val="36"/>
          <w:highlight w:val="none"/>
        </w:rPr>
      </w:pPr>
      <w:bookmarkStart w:id="57" w:name="_Toc10185"/>
      <w:bookmarkStart w:id="58" w:name="_Toc9179"/>
      <w:bookmarkStart w:id="59" w:name="_Toc15603"/>
      <w:r>
        <w:rPr>
          <w:rFonts w:hint="eastAsia" w:ascii="黑体" w:hAnsi="黑体" w:eastAsia="黑体" w:cs="黑体"/>
          <w:sz w:val="36"/>
          <w:szCs w:val="36"/>
          <w:highlight w:val="none"/>
        </w:rPr>
        <w:t>二、法定代表人身份证明</w:t>
      </w:r>
      <w:bookmarkEnd w:id="57"/>
      <w:bookmarkEnd w:id="58"/>
      <w:bookmarkEnd w:id="59"/>
    </w:p>
    <w:p w14:paraId="7F42EB4F">
      <w:pPr>
        <w:snapToGrid w:val="0"/>
        <w:spacing w:line="360" w:lineRule="auto"/>
        <w:ind w:firstLine="480" w:firstLineChars="200"/>
        <w:rPr>
          <w:rFonts w:hint="eastAsia" w:ascii="宋体" w:hAnsi="宋体" w:cs="仿宋_GB2312"/>
          <w:sz w:val="24"/>
          <w:highlight w:val="none"/>
        </w:rPr>
      </w:pPr>
    </w:p>
    <w:p w14:paraId="454A209F">
      <w:pPr>
        <w:pStyle w:val="32"/>
        <w:jc w:val="center"/>
        <w:rPr>
          <w:highlight w:val="none"/>
        </w:rPr>
      </w:pPr>
      <w:r>
        <w:rPr>
          <w:rFonts w:hint="eastAsia" w:ascii="宋体" w:hAnsi="宋体"/>
          <w:b/>
          <w:sz w:val="28"/>
          <w:szCs w:val="28"/>
          <w:highlight w:val="none"/>
        </w:rPr>
        <w:t>法定代表人身份证明</w:t>
      </w:r>
    </w:p>
    <w:p w14:paraId="47D25565">
      <w:pPr>
        <w:pStyle w:val="32"/>
        <w:rPr>
          <w:rFonts w:hint="eastAsia" w:ascii="宋体" w:hAnsi="宋体" w:cs="仿宋_GB2312"/>
          <w:highlight w:val="none"/>
        </w:rPr>
      </w:pPr>
    </w:p>
    <w:p w14:paraId="6B22D12A">
      <w:pPr>
        <w:pStyle w:val="10"/>
        <w:rPr>
          <w:highlight w:val="none"/>
        </w:rPr>
      </w:pPr>
    </w:p>
    <w:p w14:paraId="31BF316B">
      <w:pPr>
        <w:snapToGrid w:val="0"/>
        <w:spacing w:line="360" w:lineRule="auto"/>
        <w:ind w:firstLine="480" w:firstLineChars="200"/>
        <w:rPr>
          <w:rFonts w:hint="eastAsia" w:ascii="宋体" w:hAnsi="宋体" w:cs="仿宋_GB2312"/>
          <w:sz w:val="24"/>
          <w:highlight w:val="none"/>
          <w:u w:val="single"/>
        </w:rPr>
      </w:pPr>
      <w:r>
        <w:rPr>
          <w:rFonts w:hint="eastAsia" w:ascii="宋体" w:hAnsi="宋体" w:cs="仿宋_GB2312"/>
          <w:sz w:val="24"/>
          <w:highlight w:val="none"/>
        </w:rPr>
        <w:t>供应商名称：</w:t>
      </w:r>
      <w:r>
        <w:rPr>
          <w:rFonts w:hint="eastAsia" w:ascii="宋体" w:hAnsi="宋体" w:cs="仿宋_GB2312"/>
          <w:sz w:val="24"/>
          <w:highlight w:val="none"/>
          <w:u w:val="single"/>
        </w:rPr>
        <w:t xml:space="preserve">                                 </w:t>
      </w:r>
    </w:p>
    <w:p w14:paraId="0ED7A4C6">
      <w:pPr>
        <w:snapToGrid w:val="0"/>
        <w:spacing w:line="360" w:lineRule="auto"/>
        <w:ind w:firstLine="480" w:firstLineChars="200"/>
        <w:rPr>
          <w:rFonts w:hint="eastAsia" w:ascii="宋体" w:hAnsi="宋体" w:cs="仿宋_GB2312"/>
          <w:sz w:val="24"/>
          <w:highlight w:val="none"/>
        </w:rPr>
      </w:pPr>
      <w:r>
        <w:rPr>
          <w:rFonts w:hint="eastAsia" w:ascii="宋体" w:hAnsi="宋体" w:cs="仿宋_GB2312"/>
          <w:sz w:val="24"/>
          <w:highlight w:val="none"/>
        </w:rPr>
        <w:t>姓名：</w:t>
      </w:r>
      <w:r>
        <w:rPr>
          <w:rFonts w:hint="eastAsia" w:ascii="宋体" w:hAnsi="宋体" w:cs="仿宋_GB2312"/>
          <w:sz w:val="24"/>
          <w:highlight w:val="none"/>
          <w:u w:val="single"/>
        </w:rPr>
        <w:t xml:space="preserve">            </w:t>
      </w:r>
      <w:r>
        <w:rPr>
          <w:rFonts w:hint="eastAsia" w:ascii="宋体" w:hAnsi="宋体" w:cs="仿宋_GB2312"/>
          <w:sz w:val="24"/>
          <w:highlight w:val="none"/>
        </w:rPr>
        <w:t>性别：</w:t>
      </w:r>
      <w:r>
        <w:rPr>
          <w:rFonts w:hint="eastAsia" w:ascii="宋体" w:hAnsi="宋体" w:cs="仿宋_GB2312"/>
          <w:sz w:val="24"/>
          <w:highlight w:val="none"/>
          <w:u w:val="single"/>
        </w:rPr>
        <w:t xml:space="preserve">     </w:t>
      </w:r>
      <w:r>
        <w:rPr>
          <w:rFonts w:hint="eastAsia" w:ascii="宋体" w:hAnsi="宋体" w:cs="仿宋_GB2312"/>
          <w:sz w:val="24"/>
          <w:highlight w:val="none"/>
        </w:rPr>
        <w:t>年龄：</w:t>
      </w:r>
      <w:r>
        <w:rPr>
          <w:rFonts w:hint="eastAsia" w:ascii="宋体" w:hAnsi="宋体" w:cs="仿宋_GB2312"/>
          <w:sz w:val="24"/>
          <w:highlight w:val="none"/>
          <w:u w:val="single"/>
        </w:rPr>
        <w:t xml:space="preserve">       </w:t>
      </w:r>
      <w:r>
        <w:rPr>
          <w:rFonts w:hint="eastAsia" w:ascii="宋体" w:hAnsi="宋体" w:cs="仿宋_GB2312"/>
          <w:sz w:val="24"/>
          <w:highlight w:val="none"/>
        </w:rPr>
        <w:t>职务：</w:t>
      </w:r>
      <w:r>
        <w:rPr>
          <w:rFonts w:hint="eastAsia" w:ascii="宋体" w:hAnsi="宋体" w:cs="仿宋_GB2312"/>
          <w:sz w:val="24"/>
          <w:highlight w:val="none"/>
          <w:u w:val="single"/>
        </w:rPr>
        <w:t xml:space="preserve">         </w:t>
      </w:r>
    </w:p>
    <w:p w14:paraId="01D8FDAD">
      <w:pPr>
        <w:snapToGrid w:val="0"/>
        <w:spacing w:line="360" w:lineRule="auto"/>
        <w:ind w:firstLine="480" w:firstLineChars="200"/>
        <w:rPr>
          <w:rFonts w:hint="eastAsia" w:ascii="宋体" w:hAnsi="宋体" w:cs="仿宋_GB2312"/>
          <w:sz w:val="24"/>
          <w:highlight w:val="none"/>
        </w:rPr>
      </w:pPr>
      <w:r>
        <w:rPr>
          <w:rFonts w:hint="eastAsia" w:ascii="宋体" w:hAnsi="宋体" w:cs="仿宋_GB2312"/>
          <w:sz w:val="24"/>
          <w:highlight w:val="none"/>
        </w:rPr>
        <w:t>系</w:t>
      </w:r>
      <w:r>
        <w:rPr>
          <w:rFonts w:hint="eastAsia" w:ascii="宋体" w:hAnsi="宋体" w:cs="仿宋_GB2312"/>
          <w:sz w:val="24"/>
          <w:highlight w:val="none"/>
          <w:u w:val="single"/>
        </w:rPr>
        <w:t xml:space="preserve">                            </w:t>
      </w:r>
      <w:r>
        <w:rPr>
          <w:rFonts w:hint="eastAsia" w:ascii="宋体" w:hAnsi="宋体" w:cs="仿宋_GB2312"/>
          <w:sz w:val="24"/>
          <w:highlight w:val="none"/>
        </w:rPr>
        <w:t>（供应商名称）的法定代表人。</w:t>
      </w:r>
    </w:p>
    <w:p w14:paraId="7C887CBB">
      <w:pPr>
        <w:pStyle w:val="10"/>
        <w:ind w:firstLine="1200" w:firstLineChars="500"/>
        <w:rPr>
          <w:highlight w:val="none"/>
        </w:rPr>
      </w:pPr>
      <w:r>
        <w:rPr>
          <w:rFonts w:hint="eastAsia" w:ascii="宋体" w:hAnsi="宋体" w:cs="仿宋_GB2312"/>
          <w:sz w:val="24"/>
          <w:highlight w:val="none"/>
        </w:rPr>
        <w:t>特此证明。</w:t>
      </w:r>
    </w:p>
    <w:p w14:paraId="1B261C8E">
      <w:pPr>
        <w:snapToGrid w:val="0"/>
        <w:spacing w:line="360" w:lineRule="auto"/>
        <w:ind w:firstLine="480" w:firstLineChars="200"/>
        <w:rPr>
          <w:rFonts w:hint="eastAsia" w:ascii="宋体" w:hAnsi="宋体" w:cs="仿宋_GB2312"/>
          <w:sz w:val="24"/>
          <w:highlight w:val="none"/>
        </w:rPr>
      </w:pPr>
    </w:p>
    <w:p w14:paraId="20223F7E">
      <w:pPr>
        <w:snapToGrid w:val="0"/>
        <w:spacing w:line="360" w:lineRule="auto"/>
        <w:ind w:firstLine="480" w:firstLineChars="200"/>
        <w:rPr>
          <w:rFonts w:hint="eastAsia" w:ascii="宋体" w:hAnsi="宋体" w:cs="仿宋_GB2312"/>
          <w:sz w:val="24"/>
          <w:highlight w:val="none"/>
        </w:rPr>
      </w:pPr>
      <w:r>
        <w:rPr>
          <w:rFonts w:hint="eastAsia" w:ascii="宋体" w:hAnsi="宋体" w:cs="仿宋_GB2312"/>
          <w:sz w:val="24"/>
          <w:highlight w:val="none"/>
        </w:rPr>
        <w:t>附：法定代表人身份证复印件</w:t>
      </w:r>
    </w:p>
    <w:p w14:paraId="5CEA7853">
      <w:pPr>
        <w:pStyle w:val="10"/>
        <w:rPr>
          <w:highlight w:val="none"/>
        </w:rPr>
      </w:pPr>
    </w:p>
    <w:p w14:paraId="2A16E0CB">
      <w:pPr>
        <w:pStyle w:val="10"/>
        <w:rPr>
          <w:highlight w:val="none"/>
        </w:rPr>
      </w:pPr>
    </w:p>
    <w:p w14:paraId="4ABAA104">
      <w:pPr>
        <w:pStyle w:val="10"/>
        <w:rPr>
          <w:highlight w:val="none"/>
        </w:rPr>
      </w:pPr>
    </w:p>
    <w:p w14:paraId="74BFE50D">
      <w:pPr>
        <w:pStyle w:val="5"/>
        <w:overflowPunct w:val="0"/>
        <w:spacing w:line="520" w:lineRule="exact"/>
        <w:ind w:firstLine="0"/>
        <w:jc w:val="center"/>
        <w:rPr>
          <w:sz w:val="24"/>
          <w:highlight w:val="none"/>
        </w:rPr>
      </w:pPr>
      <w:r>
        <w:rPr>
          <w:rFonts w:hint="eastAsia"/>
          <w:sz w:val="24"/>
          <w:highlight w:val="none"/>
        </w:rPr>
        <w:t xml:space="preserve">             供应商名称：</w:t>
      </w:r>
      <w:r>
        <w:rPr>
          <w:rFonts w:hint="eastAsia"/>
          <w:sz w:val="24"/>
          <w:highlight w:val="none"/>
          <w:u w:val="single"/>
        </w:rPr>
        <w:t xml:space="preserve">                         </w:t>
      </w:r>
      <w:r>
        <w:rPr>
          <w:rFonts w:hint="eastAsia"/>
          <w:sz w:val="24"/>
          <w:highlight w:val="none"/>
        </w:rPr>
        <w:t>（盖单位公章）</w:t>
      </w:r>
    </w:p>
    <w:p w14:paraId="00C31252">
      <w:pPr>
        <w:pStyle w:val="5"/>
        <w:overflowPunct w:val="0"/>
        <w:spacing w:line="520" w:lineRule="exact"/>
        <w:ind w:firstLine="4800" w:firstLineChars="2000"/>
        <w:rPr>
          <w:sz w:val="24"/>
          <w:highlight w:val="none"/>
        </w:rPr>
      </w:pPr>
      <w:r>
        <w:rPr>
          <w:rFonts w:hint="eastAsia"/>
          <w:sz w:val="24"/>
          <w:highlight w:val="none"/>
          <w:u w:val="single"/>
        </w:rPr>
        <w:t xml:space="preserve">      </w:t>
      </w:r>
      <w:r>
        <w:rPr>
          <w:rFonts w:hint="eastAsia"/>
          <w:sz w:val="24"/>
          <w:highlight w:val="none"/>
        </w:rPr>
        <w:t>年</w:t>
      </w:r>
      <w:r>
        <w:rPr>
          <w:rFonts w:hint="eastAsia"/>
          <w:sz w:val="24"/>
          <w:highlight w:val="none"/>
          <w:u w:val="single"/>
        </w:rPr>
        <w:t xml:space="preserve">    </w:t>
      </w:r>
      <w:r>
        <w:rPr>
          <w:rFonts w:hint="eastAsia"/>
          <w:sz w:val="24"/>
          <w:highlight w:val="none"/>
        </w:rPr>
        <w:t>月</w:t>
      </w:r>
      <w:r>
        <w:rPr>
          <w:rFonts w:hint="eastAsia"/>
          <w:sz w:val="24"/>
          <w:highlight w:val="none"/>
          <w:u w:val="single"/>
        </w:rPr>
        <w:t xml:space="preserve">    </w:t>
      </w:r>
      <w:r>
        <w:rPr>
          <w:rFonts w:hint="eastAsia"/>
          <w:sz w:val="24"/>
          <w:highlight w:val="none"/>
        </w:rPr>
        <w:t>日</w:t>
      </w:r>
    </w:p>
    <w:p w14:paraId="56A28B29">
      <w:pPr>
        <w:pStyle w:val="10"/>
        <w:rPr>
          <w:highlight w:val="none"/>
        </w:rPr>
      </w:pPr>
    </w:p>
    <w:p w14:paraId="34C186A7">
      <w:pPr>
        <w:rPr>
          <w:highlight w:val="none"/>
        </w:rPr>
      </w:pPr>
      <w:r>
        <w:rPr>
          <w:highlight w:val="none"/>
        </w:rPr>
        <w:br w:type="page"/>
      </w:r>
    </w:p>
    <w:p w14:paraId="7F57830A">
      <w:pPr>
        <w:snapToGrid w:val="0"/>
        <w:spacing w:line="360" w:lineRule="auto"/>
        <w:jc w:val="center"/>
        <w:outlineLvl w:val="1"/>
        <w:rPr>
          <w:rFonts w:hint="eastAsia" w:ascii="黑体" w:hAnsi="黑体" w:eastAsia="黑体" w:cs="黑体"/>
          <w:sz w:val="36"/>
          <w:szCs w:val="36"/>
          <w:highlight w:val="none"/>
        </w:rPr>
      </w:pPr>
      <w:bookmarkStart w:id="60" w:name="_Toc21187"/>
      <w:bookmarkStart w:id="61" w:name="_Toc12118"/>
      <w:bookmarkStart w:id="62" w:name="_Toc20885"/>
      <w:r>
        <w:rPr>
          <w:rFonts w:hint="eastAsia" w:ascii="黑体" w:hAnsi="黑体" w:eastAsia="黑体" w:cs="黑体"/>
          <w:sz w:val="36"/>
          <w:szCs w:val="36"/>
          <w:highlight w:val="none"/>
        </w:rPr>
        <w:t>二、授权委托书</w:t>
      </w:r>
      <w:bookmarkEnd w:id="60"/>
      <w:bookmarkEnd w:id="61"/>
      <w:bookmarkEnd w:id="62"/>
    </w:p>
    <w:p w14:paraId="5B4B16AF">
      <w:pPr>
        <w:snapToGrid w:val="0"/>
        <w:spacing w:line="360" w:lineRule="auto"/>
        <w:ind w:firstLine="480" w:firstLineChars="200"/>
        <w:rPr>
          <w:rFonts w:hint="eastAsia" w:ascii="宋体" w:hAnsi="宋体" w:cs="仿宋_GB2312"/>
          <w:sz w:val="24"/>
          <w:highlight w:val="none"/>
        </w:rPr>
      </w:pPr>
    </w:p>
    <w:p w14:paraId="6AB221BF">
      <w:pPr>
        <w:pStyle w:val="32"/>
        <w:jc w:val="center"/>
        <w:rPr>
          <w:rFonts w:hint="eastAsia" w:ascii="宋体" w:hAnsi="宋体" w:cs="仿宋_GB2312"/>
          <w:highlight w:val="none"/>
        </w:rPr>
      </w:pPr>
      <w:r>
        <w:rPr>
          <w:rFonts w:hint="eastAsia" w:ascii="宋体" w:hAnsi="宋体"/>
          <w:b/>
          <w:sz w:val="28"/>
          <w:szCs w:val="28"/>
          <w:highlight w:val="none"/>
        </w:rPr>
        <w:t>授权委托书</w:t>
      </w:r>
    </w:p>
    <w:p w14:paraId="4EC584FC">
      <w:pPr>
        <w:pStyle w:val="10"/>
        <w:rPr>
          <w:highlight w:val="none"/>
        </w:rPr>
      </w:pPr>
    </w:p>
    <w:p w14:paraId="0A8BA745">
      <w:pPr>
        <w:spacing w:line="400" w:lineRule="exact"/>
        <w:ind w:firstLine="480" w:firstLineChars="200"/>
        <w:rPr>
          <w:rFonts w:hint="eastAsia" w:ascii="宋体" w:hAnsi="宋体"/>
          <w:sz w:val="24"/>
          <w:highlight w:val="none"/>
        </w:rPr>
      </w:pPr>
      <w:r>
        <w:rPr>
          <w:rFonts w:hint="eastAsia" w:ascii="宋体" w:hAnsi="宋体"/>
          <w:sz w:val="24"/>
          <w:highlight w:val="none"/>
        </w:rPr>
        <w:t>本人</w:t>
      </w:r>
      <w:r>
        <w:rPr>
          <w:rFonts w:hint="eastAsia" w:ascii="宋体" w:hAnsi="宋体"/>
          <w:sz w:val="24"/>
          <w:highlight w:val="none"/>
          <w:u w:val="single"/>
        </w:rPr>
        <w:t xml:space="preserve">             </w:t>
      </w:r>
      <w:r>
        <w:rPr>
          <w:rFonts w:ascii="宋体" w:hAnsi="宋体"/>
          <w:sz w:val="24"/>
          <w:highlight w:val="none"/>
        </w:rPr>
        <w:t>(姓名)系</w:t>
      </w:r>
      <w:r>
        <w:rPr>
          <w:rFonts w:hint="eastAsia" w:ascii="宋体" w:hAnsi="宋体"/>
          <w:sz w:val="24"/>
          <w:highlight w:val="none"/>
          <w:u w:val="single"/>
        </w:rPr>
        <w:t xml:space="preserve">             </w:t>
      </w:r>
      <w:r>
        <w:rPr>
          <w:rFonts w:ascii="宋体" w:hAnsi="宋体"/>
          <w:sz w:val="24"/>
          <w:highlight w:val="none"/>
        </w:rPr>
        <w:t>(</w:t>
      </w:r>
      <w:r>
        <w:rPr>
          <w:rFonts w:hint="eastAsia" w:ascii="宋体" w:hAnsi="宋体"/>
          <w:sz w:val="24"/>
          <w:highlight w:val="none"/>
        </w:rPr>
        <w:t>供应商</w:t>
      </w:r>
      <w:r>
        <w:rPr>
          <w:rFonts w:ascii="宋体" w:hAnsi="宋体"/>
          <w:sz w:val="24"/>
          <w:highlight w:val="none"/>
        </w:rPr>
        <w:t>名称)的法定代表人，</w:t>
      </w:r>
      <w:r>
        <w:rPr>
          <w:rFonts w:hint="eastAsia" w:ascii="宋体" w:hAnsi="宋体"/>
          <w:sz w:val="24"/>
          <w:highlight w:val="none"/>
        </w:rPr>
        <w:t>现委托</w:t>
      </w:r>
      <w:r>
        <w:rPr>
          <w:rFonts w:hint="eastAsia" w:ascii="宋体" w:hAnsi="宋体"/>
          <w:sz w:val="24"/>
          <w:highlight w:val="none"/>
          <w:u w:val="single"/>
        </w:rPr>
        <w:t xml:space="preserve">             </w:t>
      </w:r>
      <w:r>
        <w:rPr>
          <w:rFonts w:ascii="宋体" w:hAnsi="宋体"/>
          <w:sz w:val="24"/>
          <w:highlight w:val="none"/>
        </w:rPr>
        <w:t xml:space="preserve"> (姓名)</w:t>
      </w:r>
      <w:r>
        <w:rPr>
          <w:rFonts w:hint="eastAsia" w:ascii="宋体" w:hAnsi="宋体"/>
          <w:sz w:val="24"/>
          <w:highlight w:val="none"/>
        </w:rPr>
        <w:t>为我方代理人。代理人根据授权，以我方名义签署、澄清确认、递交、撤回、修改</w:t>
      </w:r>
      <w:r>
        <w:rPr>
          <w:rFonts w:hint="eastAsia" w:ascii="宋体" w:hAnsi="宋体"/>
          <w:sz w:val="24"/>
          <w:highlight w:val="none"/>
          <w:u w:val="single"/>
          <w:lang w:eastAsia="zh-CN"/>
        </w:rPr>
        <w:t>桂江（莲花大桥至桂江河口）航道扩建工程</w:t>
      </w:r>
      <w:r>
        <w:rPr>
          <w:rFonts w:hint="eastAsia" w:ascii="宋体" w:hAnsi="宋体"/>
          <w:sz w:val="24"/>
          <w:highlight w:val="none"/>
          <w:u w:val="single"/>
        </w:rPr>
        <w:t>工程可行性研究</w:t>
      </w:r>
      <w:r>
        <w:rPr>
          <w:rFonts w:hint="eastAsia" w:ascii="宋体" w:hAnsi="宋体"/>
          <w:sz w:val="24"/>
          <w:highlight w:val="none"/>
          <w:u w:val="single"/>
          <w:lang w:eastAsia="zh-CN"/>
        </w:rPr>
        <w:t>服务采购项目</w:t>
      </w:r>
      <w:r>
        <w:rPr>
          <w:rFonts w:hint="eastAsia" w:ascii="宋体" w:hAnsi="宋体"/>
          <w:sz w:val="24"/>
          <w:highlight w:val="none"/>
          <w:u w:val="single"/>
        </w:rPr>
        <w:t>（项目名称）</w:t>
      </w:r>
      <w:r>
        <w:rPr>
          <w:rFonts w:hint="eastAsia" w:ascii="宋体" w:hAnsi="宋体"/>
          <w:sz w:val="24"/>
          <w:highlight w:val="none"/>
        </w:rPr>
        <w:t>响应文件和处理有关事宜，其法律后果由我方承担。</w:t>
      </w:r>
    </w:p>
    <w:p w14:paraId="2A9CAEE0">
      <w:pPr>
        <w:spacing w:line="400" w:lineRule="exact"/>
        <w:ind w:firstLine="480"/>
        <w:rPr>
          <w:rFonts w:hint="eastAsia" w:ascii="宋体" w:hAnsi="宋体"/>
          <w:sz w:val="24"/>
          <w:highlight w:val="none"/>
        </w:rPr>
      </w:pPr>
      <w:r>
        <w:rPr>
          <w:rFonts w:hint="eastAsia" w:ascii="宋体" w:hAnsi="宋体"/>
          <w:sz w:val="24"/>
          <w:highlight w:val="none"/>
        </w:rPr>
        <w:t>委托</w:t>
      </w:r>
      <w:r>
        <w:rPr>
          <w:rFonts w:ascii="宋体" w:hAnsi="宋体"/>
          <w:sz w:val="24"/>
          <w:highlight w:val="none"/>
        </w:rPr>
        <w:t>期限</w:t>
      </w:r>
      <w:r>
        <w:rPr>
          <w:rFonts w:hint="eastAsia" w:ascii="宋体" w:hAnsi="宋体"/>
          <w:sz w:val="24"/>
          <w:highlight w:val="none"/>
        </w:rPr>
        <w:t>：</w:t>
      </w:r>
      <w:r>
        <w:rPr>
          <w:rFonts w:ascii="宋体" w:hAnsi="宋体"/>
          <w:sz w:val="24"/>
          <w:highlight w:val="none"/>
        </w:rPr>
        <w:t>自</w:t>
      </w:r>
      <w:r>
        <w:rPr>
          <w:rFonts w:hint="eastAsia" w:ascii="宋体" w:hAnsi="宋体"/>
          <w:sz w:val="24"/>
          <w:highlight w:val="none"/>
          <w:u w:val="single"/>
        </w:rPr>
        <w:t xml:space="preserve">    </w:t>
      </w:r>
      <w:r>
        <w:rPr>
          <w:rFonts w:ascii="宋体" w:hAnsi="宋体"/>
          <w:sz w:val="24"/>
          <w:highlight w:val="none"/>
        </w:rPr>
        <w:t>年</w:t>
      </w:r>
      <w:r>
        <w:rPr>
          <w:rFonts w:hint="eastAsia" w:ascii="宋体" w:hAnsi="宋体"/>
          <w:sz w:val="24"/>
          <w:highlight w:val="none"/>
          <w:u w:val="single"/>
        </w:rPr>
        <w:t xml:space="preserve">    </w:t>
      </w:r>
      <w:r>
        <w:rPr>
          <w:rFonts w:ascii="宋体" w:hAnsi="宋体"/>
          <w:sz w:val="24"/>
          <w:highlight w:val="none"/>
        </w:rPr>
        <w:t>月</w:t>
      </w:r>
      <w:r>
        <w:rPr>
          <w:rFonts w:hint="eastAsia" w:ascii="宋体" w:hAnsi="宋体"/>
          <w:sz w:val="24"/>
          <w:highlight w:val="none"/>
          <w:u w:val="single"/>
        </w:rPr>
        <w:t xml:space="preserve">    </w:t>
      </w:r>
      <w:r>
        <w:rPr>
          <w:rFonts w:ascii="宋体" w:hAnsi="宋体"/>
          <w:sz w:val="24"/>
          <w:highlight w:val="none"/>
        </w:rPr>
        <w:t>日起至</w:t>
      </w:r>
      <w:r>
        <w:rPr>
          <w:rFonts w:hint="eastAsia" w:ascii="宋体" w:hAnsi="宋体"/>
          <w:sz w:val="24"/>
          <w:highlight w:val="none"/>
          <w:u w:val="single"/>
        </w:rPr>
        <w:t xml:space="preserve">    </w:t>
      </w:r>
      <w:r>
        <w:rPr>
          <w:rFonts w:ascii="宋体" w:hAnsi="宋体"/>
          <w:sz w:val="24"/>
          <w:highlight w:val="none"/>
        </w:rPr>
        <w:t>年</w:t>
      </w:r>
      <w:r>
        <w:rPr>
          <w:rFonts w:hint="eastAsia" w:ascii="宋体" w:hAnsi="宋体"/>
          <w:sz w:val="24"/>
          <w:highlight w:val="none"/>
          <w:u w:val="single"/>
        </w:rPr>
        <w:t xml:space="preserve">    </w:t>
      </w:r>
      <w:r>
        <w:rPr>
          <w:rFonts w:ascii="宋体" w:hAnsi="宋体"/>
          <w:sz w:val="24"/>
          <w:highlight w:val="none"/>
        </w:rPr>
        <w:t>月</w:t>
      </w:r>
      <w:r>
        <w:rPr>
          <w:rFonts w:hint="eastAsia" w:ascii="宋体" w:hAnsi="宋体"/>
          <w:sz w:val="24"/>
          <w:highlight w:val="none"/>
          <w:u w:val="single"/>
        </w:rPr>
        <w:t xml:space="preserve">    </w:t>
      </w:r>
      <w:r>
        <w:rPr>
          <w:rFonts w:ascii="宋体" w:hAnsi="宋体"/>
          <w:sz w:val="24"/>
          <w:highlight w:val="none"/>
        </w:rPr>
        <w:t>日止。</w:t>
      </w:r>
    </w:p>
    <w:p w14:paraId="57ED92AD">
      <w:pPr>
        <w:spacing w:line="400" w:lineRule="exact"/>
        <w:ind w:firstLine="480"/>
        <w:rPr>
          <w:rFonts w:hint="eastAsia" w:ascii="宋体" w:hAnsi="宋体"/>
          <w:sz w:val="24"/>
          <w:highlight w:val="none"/>
        </w:rPr>
      </w:pPr>
      <w:r>
        <w:rPr>
          <w:rFonts w:hint="eastAsia" w:ascii="宋体" w:hAnsi="宋体"/>
          <w:sz w:val="24"/>
          <w:highlight w:val="none"/>
        </w:rPr>
        <w:t>代理人无转委托权。</w:t>
      </w:r>
    </w:p>
    <w:p w14:paraId="5020E5BE">
      <w:pPr>
        <w:spacing w:line="400" w:lineRule="exact"/>
        <w:rPr>
          <w:rFonts w:hint="eastAsia" w:ascii="宋体" w:hAnsi="宋体"/>
          <w:sz w:val="24"/>
          <w:highlight w:val="none"/>
        </w:rPr>
      </w:pPr>
    </w:p>
    <w:p w14:paraId="191A7D45">
      <w:pPr>
        <w:spacing w:line="400" w:lineRule="exact"/>
        <w:ind w:firstLine="600" w:firstLineChars="250"/>
        <w:rPr>
          <w:rFonts w:hint="eastAsia" w:ascii="宋体" w:hAnsi="宋体"/>
          <w:sz w:val="24"/>
          <w:highlight w:val="none"/>
        </w:rPr>
      </w:pPr>
      <w:r>
        <w:rPr>
          <w:rFonts w:hint="eastAsia" w:ascii="宋体" w:hAnsi="宋体"/>
          <w:sz w:val="24"/>
          <w:highlight w:val="none"/>
        </w:rPr>
        <w:t>附：</w:t>
      </w:r>
      <w:r>
        <w:rPr>
          <w:rFonts w:hint="eastAsia" w:ascii="宋体" w:hAnsi="宋体" w:cs="仿宋_GB2312"/>
          <w:sz w:val="24"/>
          <w:highlight w:val="none"/>
        </w:rPr>
        <w:t>法定代表人身份证复印件及</w:t>
      </w:r>
      <w:r>
        <w:rPr>
          <w:rFonts w:hint="eastAsia" w:ascii="宋体" w:hAnsi="宋体"/>
          <w:snapToGrid w:val="0"/>
          <w:kern w:val="0"/>
          <w:sz w:val="24"/>
          <w:highlight w:val="none"/>
        </w:rPr>
        <w:t>委托代理人身份证复印件</w:t>
      </w:r>
    </w:p>
    <w:p w14:paraId="28449257">
      <w:pPr>
        <w:spacing w:line="400" w:lineRule="exact"/>
        <w:ind w:firstLine="480"/>
        <w:rPr>
          <w:rFonts w:hint="eastAsia" w:ascii="宋体" w:hAnsi="宋体"/>
          <w:sz w:val="24"/>
          <w:highlight w:val="none"/>
        </w:rPr>
      </w:pPr>
    </w:p>
    <w:p w14:paraId="69AED803">
      <w:pPr>
        <w:spacing w:line="400" w:lineRule="exact"/>
        <w:rPr>
          <w:rFonts w:hint="eastAsia" w:ascii="宋体" w:hAnsi="宋体"/>
          <w:sz w:val="24"/>
          <w:highlight w:val="none"/>
        </w:rPr>
      </w:pPr>
    </w:p>
    <w:p w14:paraId="73A1E512">
      <w:pPr>
        <w:pStyle w:val="32"/>
        <w:rPr>
          <w:highlight w:val="none"/>
        </w:rPr>
      </w:pPr>
    </w:p>
    <w:p w14:paraId="24DDD8A7">
      <w:pPr>
        <w:spacing w:line="400" w:lineRule="exact"/>
        <w:rPr>
          <w:rFonts w:hint="eastAsia" w:ascii="宋体" w:hAnsi="宋体"/>
          <w:sz w:val="24"/>
          <w:highlight w:val="none"/>
        </w:rPr>
      </w:pPr>
    </w:p>
    <w:p w14:paraId="6DCD54E8">
      <w:pPr>
        <w:spacing w:line="720" w:lineRule="auto"/>
        <w:ind w:firstLine="3480" w:firstLineChars="1450"/>
        <w:rPr>
          <w:rFonts w:hint="eastAsia" w:ascii="宋体" w:hAnsi="宋体"/>
          <w:sz w:val="24"/>
          <w:highlight w:val="none"/>
        </w:rPr>
      </w:pPr>
      <w:r>
        <w:rPr>
          <w:rFonts w:hint="eastAsia" w:ascii="宋体" w:hAnsi="宋体"/>
          <w:sz w:val="24"/>
          <w:highlight w:val="none"/>
        </w:rPr>
        <w:t>供应商：</w:t>
      </w:r>
      <w:r>
        <w:rPr>
          <w:rFonts w:hint="eastAsia" w:ascii="宋体" w:hAnsi="宋体"/>
          <w:sz w:val="24"/>
          <w:highlight w:val="none"/>
          <w:u w:val="single"/>
        </w:rPr>
        <w:t xml:space="preserve">                     </w:t>
      </w:r>
      <w:r>
        <w:rPr>
          <w:rFonts w:hint="eastAsia" w:ascii="宋体" w:hAnsi="宋体"/>
          <w:sz w:val="24"/>
          <w:highlight w:val="none"/>
        </w:rPr>
        <w:t>（</w:t>
      </w:r>
      <w:r>
        <w:rPr>
          <w:rFonts w:hint="eastAsia"/>
          <w:sz w:val="24"/>
          <w:highlight w:val="none"/>
        </w:rPr>
        <w:t>盖单位公章</w:t>
      </w:r>
      <w:r>
        <w:rPr>
          <w:rFonts w:hint="eastAsia" w:ascii="宋体" w:hAnsi="宋体"/>
          <w:sz w:val="24"/>
          <w:highlight w:val="none"/>
        </w:rPr>
        <w:t>）</w:t>
      </w:r>
    </w:p>
    <w:p w14:paraId="793F4B1A">
      <w:pPr>
        <w:spacing w:line="720" w:lineRule="auto"/>
        <w:ind w:firstLine="3480" w:firstLineChars="1450"/>
        <w:rPr>
          <w:rFonts w:hint="eastAsia" w:ascii="宋体" w:hAnsi="宋体"/>
          <w:sz w:val="24"/>
          <w:highlight w:val="none"/>
        </w:rPr>
      </w:pPr>
      <w:r>
        <w:rPr>
          <w:rFonts w:hint="eastAsia" w:ascii="宋体" w:hAnsi="宋体"/>
          <w:sz w:val="24"/>
          <w:highlight w:val="none"/>
        </w:rPr>
        <w:t>法定代表人：</w:t>
      </w:r>
      <w:r>
        <w:rPr>
          <w:rFonts w:hint="eastAsia" w:ascii="宋体" w:hAnsi="宋体"/>
          <w:sz w:val="24"/>
          <w:highlight w:val="none"/>
          <w:u w:val="single"/>
        </w:rPr>
        <w:t xml:space="preserve">                 </w:t>
      </w:r>
      <w:r>
        <w:rPr>
          <w:rFonts w:hint="eastAsia" w:ascii="宋体" w:hAnsi="宋体"/>
          <w:sz w:val="24"/>
          <w:highlight w:val="none"/>
        </w:rPr>
        <w:t>（签字或盖章）</w:t>
      </w:r>
    </w:p>
    <w:p w14:paraId="0C312A58">
      <w:pPr>
        <w:spacing w:line="720" w:lineRule="auto"/>
        <w:ind w:firstLine="3480" w:firstLineChars="1450"/>
        <w:rPr>
          <w:rFonts w:hint="eastAsia" w:ascii="宋体" w:hAnsi="宋体"/>
          <w:sz w:val="24"/>
          <w:highlight w:val="none"/>
        </w:rPr>
      </w:pPr>
      <w:r>
        <w:rPr>
          <w:rFonts w:hint="eastAsia" w:ascii="宋体" w:hAnsi="宋体"/>
          <w:sz w:val="24"/>
          <w:highlight w:val="none"/>
        </w:rPr>
        <w:t>身份证号码：</w:t>
      </w:r>
      <w:r>
        <w:rPr>
          <w:rFonts w:hint="eastAsia" w:ascii="宋体" w:hAnsi="宋体"/>
          <w:sz w:val="24"/>
          <w:highlight w:val="none"/>
          <w:u w:val="single"/>
        </w:rPr>
        <w:t xml:space="preserve">                            </w:t>
      </w:r>
    </w:p>
    <w:p w14:paraId="55323C39">
      <w:pPr>
        <w:spacing w:line="720" w:lineRule="auto"/>
        <w:ind w:firstLine="3480" w:firstLineChars="1450"/>
        <w:rPr>
          <w:rFonts w:hint="eastAsia" w:ascii="宋体" w:hAnsi="宋体"/>
          <w:sz w:val="24"/>
          <w:highlight w:val="none"/>
        </w:rPr>
      </w:pPr>
      <w:r>
        <w:rPr>
          <w:rFonts w:hint="eastAsia" w:ascii="宋体" w:hAnsi="宋体"/>
          <w:sz w:val="24"/>
          <w:highlight w:val="none"/>
        </w:rPr>
        <w:t>委托代理人：</w:t>
      </w:r>
      <w:r>
        <w:rPr>
          <w:rFonts w:hint="eastAsia" w:ascii="宋体" w:hAnsi="宋体"/>
          <w:sz w:val="24"/>
          <w:highlight w:val="none"/>
          <w:u w:val="single"/>
        </w:rPr>
        <w:t xml:space="preserve">                       </w:t>
      </w:r>
      <w:r>
        <w:rPr>
          <w:rFonts w:hint="eastAsia" w:ascii="宋体" w:hAnsi="宋体"/>
          <w:sz w:val="24"/>
          <w:highlight w:val="none"/>
        </w:rPr>
        <w:t>（签字）</w:t>
      </w:r>
    </w:p>
    <w:p w14:paraId="033D30C6">
      <w:pPr>
        <w:spacing w:line="720" w:lineRule="auto"/>
        <w:ind w:firstLine="3480" w:firstLineChars="1450"/>
        <w:rPr>
          <w:rFonts w:hint="eastAsia" w:ascii="宋体" w:hAnsi="宋体"/>
          <w:sz w:val="24"/>
          <w:highlight w:val="none"/>
        </w:rPr>
      </w:pPr>
      <w:r>
        <w:rPr>
          <w:rFonts w:hint="eastAsia" w:ascii="宋体" w:hAnsi="宋体"/>
          <w:sz w:val="24"/>
          <w:highlight w:val="none"/>
        </w:rPr>
        <w:t>身份证号码：</w:t>
      </w:r>
      <w:r>
        <w:rPr>
          <w:rFonts w:hint="eastAsia" w:ascii="宋体" w:hAnsi="宋体"/>
          <w:sz w:val="24"/>
          <w:highlight w:val="none"/>
          <w:u w:val="single"/>
        </w:rPr>
        <w:t xml:space="preserve">                             </w:t>
      </w:r>
    </w:p>
    <w:p w14:paraId="5D84DC24">
      <w:pPr>
        <w:spacing w:line="720" w:lineRule="auto"/>
        <w:ind w:firstLine="5040" w:firstLineChars="2100"/>
        <w:rPr>
          <w:rFonts w:hint="eastAsia" w:ascii="宋体" w:hAnsi="宋体"/>
          <w:sz w:val="24"/>
          <w:highlight w:val="none"/>
        </w:rPr>
      </w:pPr>
      <w:r>
        <w:rPr>
          <w:rFonts w:hint="eastAsia"/>
          <w:sz w:val="24"/>
          <w:highlight w:val="none"/>
          <w:u w:val="single"/>
        </w:rPr>
        <w:t xml:space="preserve">      </w:t>
      </w:r>
      <w:r>
        <w:rPr>
          <w:rFonts w:hint="eastAsia"/>
          <w:sz w:val="24"/>
          <w:highlight w:val="none"/>
        </w:rPr>
        <w:t>年</w:t>
      </w:r>
      <w:r>
        <w:rPr>
          <w:rFonts w:hint="eastAsia"/>
          <w:sz w:val="24"/>
          <w:highlight w:val="none"/>
          <w:u w:val="single"/>
        </w:rPr>
        <w:t xml:space="preserve">    </w:t>
      </w:r>
      <w:r>
        <w:rPr>
          <w:rFonts w:hint="eastAsia"/>
          <w:sz w:val="24"/>
          <w:highlight w:val="none"/>
        </w:rPr>
        <w:t>月</w:t>
      </w:r>
      <w:r>
        <w:rPr>
          <w:rFonts w:hint="eastAsia"/>
          <w:sz w:val="24"/>
          <w:highlight w:val="none"/>
          <w:u w:val="single"/>
        </w:rPr>
        <w:t xml:space="preserve">    </w:t>
      </w:r>
      <w:r>
        <w:rPr>
          <w:rFonts w:hint="eastAsia"/>
          <w:sz w:val="24"/>
          <w:highlight w:val="none"/>
        </w:rPr>
        <w:t>日</w:t>
      </w:r>
    </w:p>
    <w:p w14:paraId="4CFE4478">
      <w:pPr>
        <w:pStyle w:val="10"/>
        <w:tabs>
          <w:tab w:val="left" w:leader="dot" w:pos="480"/>
        </w:tabs>
        <w:rPr>
          <w:bCs/>
          <w:highlight w:val="none"/>
        </w:rPr>
      </w:pPr>
    </w:p>
    <w:p w14:paraId="519595F2">
      <w:pPr>
        <w:rPr>
          <w:bCs/>
          <w:highlight w:val="none"/>
        </w:rPr>
      </w:pPr>
      <w:r>
        <w:rPr>
          <w:bCs/>
          <w:highlight w:val="none"/>
        </w:rPr>
        <w:br w:type="page"/>
      </w:r>
    </w:p>
    <w:p w14:paraId="72A64365">
      <w:pPr>
        <w:snapToGrid w:val="0"/>
        <w:spacing w:line="360" w:lineRule="auto"/>
        <w:jc w:val="center"/>
        <w:outlineLvl w:val="1"/>
        <w:rPr>
          <w:rFonts w:hint="eastAsia" w:ascii="黑体" w:hAnsi="黑体" w:eastAsia="黑体" w:cs="黑体"/>
          <w:sz w:val="36"/>
          <w:szCs w:val="36"/>
          <w:highlight w:val="none"/>
        </w:rPr>
      </w:pPr>
      <w:bookmarkStart w:id="63" w:name="_Toc1684"/>
      <w:bookmarkStart w:id="64" w:name="_Toc8009"/>
      <w:bookmarkStart w:id="65" w:name="_Toc2974"/>
      <w:r>
        <w:rPr>
          <w:rFonts w:hint="eastAsia" w:ascii="黑体" w:hAnsi="黑体" w:eastAsia="黑体" w:cs="黑体"/>
          <w:sz w:val="36"/>
          <w:szCs w:val="36"/>
          <w:highlight w:val="none"/>
        </w:rPr>
        <w:t>三、报价清单</w:t>
      </w:r>
      <w:bookmarkEnd w:id="63"/>
      <w:bookmarkEnd w:id="64"/>
      <w:bookmarkEnd w:id="65"/>
    </w:p>
    <w:p w14:paraId="6F747BC4">
      <w:pPr>
        <w:jc w:val="center"/>
        <w:outlineLvl w:val="2"/>
        <w:rPr>
          <w:rFonts w:hint="eastAsia" w:ascii="黑体" w:hAnsi="宋体" w:eastAsia="方正小标宋简体"/>
          <w:sz w:val="24"/>
          <w:highlight w:val="none"/>
        </w:rPr>
      </w:pPr>
      <w:bookmarkStart w:id="66" w:name="_Toc10738"/>
      <w:bookmarkStart w:id="67" w:name="_Toc32344"/>
      <w:r>
        <w:rPr>
          <w:rFonts w:hint="eastAsia" w:ascii="宋体" w:hAnsi="宋体" w:cs="宋体"/>
          <w:b/>
          <w:sz w:val="32"/>
          <w:szCs w:val="32"/>
          <w:highlight w:val="none"/>
        </w:rPr>
        <w:t>（一）报价文件说明</w:t>
      </w:r>
      <w:bookmarkEnd w:id="66"/>
      <w:bookmarkEnd w:id="67"/>
    </w:p>
    <w:p w14:paraId="62BCF4A1">
      <w:pPr>
        <w:rPr>
          <w:rFonts w:hint="eastAsia" w:ascii="黑体" w:hAnsi="宋体" w:eastAsia="黑体"/>
          <w:sz w:val="24"/>
          <w:highlight w:val="none"/>
        </w:rPr>
      </w:pPr>
    </w:p>
    <w:p w14:paraId="0601AA05">
      <w:pPr>
        <w:spacing w:line="400" w:lineRule="exact"/>
        <w:ind w:firstLine="480" w:firstLineChars="200"/>
        <w:rPr>
          <w:rFonts w:hint="eastAsia" w:ascii="宋体" w:hAnsi="宋体"/>
          <w:sz w:val="24"/>
          <w:highlight w:val="none"/>
        </w:rPr>
      </w:pPr>
      <w:r>
        <w:rPr>
          <w:rFonts w:hint="eastAsia" w:ascii="宋体" w:hAnsi="宋体"/>
          <w:sz w:val="24"/>
          <w:highlight w:val="none"/>
        </w:rPr>
        <w:t>1.“报价清单”应与“供应商须知”“采购内容及要求”“合同条款”等一起使用。</w:t>
      </w:r>
    </w:p>
    <w:p w14:paraId="08E43A04">
      <w:pPr>
        <w:spacing w:line="400" w:lineRule="exact"/>
        <w:ind w:firstLine="480" w:firstLineChars="200"/>
        <w:rPr>
          <w:rFonts w:hint="eastAsia" w:ascii="宋体" w:hAnsi="宋体"/>
          <w:sz w:val="24"/>
          <w:highlight w:val="none"/>
        </w:rPr>
      </w:pPr>
      <w:r>
        <w:rPr>
          <w:rFonts w:hint="eastAsia" w:ascii="宋体" w:hAnsi="宋体"/>
          <w:sz w:val="24"/>
          <w:highlight w:val="none"/>
        </w:rPr>
        <w:t>2.本次采购采用总价包干，报价为完成本项目全过程的所有费用，包含但不限于从前期踏勘、资料收集、水上水下施工许可证办理费用、报告编制费、现场管理费、会议、专家咨询费、调研差旅费、管理费、文印费、设备耗材费、税费及合同包含的所有风险、责任及措施等费用，包含为完成</w:t>
      </w:r>
      <w:r>
        <w:rPr>
          <w:rFonts w:hint="eastAsia" w:ascii="宋体" w:hAnsi="宋体"/>
          <w:sz w:val="24"/>
          <w:highlight w:val="none"/>
          <w:lang w:eastAsia="zh-CN"/>
        </w:rPr>
        <w:t>桂江（莲花大桥至桂江河口）航道扩建工程</w:t>
      </w:r>
      <w:r>
        <w:rPr>
          <w:rFonts w:hint="eastAsia" w:ascii="宋体" w:hAnsi="宋体"/>
          <w:sz w:val="24"/>
          <w:highlight w:val="none"/>
        </w:rPr>
        <w:t>工程可行性研究</w:t>
      </w:r>
      <w:r>
        <w:rPr>
          <w:rFonts w:hint="eastAsia" w:ascii="宋体" w:hAnsi="宋体"/>
          <w:sz w:val="24"/>
          <w:highlight w:val="none"/>
          <w:lang w:eastAsia="zh-CN"/>
        </w:rPr>
        <w:t>服务项目</w:t>
      </w:r>
      <w:r>
        <w:rPr>
          <w:rFonts w:hint="eastAsia" w:ascii="宋体" w:hAnsi="宋体"/>
          <w:sz w:val="24"/>
          <w:highlight w:val="none"/>
        </w:rPr>
        <w:t>的全部工作以及可能发生的各种费用。本项目合同总价在合同执行过程中是固定的，不因情况变化而调整。</w:t>
      </w:r>
    </w:p>
    <w:p w14:paraId="369267C5">
      <w:pPr>
        <w:spacing w:line="400" w:lineRule="exact"/>
        <w:ind w:firstLine="480" w:firstLineChars="200"/>
        <w:rPr>
          <w:rFonts w:hint="eastAsia" w:ascii="宋体" w:hAnsi="宋体"/>
          <w:sz w:val="24"/>
          <w:highlight w:val="none"/>
        </w:rPr>
      </w:pPr>
      <w:r>
        <w:rPr>
          <w:rFonts w:hint="eastAsia" w:ascii="宋体" w:hAnsi="宋体"/>
          <w:sz w:val="24"/>
          <w:highlight w:val="none"/>
        </w:rPr>
        <w:t>3.</w:t>
      </w:r>
      <w:r>
        <w:rPr>
          <w:rFonts w:hint="eastAsia" w:ascii="宋体" w:hAnsi="宋体"/>
          <w:sz w:val="24"/>
          <w:highlight w:val="none"/>
          <w:lang w:eastAsia="zh-CN"/>
        </w:rPr>
        <w:t>投标</w:t>
      </w:r>
      <w:r>
        <w:rPr>
          <w:rFonts w:hint="eastAsia" w:ascii="宋体" w:hAnsi="宋体"/>
          <w:sz w:val="24"/>
          <w:highlight w:val="none"/>
        </w:rPr>
        <w:t>报价为一次报价，此次报价即最终报价，不再就价格问题另行协商。</w:t>
      </w:r>
    </w:p>
    <w:p w14:paraId="29A3D2E0">
      <w:pPr>
        <w:spacing w:line="400" w:lineRule="exact"/>
        <w:ind w:firstLine="480" w:firstLineChars="200"/>
        <w:rPr>
          <w:rFonts w:hint="eastAsia" w:ascii="宋体" w:hAnsi="宋体"/>
          <w:sz w:val="24"/>
          <w:highlight w:val="none"/>
        </w:rPr>
      </w:pPr>
      <w:r>
        <w:rPr>
          <w:rFonts w:hint="eastAsia" w:ascii="宋体" w:hAnsi="宋体"/>
          <w:sz w:val="24"/>
          <w:highlight w:val="none"/>
        </w:rPr>
        <w:t>4.“报价清单”中报价应以人民币为单位。</w:t>
      </w:r>
    </w:p>
    <w:p w14:paraId="0CDD9AD8">
      <w:pPr>
        <w:spacing w:line="400" w:lineRule="exact"/>
        <w:ind w:firstLine="480" w:firstLineChars="200"/>
        <w:rPr>
          <w:rFonts w:hint="eastAsia" w:ascii="宋体" w:hAnsi="宋体"/>
          <w:sz w:val="24"/>
          <w:highlight w:val="none"/>
        </w:rPr>
      </w:pPr>
      <w:r>
        <w:rPr>
          <w:rFonts w:hint="eastAsia" w:ascii="宋体" w:hAnsi="宋体"/>
          <w:sz w:val="24"/>
          <w:highlight w:val="none"/>
        </w:rPr>
        <w:t>5.报价应为含税价格，并且能够提供增值税发票。</w:t>
      </w:r>
    </w:p>
    <w:p w14:paraId="2C89FE2D">
      <w:pPr>
        <w:spacing w:line="400" w:lineRule="exact"/>
        <w:ind w:firstLine="480" w:firstLineChars="200"/>
        <w:rPr>
          <w:rFonts w:hint="eastAsia" w:ascii="宋体" w:hAnsi="宋体"/>
          <w:sz w:val="24"/>
          <w:highlight w:val="none"/>
        </w:rPr>
      </w:pPr>
      <w:r>
        <w:rPr>
          <w:rFonts w:hint="eastAsia" w:ascii="宋体" w:hAnsi="宋体"/>
          <w:sz w:val="24"/>
          <w:highlight w:val="none"/>
        </w:rPr>
        <w:t>6.供应商应在“报价清单”后附</w:t>
      </w:r>
      <w:bookmarkStart w:id="68" w:name="_Hlk203661040"/>
      <w:r>
        <w:rPr>
          <w:rFonts w:hint="eastAsia" w:ascii="宋体" w:hAnsi="宋体"/>
          <w:sz w:val="24"/>
          <w:highlight w:val="none"/>
        </w:rPr>
        <w:t>计算说明</w:t>
      </w:r>
      <w:bookmarkEnd w:id="68"/>
      <w:r>
        <w:rPr>
          <w:rFonts w:hint="eastAsia" w:ascii="宋体" w:hAnsi="宋体"/>
          <w:sz w:val="24"/>
          <w:highlight w:val="none"/>
        </w:rPr>
        <w:t>，包括计算方法、取费依据等，以便采购人对供应商报价的合理性作出判断。</w:t>
      </w:r>
    </w:p>
    <w:p w14:paraId="44E8D68B">
      <w:pPr>
        <w:rPr>
          <w:b/>
          <w:bCs/>
          <w:sz w:val="24"/>
          <w:highlight w:val="none"/>
        </w:rPr>
      </w:pPr>
      <w:r>
        <w:rPr>
          <w:rFonts w:hint="eastAsia"/>
          <w:b/>
          <w:bCs/>
          <w:sz w:val="24"/>
          <w:highlight w:val="none"/>
        </w:rPr>
        <w:br w:type="page"/>
      </w:r>
    </w:p>
    <w:p w14:paraId="2D771DDB">
      <w:pPr>
        <w:pStyle w:val="10"/>
        <w:jc w:val="center"/>
        <w:outlineLvl w:val="2"/>
        <w:rPr>
          <w:b/>
          <w:bCs/>
          <w:sz w:val="32"/>
          <w:szCs w:val="32"/>
          <w:highlight w:val="none"/>
        </w:rPr>
      </w:pPr>
      <w:bookmarkStart w:id="69" w:name="_Toc2327"/>
      <w:bookmarkStart w:id="70" w:name="_Toc1367"/>
      <w:bookmarkStart w:id="71" w:name="_Hlk203660973"/>
      <w:r>
        <w:rPr>
          <w:rFonts w:hint="eastAsia"/>
          <w:b/>
          <w:bCs/>
          <w:sz w:val="32"/>
          <w:szCs w:val="32"/>
          <w:highlight w:val="none"/>
        </w:rPr>
        <w:t>（二）</w:t>
      </w:r>
      <w:r>
        <w:rPr>
          <w:rFonts w:hint="eastAsia"/>
          <w:b/>
          <w:bCs/>
          <w:sz w:val="32"/>
          <w:szCs w:val="32"/>
          <w:highlight w:val="none"/>
          <w:lang w:eastAsia="zh-CN"/>
        </w:rPr>
        <w:t>投标</w:t>
      </w:r>
      <w:r>
        <w:rPr>
          <w:rFonts w:hint="eastAsia"/>
          <w:b/>
          <w:bCs/>
          <w:sz w:val="32"/>
          <w:szCs w:val="32"/>
          <w:highlight w:val="none"/>
        </w:rPr>
        <w:t>报价表</w:t>
      </w:r>
      <w:bookmarkEnd w:id="69"/>
      <w:bookmarkEnd w:id="70"/>
    </w:p>
    <w:p w14:paraId="4DC1343F">
      <w:pPr>
        <w:pStyle w:val="10"/>
        <w:rPr>
          <w:highlight w:val="none"/>
        </w:rPr>
      </w:pPr>
    </w:p>
    <w:p w14:paraId="3D5C5130">
      <w:pPr>
        <w:spacing w:line="360" w:lineRule="auto"/>
        <w:contextualSpacing/>
        <w:rPr>
          <w:rFonts w:hint="eastAsia" w:ascii="宋体" w:hAnsi="宋体" w:eastAsia="宋体" w:cs="仿宋_GB2312"/>
          <w:sz w:val="24"/>
          <w:highlight w:val="none"/>
          <w:lang w:eastAsia="zh-CN"/>
        </w:rPr>
      </w:pPr>
      <w:r>
        <w:rPr>
          <w:rFonts w:hint="eastAsia" w:ascii="宋体" w:hAnsi="宋体" w:cs="仿宋_GB2312"/>
          <w:sz w:val="24"/>
          <w:highlight w:val="none"/>
        </w:rPr>
        <w:t>采购项目名称：</w:t>
      </w:r>
      <w:r>
        <w:rPr>
          <w:rFonts w:hint="eastAsia" w:ascii="宋体" w:hAnsi="宋体" w:cs="仿宋_GB2312"/>
          <w:sz w:val="24"/>
          <w:highlight w:val="none"/>
          <w:u w:val="single"/>
          <w:lang w:eastAsia="zh-CN"/>
        </w:rPr>
        <w:t>桂江（莲花大桥至桂江河口）航道扩建工程</w:t>
      </w:r>
      <w:r>
        <w:rPr>
          <w:rFonts w:hint="eastAsia" w:ascii="宋体" w:hAnsi="宋体" w:cs="仿宋_GB2312"/>
          <w:sz w:val="24"/>
          <w:highlight w:val="none"/>
          <w:u w:val="single"/>
        </w:rPr>
        <w:t>工程可行性研究</w:t>
      </w:r>
      <w:r>
        <w:rPr>
          <w:rFonts w:hint="eastAsia" w:ascii="宋体" w:hAnsi="宋体" w:cs="仿宋_GB2312"/>
          <w:sz w:val="24"/>
          <w:highlight w:val="none"/>
          <w:u w:val="single"/>
          <w:lang w:eastAsia="zh-CN"/>
        </w:rPr>
        <w:t>服务</w:t>
      </w:r>
    </w:p>
    <w:p w14:paraId="19A3713C">
      <w:pPr>
        <w:spacing w:line="360" w:lineRule="auto"/>
        <w:contextualSpacing/>
        <w:rPr>
          <w:rFonts w:hint="eastAsia" w:ascii="宋体" w:hAnsi="宋体" w:cs="仿宋_GB2312"/>
          <w:sz w:val="24"/>
          <w:highlight w:val="none"/>
        </w:rPr>
      </w:pPr>
      <w:r>
        <w:rPr>
          <w:rFonts w:hint="eastAsia" w:ascii="宋体" w:hAnsi="宋体" w:cs="仿宋_GB2312"/>
          <w:sz w:val="24"/>
          <w:highlight w:val="none"/>
        </w:rPr>
        <w:t xml:space="preserve">                                                       单位：人民币元</w:t>
      </w:r>
    </w:p>
    <w:tbl>
      <w:tblPr>
        <w:tblStyle w:val="25"/>
        <w:tblW w:w="4997" w:type="pct"/>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0"/>
        <w:gridCol w:w="2843"/>
        <w:gridCol w:w="1322"/>
        <w:gridCol w:w="775"/>
        <w:gridCol w:w="2018"/>
        <w:gridCol w:w="1478"/>
      </w:tblGrid>
      <w:tr w14:paraId="593575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7" w:hRule="atLeast"/>
          <w:jc w:val="right"/>
        </w:trPr>
        <w:tc>
          <w:tcPr>
            <w:tcW w:w="398" w:type="pct"/>
            <w:tcBorders>
              <w:top w:val="single" w:color="auto" w:sz="4" w:space="0"/>
              <w:left w:val="single" w:color="auto" w:sz="4" w:space="0"/>
              <w:bottom w:val="single" w:color="auto" w:sz="4" w:space="0"/>
              <w:right w:val="single" w:color="auto" w:sz="4" w:space="0"/>
            </w:tcBorders>
            <w:vAlign w:val="center"/>
          </w:tcPr>
          <w:p w14:paraId="2E3BD99F">
            <w:pPr>
              <w:contextualSpacing/>
              <w:jc w:val="center"/>
              <w:rPr>
                <w:rFonts w:hint="eastAsia" w:ascii="宋体" w:hAnsi="宋体" w:cs="仿宋_GB2312"/>
                <w:sz w:val="24"/>
                <w:highlight w:val="none"/>
              </w:rPr>
            </w:pPr>
            <w:r>
              <w:rPr>
                <w:rFonts w:ascii="宋体" w:hAnsi="宋体" w:cs="仿宋_GB2312"/>
                <w:sz w:val="24"/>
                <w:highlight w:val="none"/>
              </w:rPr>
              <w:t>序号</w:t>
            </w:r>
          </w:p>
        </w:tc>
        <w:tc>
          <w:tcPr>
            <w:tcW w:w="1551" w:type="pct"/>
            <w:tcBorders>
              <w:top w:val="single" w:color="auto" w:sz="4" w:space="0"/>
              <w:left w:val="single" w:color="auto" w:sz="4" w:space="0"/>
              <w:bottom w:val="single" w:color="auto" w:sz="4" w:space="0"/>
              <w:right w:val="single" w:color="auto" w:sz="4" w:space="0"/>
            </w:tcBorders>
            <w:vAlign w:val="center"/>
          </w:tcPr>
          <w:p w14:paraId="491885E6">
            <w:pPr>
              <w:contextualSpacing/>
              <w:jc w:val="center"/>
              <w:rPr>
                <w:rFonts w:hint="eastAsia" w:ascii="宋体" w:hAnsi="宋体" w:cs="仿宋_GB2312"/>
                <w:sz w:val="24"/>
                <w:highlight w:val="none"/>
              </w:rPr>
            </w:pPr>
            <w:r>
              <w:rPr>
                <w:rFonts w:ascii="宋体" w:hAnsi="宋体" w:cs="仿宋_GB2312"/>
                <w:sz w:val="24"/>
                <w:highlight w:val="none"/>
              </w:rPr>
              <w:t>服务名称</w:t>
            </w:r>
          </w:p>
        </w:tc>
        <w:tc>
          <w:tcPr>
            <w:tcW w:w="721" w:type="pct"/>
            <w:tcBorders>
              <w:top w:val="single" w:color="auto" w:sz="4" w:space="0"/>
              <w:left w:val="single" w:color="auto" w:sz="4" w:space="0"/>
              <w:bottom w:val="single" w:color="auto" w:sz="4" w:space="0"/>
              <w:right w:val="single" w:color="auto" w:sz="4" w:space="0"/>
            </w:tcBorders>
            <w:vAlign w:val="center"/>
          </w:tcPr>
          <w:p w14:paraId="4CD599ED">
            <w:pPr>
              <w:contextualSpacing/>
              <w:jc w:val="center"/>
              <w:rPr>
                <w:rFonts w:hint="eastAsia" w:ascii="宋体" w:hAnsi="宋体" w:cs="仿宋_GB2312"/>
                <w:sz w:val="24"/>
                <w:highlight w:val="none"/>
              </w:rPr>
            </w:pPr>
            <w:r>
              <w:rPr>
                <w:rFonts w:hint="eastAsia" w:ascii="宋体" w:hAnsi="宋体" w:cs="仿宋_GB2312"/>
                <w:sz w:val="24"/>
                <w:highlight w:val="none"/>
              </w:rPr>
              <w:t>数量</w:t>
            </w:r>
          </w:p>
        </w:tc>
        <w:tc>
          <w:tcPr>
            <w:tcW w:w="423" w:type="pct"/>
            <w:tcBorders>
              <w:top w:val="single" w:color="auto" w:sz="4" w:space="0"/>
              <w:left w:val="single" w:color="auto" w:sz="4" w:space="0"/>
              <w:bottom w:val="single" w:color="auto" w:sz="4" w:space="0"/>
              <w:right w:val="single" w:color="auto" w:sz="4" w:space="0"/>
            </w:tcBorders>
            <w:vAlign w:val="center"/>
          </w:tcPr>
          <w:p w14:paraId="397EFCFA">
            <w:pPr>
              <w:contextualSpacing/>
              <w:jc w:val="center"/>
              <w:rPr>
                <w:rFonts w:hint="eastAsia" w:ascii="宋体" w:hAnsi="宋体" w:cs="仿宋_GB2312"/>
                <w:sz w:val="24"/>
                <w:highlight w:val="none"/>
              </w:rPr>
            </w:pPr>
            <w:r>
              <w:rPr>
                <w:rFonts w:hint="eastAsia" w:ascii="宋体" w:hAnsi="宋体" w:cs="仿宋_GB2312"/>
                <w:sz w:val="24"/>
                <w:highlight w:val="none"/>
              </w:rPr>
              <w:t>单位</w:t>
            </w:r>
          </w:p>
        </w:tc>
        <w:tc>
          <w:tcPr>
            <w:tcW w:w="1101" w:type="pct"/>
            <w:tcBorders>
              <w:top w:val="single" w:color="auto" w:sz="4" w:space="0"/>
              <w:left w:val="single" w:color="auto" w:sz="4" w:space="0"/>
              <w:bottom w:val="single" w:color="auto" w:sz="4" w:space="0"/>
              <w:right w:val="single" w:color="auto" w:sz="4" w:space="0"/>
            </w:tcBorders>
            <w:vAlign w:val="center"/>
          </w:tcPr>
          <w:p w14:paraId="57BBE187">
            <w:pPr>
              <w:contextualSpacing/>
              <w:jc w:val="center"/>
              <w:rPr>
                <w:rFonts w:hint="eastAsia" w:ascii="宋体" w:hAnsi="宋体" w:cs="仿宋_GB2312"/>
                <w:sz w:val="24"/>
                <w:highlight w:val="none"/>
              </w:rPr>
            </w:pPr>
            <w:r>
              <w:rPr>
                <w:rFonts w:hint="eastAsia" w:ascii="宋体" w:hAnsi="宋体" w:cs="仿宋_GB2312"/>
                <w:sz w:val="24"/>
                <w:highlight w:val="none"/>
              </w:rPr>
              <w:t>金额</w:t>
            </w:r>
          </w:p>
        </w:tc>
        <w:tc>
          <w:tcPr>
            <w:tcW w:w="806" w:type="pct"/>
            <w:tcBorders>
              <w:top w:val="single" w:color="auto" w:sz="4" w:space="0"/>
              <w:left w:val="single" w:color="auto" w:sz="4" w:space="0"/>
              <w:bottom w:val="single" w:color="auto" w:sz="4" w:space="0"/>
              <w:right w:val="single" w:color="auto" w:sz="4" w:space="0"/>
            </w:tcBorders>
            <w:vAlign w:val="center"/>
          </w:tcPr>
          <w:p w14:paraId="5DC7E8A9">
            <w:pPr>
              <w:contextualSpacing/>
              <w:jc w:val="center"/>
              <w:rPr>
                <w:rFonts w:hint="eastAsia" w:ascii="宋体" w:hAnsi="宋体" w:cs="仿宋_GB2312"/>
                <w:sz w:val="24"/>
                <w:highlight w:val="none"/>
              </w:rPr>
            </w:pPr>
            <w:r>
              <w:rPr>
                <w:rFonts w:ascii="宋体" w:hAnsi="宋体" w:cs="仿宋_GB2312"/>
                <w:sz w:val="24"/>
                <w:highlight w:val="none"/>
              </w:rPr>
              <w:t>备注</w:t>
            </w:r>
          </w:p>
        </w:tc>
      </w:tr>
      <w:tr w14:paraId="45B236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4" w:hRule="atLeast"/>
          <w:jc w:val="right"/>
        </w:trPr>
        <w:tc>
          <w:tcPr>
            <w:tcW w:w="398" w:type="pct"/>
            <w:tcBorders>
              <w:top w:val="single" w:color="auto" w:sz="4" w:space="0"/>
              <w:left w:val="single" w:color="auto" w:sz="4" w:space="0"/>
              <w:bottom w:val="single" w:color="auto" w:sz="4" w:space="0"/>
              <w:right w:val="single" w:color="auto" w:sz="4" w:space="0"/>
            </w:tcBorders>
            <w:vAlign w:val="center"/>
          </w:tcPr>
          <w:p w14:paraId="72E7F014">
            <w:pPr>
              <w:adjustRightInd w:val="0"/>
              <w:snapToGrid w:val="0"/>
              <w:contextualSpacing/>
              <w:jc w:val="center"/>
              <w:rPr>
                <w:rFonts w:hint="eastAsia" w:ascii="宋体" w:hAnsi="宋体" w:cs="仿宋_GB2312"/>
                <w:sz w:val="24"/>
                <w:highlight w:val="none"/>
              </w:rPr>
            </w:pPr>
            <w:r>
              <w:rPr>
                <w:rFonts w:ascii="宋体" w:hAnsi="宋体" w:cs="仿宋_GB2312"/>
                <w:sz w:val="24"/>
                <w:highlight w:val="none"/>
              </w:rPr>
              <w:t>1</w:t>
            </w:r>
          </w:p>
        </w:tc>
        <w:tc>
          <w:tcPr>
            <w:tcW w:w="1551" w:type="pct"/>
            <w:tcBorders>
              <w:top w:val="single" w:color="auto" w:sz="4" w:space="0"/>
              <w:left w:val="single" w:color="auto" w:sz="4" w:space="0"/>
              <w:bottom w:val="single" w:color="auto" w:sz="4" w:space="0"/>
              <w:right w:val="single" w:color="auto" w:sz="4" w:space="0"/>
            </w:tcBorders>
            <w:vAlign w:val="center"/>
          </w:tcPr>
          <w:p w14:paraId="46F222A8">
            <w:pPr>
              <w:adjustRightInd w:val="0"/>
              <w:snapToGrid w:val="0"/>
              <w:jc w:val="left"/>
              <w:rPr>
                <w:rFonts w:hint="eastAsia" w:ascii="宋体" w:hAnsi="宋体" w:cs="仿宋_GB2312"/>
                <w:sz w:val="24"/>
                <w:highlight w:val="none"/>
              </w:rPr>
            </w:pPr>
            <w:r>
              <w:rPr>
                <w:rFonts w:hint="eastAsia" w:ascii="宋体" w:hAnsi="宋体" w:cs="仿宋_GB2312"/>
                <w:sz w:val="24"/>
                <w:highlight w:val="none"/>
              </w:rPr>
              <w:t>地形测量</w:t>
            </w:r>
          </w:p>
        </w:tc>
        <w:tc>
          <w:tcPr>
            <w:tcW w:w="721" w:type="pct"/>
            <w:tcBorders>
              <w:top w:val="single" w:color="auto" w:sz="4" w:space="0"/>
              <w:left w:val="single" w:color="auto" w:sz="4" w:space="0"/>
              <w:bottom w:val="single" w:color="auto" w:sz="4" w:space="0"/>
              <w:right w:val="single" w:color="auto" w:sz="4" w:space="0"/>
            </w:tcBorders>
            <w:vAlign w:val="center"/>
          </w:tcPr>
          <w:p w14:paraId="52285661">
            <w:pPr>
              <w:adjustRightInd w:val="0"/>
              <w:snapToGrid w:val="0"/>
              <w:contextualSpacing/>
              <w:jc w:val="center"/>
              <w:rPr>
                <w:rFonts w:hint="eastAsia" w:ascii="宋体" w:hAnsi="宋体" w:cs="仿宋_GB2312"/>
                <w:sz w:val="24"/>
                <w:highlight w:val="none"/>
              </w:rPr>
            </w:pPr>
            <w:r>
              <w:rPr>
                <w:rFonts w:hint="eastAsia" w:ascii="宋体" w:hAnsi="宋体" w:cs="仿宋_GB2312"/>
                <w:sz w:val="24"/>
                <w:highlight w:val="none"/>
              </w:rPr>
              <w:t>1</w:t>
            </w:r>
          </w:p>
        </w:tc>
        <w:tc>
          <w:tcPr>
            <w:tcW w:w="423" w:type="pct"/>
            <w:tcBorders>
              <w:top w:val="single" w:color="auto" w:sz="4" w:space="0"/>
              <w:left w:val="single" w:color="auto" w:sz="4" w:space="0"/>
              <w:bottom w:val="single" w:color="auto" w:sz="4" w:space="0"/>
              <w:right w:val="single" w:color="auto" w:sz="4" w:space="0"/>
            </w:tcBorders>
            <w:vAlign w:val="center"/>
          </w:tcPr>
          <w:p w14:paraId="7086AEC9">
            <w:pPr>
              <w:adjustRightInd w:val="0"/>
              <w:snapToGrid w:val="0"/>
              <w:contextualSpacing/>
              <w:jc w:val="center"/>
              <w:rPr>
                <w:rFonts w:hint="eastAsia" w:ascii="宋体" w:hAnsi="宋体" w:cs="仿宋_GB2312"/>
                <w:sz w:val="24"/>
                <w:highlight w:val="none"/>
              </w:rPr>
            </w:pPr>
            <w:r>
              <w:rPr>
                <w:rFonts w:hint="eastAsia" w:ascii="宋体" w:hAnsi="宋体" w:cs="仿宋_GB2312"/>
                <w:sz w:val="24"/>
                <w:highlight w:val="none"/>
              </w:rPr>
              <w:t>项</w:t>
            </w:r>
          </w:p>
        </w:tc>
        <w:tc>
          <w:tcPr>
            <w:tcW w:w="1101" w:type="pct"/>
            <w:tcBorders>
              <w:top w:val="single" w:color="auto" w:sz="4" w:space="0"/>
              <w:left w:val="single" w:color="auto" w:sz="4" w:space="0"/>
              <w:bottom w:val="single" w:color="auto" w:sz="4" w:space="0"/>
              <w:right w:val="single" w:color="auto" w:sz="4" w:space="0"/>
            </w:tcBorders>
            <w:vAlign w:val="center"/>
          </w:tcPr>
          <w:p w14:paraId="79EC5645">
            <w:pPr>
              <w:adjustRightInd w:val="0"/>
              <w:snapToGrid w:val="0"/>
              <w:contextualSpacing/>
              <w:jc w:val="center"/>
              <w:rPr>
                <w:rFonts w:hint="eastAsia" w:ascii="宋体" w:hAnsi="宋体" w:cs="仿宋_GB2312"/>
                <w:sz w:val="24"/>
                <w:highlight w:val="none"/>
              </w:rPr>
            </w:pPr>
          </w:p>
        </w:tc>
        <w:tc>
          <w:tcPr>
            <w:tcW w:w="806" w:type="pct"/>
            <w:tcBorders>
              <w:top w:val="single" w:color="auto" w:sz="4" w:space="0"/>
              <w:left w:val="single" w:color="auto" w:sz="4" w:space="0"/>
              <w:bottom w:val="single" w:color="auto" w:sz="4" w:space="0"/>
              <w:right w:val="single" w:color="auto" w:sz="4" w:space="0"/>
            </w:tcBorders>
            <w:vAlign w:val="center"/>
          </w:tcPr>
          <w:p w14:paraId="7AB67BA4">
            <w:pPr>
              <w:adjustRightInd w:val="0"/>
              <w:snapToGrid w:val="0"/>
              <w:contextualSpacing/>
              <w:jc w:val="center"/>
              <w:rPr>
                <w:rFonts w:hint="eastAsia" w:ascii="宋体" w:hAnsi="宋体" w:cs="仿宋_GB2312"/>
                <w:sz w:val="24"/>
                <w:highlight w:val="none"/>
              </w:rPr>
            </w:pPr>
            <w:r>
              <w:rPr>
                <w:rFonts w:hint="eastAsia" w:ascii="宋体" w:hAnsi="宋体" w:cs="仿宋_GB2312"/>
                <w:sz w:val="24"/>
                <w:highlight w:val="none"/>
              </w:rPr>
              <w:t>测量面积约3.4平方公里</w:t>
            </w:r>
          </w:p>
        </w:tc>
      </w:tr>
      <w:tr w14:paraId="22D74B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807" w:hRule="atLeast"/>
          <w:jc w:val="right"/>
        </w:trPr>
        <w:tc>
          <w:tcPr>
            <w:tcW w:w="398" w:type="pct"/>
            <w:tcBorders>
              <w:top w:val="single" w:color="auto" w:sz="4" w:space="0"/>
              <w:left w:val="single" w:color="auto" w:sz="4" w:space="0"/>
              <w:bottom w:val="single" w:color="auto" w:sz="4" w:space="0"/>
              <w:right w:val="single" w:color="auto" w:sz="4" w:space="0"/>
            </w:tcBorders>
            <w:vAlign w:val="center"/>
          </w:tcPr>
          <w:p w14:paraId="60D01A63">
            <w:pPr>
              <w:adjustRightInd w:val="0"/>
              <w:snapToGrid w:val="0"/>
              <w:contextualSpacing/>
              <w:jc w:val="center"/>
              <w:rPr>
                <w:rFonts w:hint="eastAsia" w:ascii="宋体" w:hAnsi="宋体" w:cs="仿宋_GB2312"/>
                <w:sz w:val="24"/>
                <w:highlight w:val="none"/>
              </w:rPr>
            </w:pPr>
            <w:r>
              <w:rPr>
                <w:rFonts w:hint="eastAsia" w:ascii="宋体" w:hAnsi="宋体" w:cs="仿宋_GB2312"/>
                <w:sz w:val="24"/>
                <w:highlight w:val="none"/>
              </w:rPr>
              <w:t>2</w:t>
            </w:r>
          </w:p>
        </w:tc>
        <w:tc>
          <w:tcPr>
            <w:tcW w:w="1551" w:type="pct"/>
            <w:tcBorders>
              <w:top w:val="single" w:color="auto" w:sz="4" w:space="0"/>
              <w:left w:val="single" w:color="auto" w:sz="4" w:space="0"/>
              <w:bottom w:val="single" w:color="auto" w:sz="4" w:space="0"/>
              <w:right w:val="single" w:color="auto" w:sz="4" w:space="0"/>
            </w:tcBorders>
            <w:vAlign w:val="center"/>
          </w:tcPr>
          <w:p w14:paraId="2A91325D">
            <w:pPr>
              <w:adjustRightInd w:val="0"/>
              <w:snapToGrid w:val="0"/>
              <w:jc w:val="left"/>
              <w:rPr>
                <w:rFonts w:hint="eastAsia" w:ascii="宋体" w:hAnsi="宋体" w:cs="仿宋_GB2312"/>
                <w:sz w:val="24"/>
                <w:highlight w:val="none"/>
              </w:rPr>
            </w:pPr>
            <w:r>
              <w:rPr>
                <w:rFonts w:hint="eastAsia" w:ascii="宋体" w:hAnsi="宋体" w:cs="仿宋_GB2312"/>
                <w:sz w:val="24"/>
                <w:highlight w:val="none"/>
              </w:rPr>
              <w:t>工程可行性研究</w:t>
            </w:r>
          </w:p>
        </w:tc>
        <w:tc>
          <w:tcPr>
            <w:tcW w:w="721" w:type="pct"/>
            <w:tcBorders>
              <w:top w:val="single" w:color="auto" w:sz="4" w:space="0"/>
              <w:left w:val="single" w:color="auto" w:sz="4" w:space="0"/>
              <w:bottom w:val="single" w:color="auto" w:sz="4" w:space="0"/>
              <w:right w:val="single" w:color="auto" w:sz="4" w:space="0"/>
            </w:tcBorders>
            <w:vAlign w:val="center"/>
          </w:tcPr>
          <w:p w14:paraId="1F45F0EE">
            <w:pPr>
              <w:adjustRightInd w:val="0"/>
              <w:snapToGrid w:val="0"/>
              <w:contextualSpacing/>
              <w:jc w:val="center"/>
              <w:rPr>
                <w:rFonts w:hint="eastAsia" w:ascii="宋体" w:hAnsi="宋体" w:cs="仿宋_GB2312"/>
                <w:sz w:val="24"/>
                <w:highlight w:val="none"/>
              </w:rPr>
            </w:pPr>
            <w:r>
              <w:rPr>
                <w:rFonts w:hint="eastAsia" w:ascii="宋体" w:hAnsi="宋体" w:cs="仿宋_GB2312"/>
                <w:sz w:val="24"/>
                <w:highlight w:val="none"/>
              </w:rPr>
              <w:t>1</w:t>
            </w:r>
          </w:p>
        </w:tc>
        <w:tc>
          <w:tcPr>
            <w:tcW w:w="423" w:type="pct"/>
            <w:tcBorders>
              <w:top w:val="single" w:color="auto" w:sz="4" w:space="0"/>
              <w:left w:val="single" w:color="auto" w:sz="4" w:space="0"/>
              <w:bottom w:val="single" w:color="auto" w:sz="4" w:space="0"/>
              <w:right w:val="single" w:color="auto" w:sz="4" w:space="0"/>
            </w:tcBorders>
            <w:vAlign w:val="center"/>
          </w:tcPr>
          <w:p w14:paraId="59389774">
            <w:pPr>
              <w:adjustRightInd w:val="0"/>
              <w:snapToGrid w:val="0"/>
              <w:contextualSpacing/>
              <w:jc w:val="center"/>
              <w:rPr>
                <w:rFonts w:hint="eastAsia" w:ascii="宋体" w:hAnsi="宋体" w:cs="仿宋_GB2312"/>
                <w:sz w:val="24"/>
                <w:highlight w:val="none"/>
              </w:rPr>
            </w:pPr>
            <w:r>
              <w:rPr>
                <w:rFonts w:hint="eastAsia" w:ascii="宋体" w:hAnsi="宋体" w:cs="仿宋_GB2312"/>
                <w:sz w:val="24"/>
                <w:highlight w:val="none"/>
              </w:rPr>
              <w:t>项</w:t>
            </w:r>
          </w:p>
        </w:tc>
        <w:tc>
          <w:tcPr>
            <w:tcW w:w="1101" w:type="pct"/>
            <w:tcBorders>
              <w:top w:val="single" w:color="auto" w:sz="4" w:space="0"/>
              <w:left w:val="single" w:color="auto" w:sz="4" w:space="0"/>
              <w:bottom w:val="single" w:color="auto" w:sz="4" w:space="0"/>
              <w:right w:val="single" w:color="auto" w:sz="4" w:space="0"/>
            </w:tcBorders>
            <w:vAlign w:val="center"/>
          </w:tcPr>
          <w:p w14:paraId="6B17116F">
            <w:pPr>
              <w:adjustRightInd w:val="0"/>
              <w:snapToGrid w:val="0"/>
              <w:contextualSpacing/>
              <w:jc w:val="center"/>
              <w:rPr>
                <w:rFonts w:hint="eastAsia" w:ascii="宋体" w:hAnsi="宋体" w:cs="仿宋_GB2312"/>
                <w:sz w:val="24"/>
                <w:highlight w:val="none"/>
              </w:rPr>
            </w:pPr>
          </w:p>
        </w:tc>
        <w:tc>
          <w:tcPr>
            <w:tcW w:w="806" w:type="pct"/>
            <w:tcBorders>
              <w:top w:val="single" w:color="auto" w:sz="4" w:space="0"/>
              <w:left w:val="single" w:color="auto" w:sz="4" w:space="0"/>
              <w:bottom w:val="single" w:color="auto" w:sz="4" w:space="0"/>
              <w:right w:val="single" w:color="auto" w:sz="4" w:space="0"/>
            </w:tcBorders>
            <w:vAlign w:val="center"/>
          </w:tcPr>
          <w:p w14:paraId="6F04B66C">
            <w:pPr>
              <w:adjustRightInd w:val="0"/>
              <w:snapToGrid w:val="0"/>
              <w:contextualSpacing/>
              <w:jc w:val="center"/>
              <w:rPr>
                <w:rFonts w:hint="eastAsia" w:ascii="宋体" w:hAnsi="宋体" w:cs="仿宋_GB2312"/>
                <w:sz w:val="24"/>
                <w:highlight w:val="none"/>
              </w:rPr>
            </w:pPr>
          </w:p>
        </w:tc>
      </w:tr>
      <w:tr w14:paraId="4773F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atLeast"/>
          <w:jc w:val="right"/>
        </w:trPr>
        <w:tc>
          <w:tcPr>
            <w:tcW w:w="3093" w:type="pct"/>
            <w:gridSpan w:val="4"/>
            <w:tcBorders>
              <w:top w:val="single" w:color="auto" w:sz="4" w:space="0"/>
              <w:left w:val="single" w:color="auto" w:sz="4" w:space="0"/>
              <w:bottom w:val="single" w:color="auto" w:sz="4" w:space="0"/>
              <w:right w:val="single" w:color="auto" w:sz="4" w:space="0"/>
            </w:tcBorders>
            <w:vAlign w:val="center"/>
          </w:tcPr>
          <w:p w14:paraId="38669793">
            <w:pPr>
              <w:adjustRightInd w:val="0"/>
              <w:snapToGrid w:val="0"/>
              <w:contextualSpacing/>
              <w:jc w:val="center"/>
              <w:rPr>
                <w:rFonts w:hint="eastAsia" w:ascii="宋体" w:hAnsi="宋体" w:cs="仿宋_GB2312"/>
                <w:sz w:val="24"/>
                <w:highlight w:val="none"/>
              </w:rPr>
            </w:pPr>
            <w:r>
              <w:rPr>
                <w:rFonts w:hint="eastAsia" w:ascii="宋体" w:hAnsi="宋体" w:cs="仿宋_GB2312"/>
                <w:sz w:val="24"/>
                <w:highlight w:val="none"/>
              </w:rPr>
              <w:t>合计报价</w:t>
            </w:r>
          </w:p>
        </w:tc>
        <w:tc>
          <w:tcPr>
            <w:tcW w:w="1101" w:type="pct"/>
            <w:tcBorders>
              <w:top w:val="single" w:color="auto" w:sz="4" w:space="0"/>
              <w:left w:val="single" w:color="auto" w:sz="4" w:space="0"/>
              <w:bottom w:val="single" w:color="auto" w:sz="4" w:space="0"/>
              <w:right w:val="single" w:color="auto" w:sz="4" w:space="0"/>
            </w:tcBorders>
            <w:vAlign w:val="center"/>
          </w:tcPr>
          <w:p w14:paraId="52D1AD2E">
            <w:pPr>
              <w:adjustRightInd w:val="0"/>
              <w:snapToGrid w:val="0"/>
              <w:contextualSpacing/>
              <w:jc w:val="center"/>
              <w:rPr>
                <w:rFonts w:hint="eastAsia" w:ascii="宋体" w:hAnsi="宋体" w:cs="仿宋_GB2312"/>
                <w:sz w:val="24"/>
                <w:highlight w:val="none"/>
              </w:rPr>
            </w:pPr>
          </w:p>
        </w:tc>
        <w:tc>
          <w:tcPr>
            <w:tcW w:w="806" w:type="pct"/>
            <w:tcBorders>
              <w:top w:val="single" w:color="auto" w:sz="4" w:space="0"/>
              <w:left w:val="single" w:color="auto" w:sz="4" w:space="0"/>
              <w:bottom w:val="single" w:color="auto" w:sz="4" w:space="0"/>
              <w:right w:val="single" w:color="auto" w:sz="4" w:space="0"/>
            </w:tcBorders>
            <w:vAlign w:val="center"/>
          </w:tcPr>
          <w:p w14:paraId="50EDA230">
            <w:pPr>
              <w:adjustRightInd w:val="0"/>
              <w:snapToGrid w:val="0"/>
              <w:contextualSpacing/>
              <w:jc w:val="center"/>
              <w:rPr>
                <w:rFonts w:hint="eastAsia" w:ascii="宋体" w:hAnsi="宋体" w:cs="仿宋_GB2312"/>
                <w:sz w:val="24"/>
                <w:highlight w:val="none"/>
              </w:rPr>
            </w:pPr>
          </w:p>
        </w:tc>
      </w:tr>
    </w:tbl>
    <w:p w14:paraId="4785600E">
      <w:pPr>
        <w:spacing w:line="360" w:lineRule="auto"/>
        <w:contextualSpacing/>
        <w:jc w:val="left"/>
        <w:rPr>
          <w:rFonts w:hint="eastAsia" w:ascii="宋体" w:hAnsi="宋体" w:cs="仿宋_GB2312"/>
          <w:sz w:val="24"/>
          <w:highlight w:val="none"/>
        </w:rPr>
      </w:pPr>
      <w:r>
        <w:rPr>
          <w:rFonts w:hint="eastAsia" w:ascii="宋体" w:hAnsi="宋体" w:cs="仿宋_GB2312"/>
          <w:sz w:val="24"/>
          <w:highlight w:val="none"/>
        </w:rPr>
        <w:t xml:space="preserve">注: </w:t>
      </w:r>
    </w:p>
    <w:p w14:paraId="62C2D625">
      <w:pPr>
        <w:spacing w:line="360" w:lineRule="auto"/>
        <w:ind w:firstLine="480" w:firstLineChars="200"/>
        <w:contextualSpacing/>
        <w:jc w:val="left"/>
        <w:rPr>
          <w:rFonts w:hint="eastAsia" w:ascii="宋体" w:hAnsi="宋体" w:cs="仿宋_GB2312"/>
          <w:sz w:val="24"/>
          <w:highlight w:val="none"/>
        </w:rPr>
      </w:pPr>
      <w:r>
        <w:rPr>
          <w:rFonts w:hint="eastAsia" w:ascii="宋体" w:hAnsi="宋体" w:cs="仿宋_GB2312"/>
          <w:sz w:val="24"/>
          <w:highlight w:val="none"/>
        </w:rPr>
        <w:t>1.供应商的报价表必须加盖供应商公章并由法定代表人或者委托代理人签字，</w:t>
      </w:r>
      <w:r>
        <w:rPr>
          <w:rFonts w:hint="eastAsia" w:ascii="宋体" w:hAnsi="宋体" w:cs="仿宋_GB2312"/>
          <w:b/>
          <w:sz w:val="24"/>
          <w:highlight w:val="none"/>
        </w:rPr>
        <w:t>否则其响应文件按无效响应处理</w:t>
      </w:r>
      <w:r>
        <w:rPr>
          <w:rFonts w:hint="eastAsia" w:ascii="宋体" w:hAnsi="宋体" w:cs="仿宋_GB2312"/>
          <w:sz w:val="24"/>
          <w:highlight w:val="none"/>
        </w:rPr>
        <w:t>。</w:t>
      </w:r>
    </w:p>
    <w:p w14:paraId="679E3A35">
      <w:pPr>
        <w:spacing w:line="360" w:lineRule="auto"/>
        <w:ind w:firstLine="480" w:firstLineChars="200"/>
        <w:contextualSpacing/>
        <w:jc w:val="left"/>
        <w:rPr>
          <w:rFonts w:hint="eastAsia" w:ascii="宋体" w:hAnsi="宋体" w:cs="仿宋_GB2312"/>
          <w:b/>
          <w:sz w:val="24"/>
          <w:highlight w:val="none"/>
        </w:rPr>
      </w:pPr>
      <w:r>
        <w:rPr>
          <w:rFonts w:hint="eastAsia" w:ascii="宋体" w:hAnsi="宋体" w:cs="仿宋_GB2312"/>
          <w:bCs/>
          <w:sz w:val="24"/>
          <w:highlight w:val="none"/>
        </w:rPr>
        <w:t>2.</w:t>
      </w:r>
      <w:r>
        <w:rPr>
          <w:rFonts w:hint="eastAsia" w:ascii="宋体" w:hAnsi="宋体" w:cs="仿宋_GB2312"/>
          <w:sz w:val="24"/>
          <w:highlight w:val="none"/>
        </w:rPr>
        <w:t>报价一经涂改，应在涂改处加盖供应商公章或者由法定代表人或者委托代理人签字或者盖章</w:t>
      </w:r>
      <w:r>
        <w:rPr>
          <w:rFonts w:hint="eastAsia" w:ascii="宋体" w:hAnsi="宋体" w:cs="仿宋_GB2312"/>
          <w:b/>
          <w:sz w:val="24"/>
          <w:highlight w:val="none"/>
        </w:rPr>
        <w:t>，否则其响应文件按无效响应处理。</w:t>
      </w:r>
    </w:p>
    <w:p w14:paraId="3C2BEB41">
      <w:pPr>
        <w:spacing w:line="360" w:lineRule="auto"/>
        <w:ind w:firstLine="480" w:firstLineChars="200"/>
        <w:contextualSpacing/>
        <w:rPr>
          <w:rFonts w:hint="eastAsia" w:ascii="宋体" w:hAnsi="宋体" w:cs="仿宋_GB2312"/>
          <w:sz w:val="24"/>
          <w:highlight w:val="none"/>
        </w:rPr>
      </w:pPr>
    </w:p>
    <w:p w14:paraId="7BECFAF2">
      <w:pPr>
        <w:spacing w:line="360" w:lineRule="auto"/>
        <w:ind w:right="-817" w:rightChars="-389" w:firstLine="2640" w:firstLineChars="1100"/>
        <w:contextualSpacing/>
        <w:rPr>
          <w:rFonts w:hint="eastAsia" w:ascii="宋体" w:hAnsi="宋体" w:cs="仿宋_GB2312"/>
          <w:sz w:val="24"/>
          <w:highlight w:val="none"/>
        </w:rPr>
      </w:pPr>
    </w:p>
    <w:p w14:paraId="4D640A0D">
      <w:pPr>
        <w:pStyle w:val="5"/>
        <w:overflowPunct w:val="0"/>
        <w:spacing w:line="520" w:lineRule="exact"/>
        <w:ind w:firstLine="0"/>
        <w:jc w:val="center"/>
        <w:rPr>
          <w:sz w:val="24"/>
          <w:highlight w:val="none"/>
        </w:rPr>
      </w:pPr>
      <w:r>
        <w:rPr>
          <w:rFonts w:hint="eastAsia"/>
          <w:sz w:val="24"/>
          <w:highlight w:val="none"/>
        </w:rPr>
        <w:t>供应商名称：</w:t>
      </w:r>
      <w:r>
        <w:rPr>
          <w:rFonts w:hint="eastAsia"/>
          <w:sz w:val="24"/>
          <w:highlight w:val="none"/>
          <w:u w:val="single"/>
        </w:rPr>
        <w:t xml:space="preserve">                         </w:t>
      </w:r>
      <w:r>
        <w:rPr>
          <w:rFonts w:hint="eastAsia"/>
          <w:sz w:val="24"/>
          <w:highlight w:val="none"/>
        </w:rPr>
        <w:t>（盖单位公章）</w:t>
      </w:r>
    </w:p>
    <w:p w14:paraId="11E2838B">
      <w:pPr>
        <w:pStyle w:val="5"/>
        <w:overflowPunct w:val="0"/>
        <w:spacing w:line="520" w:lineRule="exact"/>
        <w:ind w:firstLine="1478" w:firstLineChars="616"/>
        <w:rPr>
          <w:sz w:val="24"/>
          <w:highlight w:val="none"/>
        </w:rPr>
      </w:pPr>
      <w:r>
        <w:rPr>
          <w:rFonts w:hint="eastAsia"/>
          <w:sz w:val="24"/>
          <w:highlight w:val="none"/>
        </w:rPr>
        <w:t>法定代表人或其委托代理人：</w:t>
      </w:r>
      <w:r>
        <w:rPr>
          <w:rFonts w:hint="eastAsia"/>
          <w:sz w:val="24"/>
          <w:highlight w:val="none"/>
          <w:u w:val="single"/>
        </w:rPr>
        <w:t xml:space="preserve">           </w:t>
      </w:r>
      <w:r>
        <w:rPr>
          <w:rFonts w:hint="eastAsia"/>
          <w:sz w:val="24"/>
          <w:highlight w:val="none"/>
        </w:rPr>
        <w:t>（签字）</w:t>
      </w:r>
    </w:p>
    <w:p w14:paraId="39DD37C6">
      <w:pPr>
        <w:pStyle w:val="5"/>
        <w:overflowPunct w:val="0"/>
        <w:spacing w:line="520" w:lineRule="exact"/>
        <w:ind w:firstLine="3998" w:firstLineChars="1666"/>
        <w:rPr>
          <w:sz w:val="24"/>
          <w:highlight w:val="none"/>
        </w:rPr>
      </w:pPr>
      <w:r>
        <w:rPr>
          <w:rFonts w:hint="eastAsia"/>
          <w:sz w:val="24"/>
          <w:highlight w:val="none"/>
          <w:u w:val="single"/>
        </w:rPr>
        <w:t xml:space="preserve">      </w:t>
      </w:r>
      <w:r>
        <w:rPr>
          <w:rFonts w:hint="eastAsia"/>
          <w:sz w:val="24"/>
          <w:highlight w:val="none"/>
        </w:rPr>
        <w:t>年</w:t>
      </w:r>
      <w:r>
        <w:rPr>
          <w:rFonts w:hint="eastAsia"/>
          <w:sz w:val="24"/>
          <w:highlight w:val="none"/>
          <w:u w:val="single"/>
        </w:rPr>
        <w:t xml:space="preserve">    </w:t>
      </w:r>
      <w:r>
        <w:rPr>
          <w:rFonts w:hint="eastAsia"/>
          <w:sz w:val="24"/>
          <w:highlight w:val="none"/>
        </w:rPr>
        <w:t>月</w:t>
      </w:r>
      <w:r>
        <w:rPr>
          <w:rFonts w:hint="eastAsia"/>
          <w:sz w:val="24"/>
          <w:highlight w:val="none"/>
          <w:u w:val="single"/>
        </w:rPr>
        <w:t xml:space="preserve">    </w:t>
      </w:r>
      <w:r>
        <w:rPr>
          <w:rFonts w:hint="eastAsia"/>
          <w:sz w:val="24"/>
          <w:highlight w:val="none"/>
        </w:rPr>
        <w:t>日</w:t>
      </w:r>
    </w:p>
    <w:bookmarkEnd w:id="71"/>
    <w:p w14:paraId="76B17D52">
      <w:pPr>
        <w:spacing w:line="360" w:lineRule="auto"/>
        <w:ind w:firstLine="643" w:firstLineChars="200"/>
        <w:rPr>
          <w:snapToGrid w:val="0"/>
          <w:kern w:val="0"/>
          <w:szCs w:val="21"/>
          <w:highlight w:val="none"/>
        </w:rPr>
      </w:pPr>
      <w:r>
        <w:rPr>
          <w:rFonts w:hint="eastAsia" w:ascii="宋体" w:hAnsi="Courier New"/>
          <w:b/>
          <w:sz w:val="32"/>
          <w:szCs w:val="32"/>
          <w:highlight w:val="none"/>
        </w:rPr>
        <w:br w:type="page"/>
      </w:r>
    </w:p>
    <w:p w14:paraId="12219D31">
      <w:pPr>
        <w:snapToGrid w:val="0"/>
        <w:spacing w:line="360" w:lineRule="auto"/>
        <w:jc w:val="center"/>
        <w:outlineLvl w:val="1"/>
        <w:rPr>
          <w:rFonts w:hint="eastAsia" w:ascii="黑体" w:hAnsi="黑体" w:eastAsia="黑体" w:cs="黑体"/>
          <w:sz w:val="36"/>
          <w:szCs w:val="36"/>
          <w:highlight w:val="none"/>
        </w:rPr>
      </w:pPr>
      <w:bookmarkStart w:id="72" w:name="_Toc4639"/>
      <w:bookmarkStart w:id="73" w:name="_Toc15587"/>
      <w:bookmarkStart w:id="74" w:name="_Toc29645"/>
      <w:r>
        <w:rPr>
          <w:rFonts w:hint="eastAsia" w:ascii="黑体" w:hAnsi="黑体" w:eastAsia="黑体" w:cs="黑体"/>
          <w:sz w:val="36"/>
          <w:szCs w:val="36"/>
          <w:highlight w:val="none"/>
        </w:rPr>
        <w:t>四、</w:t>
      </w:r>
      <w:r>
        <w:rPr>
          <w:rFonts w:hint="eastAsia" w:ascii="黑体" w:hAnsi="黑体" w:eastAsia="黑体" w:cs="黑体"/>
          <w:sz w:val="36"/>
          <w:szCs w:val="36"/>
          <w:highlight w:val="none"/>
          <w:lang w:eastAsia="zh-CN"/>
        </w:rPr>
        <w:t>资格审查</w:t>
      </w:r>
      <w:r>
        <w:rPr>
          <w:rFonts w:hint="eastAsia" w:ascii="黑体" w:hAnsi="黑体" w:eastAsia="黑体" w:cs="黑体"/>
          <w:sz w:val="36"/>
          <w:szCs w:val="36"/>
          <w:highlight w:val="none"/>
        </w:rPr>
        <w:t>资料</w:t>
      </w:r>
      <w:bookmarkEnd w:id="72"/>
    </w:p>
    <w:p w14:paraId="2E981195">
      <w:pPr>
        <w:snapToGrid w:val="0"/>
        <w:spacing w:before="120" w:beforeLines="50" w:after="50"/>
        <w:jc w:val="center"/>
        <w:outlineLvl w:val="2"/>
        <w:rPr>
          <w:rFonts w:hint="eastAsia" w:ascii="宋体" w:hAnsi="宋体" w:eastAsia="宋体"/>
          <w:b/>
          <w:sz w:val="24"/>
          <w:highlight w:val="none"/>
          <w:lang w:eastAsia="zh-CN"/>
        </w:rPr>
      </w:pPr>
      <w:r>
        <w:rPr>
          <w:rFonts w:hint="eastAsia" w:ascii="宋体" w:hAnsi="宋体"/>
          <w:b/>
          <w:sz w:val="24"/>
          <w:highlight w:val="none"/>
        </w:rPr>
        <w:t>（一）</w:t>
      </w:r>
      <w:r>
        <w:rPr>
          <w:rFonts w:hint="eastAsia" w:ascii="宋体" w:hAnsi="宋体"/>
          <w:b/>
          <w:sz w:val="24"/>
          <w:highlight w:val="none"/>
          <w:lang w:eastAsia="zh-CN"/>
        </w:rPr>
        <w:t>供应商</w:t>
      </w:r>
      <w:bookmarkEnd w:id="73"/>
      <w:bookmarkEnd w:id="74"/>
      <w:r>
        <w:rPr>
          <w:rFonts w:hint="eastAsia" w:ascii="宋体" w:hAnsi="宋体"/>
          <w:b/>
          <w:sz w:val="24"/>
          <w:highlight w:val="none"/>
          <w:lang w:eastAsia="zh-CN"/>
        </w:rPr>
        <w:t>基本情况表</w:t>
      </w:r>
    </w:p>
    <w:tbl>
      <w:tblPr>
        <w:tblStyle w:val="25"/>
        <w:tblW w:w="0" w:type="auto"/>
        <w:tblInd w:w="17"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28" w:type="dxa"/>
          <w:left w:w="28" w:type="dxa"/>
          <w:bottom w:w="28" w:type="dxa"/>
          <w:right w:w="28" w:type="dxa"/>
        </w:tblCellMar>
      </w:tblPr>
      <w:tblGrid>
        <w:gridCol w:w="2079"/>
        <w:gridCol w:w="1058"/>
        <w:gridCol w:w="1199"/>
        <w:gridCol w:w="901"/>
        <w:gridCol w:w="334"/>
        <w:gridCol w:w="262"/>
        <w:gridCol w:w="75"/>
        <w:gridCol w:w="553"/>
        <w:gridCol w:w="695"/>
        <w:gridCol w:w="63"/>
        <w:gridCol w:w="329"/>
        <w:gridCol w:w="1292"/>
      </w:tblGrid>
      <w:tr w14:paraId="3C3C8C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29" w:hRule="atLeast"/>
        </w:trPr>
        <w:tc>
          <w:tcPr>
            <w:tcW w:w="2079" w:type="dxa"/>
            <w:noWrap w:val="0"/>
            <w:vAlign w:val="center"/>
          </w:tcPr>
          <w:p w14:paraId="1F35CF06">
            <w:pPr>
              <w:autoSpaceDE w:val="0"/>
              <w:autoSpaceDN w:val="0"/>
              <w:jc w:val="center"/>
              <w:rPr>
                <w:rFonts w:ascii="宋体" w:cs="宋体"/>
                <w:kern w:val="0"/>
                <w:sz w:val="24"/>
                <w:highlight w:val="none"/>
              </w:rPr>
            </w:pPr>
            <w:r>
              <w:rPr>
                <w:rFonts w:hint="eastAsia" w:ascii="宋体" w:cs="宋体"/>
                <w:kern w:val="0"/>
                <w:sz w:val="24"/>
                <w:highlight w:val="none"/>
              </w:rPr>
              <w:t>供应商名称</w:t>
            </w:r>
          </w:p>
        </w:tc>
        <w:tc>
          <w:tcPr>
            <w:tcW w:w="6761" w:type="dxa"/>
            <w:gridSpan w:val="11"/>
            <w:noWrap w:val="0"/>
            <w:vAlign w:val="center"/>
          </w:tcPr>
          <w:p w14:paraId="76484E21">
            <w:pPr>
              <w:autoSpaceDE w:val="0"/>
              <w:autoSpaceDN w:val="0"/>
              <w:jc w:val="center"/>
              <w:rPr>
                <w:kern w:val="0"/>
                <w:sz w:val="24"/>
                <w:highlight w:val="none"/>
              </w:rPr>
            </w:pPr>
          </w:p>
        </w:tc>
      </w:tr>
      <w:tr w14:paraId="7A8C1B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77" w:hRule="atLeast"/>
        </w:trPr>
        <w:tc>
          <w:tcPr>
            <w:tcW w:w="2079" w:type="dxa"/>
            <w:noWrap w:val="0"/>
            <w:vAlign w:val="center"/>
          </w:tcPr>
          <w:p w14:paraId="40412053">
            <w:pPr>
              <w:autoSpaceDE w:val="0"/>
              <w:autoSpaceDN w:val="0"/>
              <w:jc w:val="center"/>
              <w:rPr>
                <w:rFonts w:ascii="宋体" w:cs="宋体"/>
                <w:kern w:val="0"/>
                <w:sz w:val="24"/>
                <w:highlight w:val="none"/>
              </w:rPr>
            </w:pPr>
            <w:r>
              <w:rPr>
                <w:rFonts w:hint="eastAsia" w:ascii="宋体" w:cs="宋体"/>
                <w:kern w:val="0"/>
                <w:sz w:val="24"/>
                <w:highlight w:val="none"/>
              </w:rPr>
              <w:t>注册地址</w:t>
            </w:r>
          </w:p>
        </w:tc>
        <w:tc>
          <w:tcPr>
            <w:tcW w:w="3754" w:type="dxa"/>
            <w:gridSpan w:val="5"/>
            <w:noWrap w:val="0"/>
            <w:vAlign w:val="center"/>
          </w:tcPr>
          <w:p w14:paraId="163D083C">
            <w:pPr>
              <w:autoSpaceDE w:val="0"/>
              <w:autoSpaceDN w:val="0"/>
              <w:jc w:val="center"/>
              <w:rPr>
                <w:kern w:val="0"/>
                <w:sz w:val="24"/>
                <w:highlight w:val="none"/>
              </w:rPr>
            </w:pPr>
          </w:p>
        </w:tc>
        <w:tc>
          <w:tcPr>
            <w:tcW w:w="1386" w:type="dxa"/>
            <w:gridSpan w:val="4"/>
            <w:noWrap w:val="0"/>
            <w:vAlign w:val="center"/>
          </w:tcPr>
          <w:p w14:paraId="5222F7D9">
            <w:pPr>
              <w:autoSpaceDE w:val="0"/>
              <w:autoSpaceDN w:val="0"/>
              <w:jc w:val="center"/>
              <w:rPr>
                <w:kern w:val="0"/>
                <w:sz w:val="24"/>
                <w:highlight w:val="none"/>
              </w:rPr>
            </w:pPr>
            <w:r>
              <w:rPr>
                <w:rFonts w:hint="eastAsia" w:ascii="宋体" w:cs="宋体"/>
                <w:kern w:val="0"/>
                <w:sz w:val="24"/>
                <w:highlight w:val="none"/>
              </w:rPr>
              <w:t>邮政编码</w:t>
            </w:r>
          </w:p>
        </w:tc>
        <w:tc>
          <w:tcPr>
            <w:tcW w:w="1621" w:type="dxa"/>
            <w:gridSpan w:val="2"/>
            <w:noWrap w:val="0"/>
            <w:vAlign w:val="center"/>
          </w:tcPr>
          <w:p w14:paraId="75BA1C86">
            <w:pPr>
              <w:autoSpaceDE w:val="0"/>
              <w:autoSpaceDN w:val="0"/>
              <w:jc w:val="center"/>
              <w:rPr>
                <w:kern w:val="0"/>
                <w:sz w:val="24"/>
                <w:highlight w:val="none"/>
              </w:rPr>
            </w:pPr>
          </w:p>
        </w:tc>
      </w:tr>
      <w:tr w14:paraId="4B0061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23" w:hRule="atLeast"/>
        </w:trPr>
        <w:tc>
          <w:tcPr>
            <w:tcW w:w="2079" w:type="dxa"/>
            <w:vMerge w:val="restart"/>
            <w:noWrap w:val="0"/>
            <w:vAlign w:val="center"/>
          </w:tcPr>
          <w:p w14:paraId="00EC4EDF">
            <w:pPr>
              <w:autoSpaceDE w:val="0"/>
              <w:autoSpaceDN w:val="0"/>
              <w:jc w:val="center"/>
              <w:rPr>
                <w:rFonts w:hint="eastAsia" w:ascii="宋体" w:cs="宋体"/>
                <w:kern w:val="0"/>
                <w:sz w:val="24"/>
                <w:highlight w:val="none"/>
              </w:rPr>
            </w:pPr>
            <w:r>
              <w:rPr>
                <w:rFonts w:hint="eastAsia" w:ascii="宋体" w:cs="宋体"/>
                <w:kern w:val="0"/>
                <w:sz w:val="24"/>
                <w:highlight w:val="none"/>
              </w:rPr>
              <w:t>联系方式</w:t>
            </w:r>
          </w:p>
        </w:tc>
        <w:tc>
          <w:tcPr>
            <w:tcW w:w="1058" w:type="dxa"/>
            <w:noWrap w:val="0"/>
            <w:vAlign w:val="center"/>
          </w:tcPr>
          <w:p w14:paraId="6A6588FF">
            <w:pPr>
              <w:autoSpaceDE w:val="0"/>
              <w:autoSpaceDN w:val="0"/>
              <w:jc w:val="center"/>
              <w:rPr>
                <w:rFonts w:ascii="宋体" w:cs="宋体"/>
                <w:kern w:val="0"/>
                <w:sz w:val="24"/>
                <w:highlight w:val="none"/>
              </w:rPr>
            </w:pPr>
            <w:r>
              <w:rPr>
                <w:rFonts w:hint="eastAsia" w:ascii="宋体" w:cs="宋体"/>
                <w:kern w:val="0"/>
                <w:sz w:val="24"/>
                <w:highlight w:val="none"/>
              </w:rPr>
              <w:t>联系人</w:t>
            </w:r>
          </w:p>
        </w:tc>
        <w:tc>
          <w:tcPr>
            <w:tcW w:w="2100" w:type="dxa"/>
            <w:gridSpan w:val="2"/>
            <w:noWrap w:val="0"/>
            <w:vAlign w:val="center"/>
          </w:tcPr>
          <w:p w14:paraId="448BC4DF">
            <w:pPr>
              <w:autoSpaceDE w:val="0"/>
              <w:autoSpaceDN w:val="0"/>
              <w:jc w:val="center"/>
              <w:rPr>
                <w:kern w:val="0"/>
                <w:sz w:val="24"/>
                <w:highlight w:val="none"/>
              </w:rPr>
            </w:pPr>
          </w:p>
        </w:tc>
        <w:tc>
          <w:tcPr>
            <w:tcW w:w="1224" w:type="dxa"/>
            <w:gridSpan w:val="4"/>
            <w:noWrap w:val="0"/>
            <w:vAlign w:val="center"/>
          </w:tcPr>
          <w:p w14:paraId="27DC705B">
            <w:pPr>
              <w:autoSpaceDE w:val="0"/>
              <w:autoSpaceDN w:val="0"/>
              <w:jc w:val="center"/>
              <w:rPr>
                <w:rFonts w:hint="eastAsia" w:ascii="宋体" w:eastAsia="宋体" w:cs="宋体"/>
                <w:kern w:val="0"/>
                <w:sz w:val="24"/>
                <w:highlight w:val="none"/>
                <w:lang w:eastAsia="zh-CN"/>
              </w:rPr>
            </w:pPr>
            <w:r>
              <w:rPr>
                <w:rFonts w:hint="eastAsia" w:ascii="宋体" w:cs="宋体"/>
                <w:kern w:val="0"/>
                <w:sz w:val="24"/>
                <w:highlight w:val="none"/>
                <w:lang w:eastAsia="zh-CN"/>
              </w:rPr>
              <w:t>电话</w:t>
            </w:r>
          </w:p>
        </w:tc>
        <w:tc>
          <w:tcPr>
            <w:tcW w:w="2379" w:type="dxa"/>
            <w:gridSpan w:val="4"/>
            <w:noWrap w:val="0"/>
            <w:vAlign w:val="center"/>
          </w:tcPr>
          <w:p w14:paraId="0A6C2C02">
            <w:pPr>
              <w:autoSpaceDE w:val="0"/>
              <w:autoSpaceDN w:val="0"/>
              <w:jc w:val="center"/>
              <w:rPr>
                <w:kern w:val="0"/>
                <w:sz w:val="24"/>
                <w:highlight w:val="none"/>
              </w:rPr>
            </w:pPr>
          </w:p>
        </w:tc>
      </w:tr>
      <w:tr w14:paraId="36A2D1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70" w:hRule="atLeast"/>
        </w:trPr>
        <w:tc>
          <w:tcPr>
            <w:tcW w:w="2079" w:type="dxa"/>
            <w:vMerge w:val="continue"/>
            <w:noWrap w:val="0"/>
            <w:vAlign w:val="center"/>
          </w:tcPr>
          <w:p w14:paraId="0E924841">
            <w:pPr>
              <w:autoSpaceDE w:val="0"/>
              <w:autoSpaceDN w:val="0"/>
              <w:jc w:val="center"/>
              <w:rPr>
                <w:rFonts w:hint="eastAsia" w:ascii="宋体" w:cs="宋体"/>
                <w:kern w:val="0"/>
                <w:sz w:val="24"/>
                <w:highlight w:val="none"/>
              </w:rPr>
            </w:pPr>
          </w:p>
        </w:tc>
        <w:tc>
          <w:tcPr>
            <w:tcW w:w="1058" w:type="dxa"/>
            <w:noWrap w:val="0"/>
            <w:vAlign w:val="center"/>
          </w:tcPr>
          <w:p w14:paraId="7EA3CD41">
            <w:pPr>
              <w:autoSpaceDE w:val="0"/>
              <w:autoSpaceDN w:val="0"/>
              <w:jc w:val="center"/>
              <w:rPr>
                <w:rFonts w:ascii="宋体" w:cs="宋体"/>
                <w:kern w:val="0"/>
                <w:sz w:val="24"/>
                <w:highlight w:val="none"/>
              </w:rPr>
            </w:pPr>
            <w:r>
              <w:rPr>
                <w:rFonts w:hint="eastAsia" w:ascii="宋体" w:cs="宋体"/>
                <w:kern w:val="0"/>
                <w:sz w:val="24"/>
                <w:highlight w:val="none"/>
              </w:rPr>
              <w:t>传真</w:t>
            </w:r>
          </w:p>
        </w:tc>
        <w:tc>
          <w:tcPr>
            <w:tcW w:w="2100" w:type="dxa"/>
            <w:gridSpan w:val="2"/>
            <w:noWrap w:val="0"/>
            <w:vAlign w:val="center"/>
          </w:tcPr>
          <w:p w14:paraId="39D2244F">
            <w:pPr>
              <w:autoSpaceDE w:val="0"/>
              <w:autoSpaceDN w:val="0"/>
              <w:jc w:val="center"/>
              <w:rPr>
                <w:kern w:val="0"/>
                <w:sz w:val="24"/>
                <w:highlight w:val="none"/>
              </w:rPr>
            </w:pPr>
          </w:p>
        </w:tc>
        <w:tc>
          <w:tcPr>
            <w:tcW w:w="1224" w:type="dxa"/>
            <w:gridSpan w:val="4"/>
            <w:noWrap w:val="0"/>
            <w:vAlign w:val="center"/>
          </w:tcPr>
          <w:p w14:paraId="6DBD8EBB">
            <w:pPr>
              <w:autoSpaceDE w:val="0"/>
              <w:autoSpaceDN w:val="0"/>
              <w:jc w:val="center"/>
              <w:rPr>
                <w:rFonts w:ascii="宋体" w:cs="宋体"/>
                <w:kern w:val="0"/>
                <w:sz w:val="24"/>
                <w:highlight w:val="none"/>
              </w:rPr>
            </w:pPr>
            <w:r>
              <w:rPr>
                <w:rFonts w:hint="eastAsia" w:ascii="宋体" w:cs="宋体"/>
                <w:kern w:val="0"/>
                <w:sz w:val="24"/>
                <w:highlight w:val="none"/>
              </w:rPr>
              <w:t>电子邮箱</w:t>
            </w:r>
          </w:p>
        </w:tc>
        <w:tc>
          <w:tcPr>
            <w:tcW w:w="2379" w:type="dxa"/>
            <w:gridSpan w:val="4"/>
            <w:noWrap w:val="0"/>
            <w:vAlign w:val="center"/>
          </w:tcPr>
          <w:p w14:paraId="77C7EC5A">
            <w:pPr>
              <w:autoSpaceDE w:val="0"/>
              <w:autoSpaceDN w:val="0"/>
              <w:jc w:val="center"/>
              <w:rPr>
                <w:kern w:val="0"/>
                <w:sz w:val="24"/>
                <w:highlight w:val="none"/>
              </w:rPr>
            </w:pPr>
          </w:p>
        </w:tc>
      </w:tr>
      <w:tr w14:paraId="2A750F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44" w:hRule="atLeast"/>
        </w:trPr>
        <w:tc>
          <w:tcPr>
            <w:tcW w:w="2079" w:type="dxa"/>
            <w:noWrap w:val="0"/>
            <w:vAlign w:val="center"/>
          </w:tcPr>
          <w:p w14:paraId="6CEBBDCA">
            <w:pPr>
              <w:autoSpaceDE w:val="0"/>
              <w:autoSpaceDN w:val="0"/>
              <w:jc w:val="center"/>
              <w:rPr>
                <w:rFonts w:ascii="宋体" w:cs="宋体"/>
                <w:kern w:val="0"/>
                <w:sz w:val="24"/>
                <w:highlight w:val="none"/>
              </w:rPr>
            </w:pPr>
            <w:r>
              <w:rPr>
                <w:rFonts w:hint="eastAsia" w:ascii="宋体" w:cs="宋体"/>
                <w:kern w:val="0"/>
                <w:sz w:val="24"/>
                <w:highlight w:val="none"/>
              </w:rPr>
              <w:t>法定代表人</w:t>
            </w:r>
          </w:p>
        </w:tc>
        <w:tc>
          <w:tcPr>
            <w:tcW w:w="1058" w:type="dxa"/>
            <w:noWrap w:val="0"/>
            <w:vAlign w:val="center"/>
          </w:tcPr>
          <w:p w14:paraId="6D109FB7">
            <w:pPr>
              <w:autoSpaceDE w:val="0"/>
              <w:autoSpaceDN w:val="0"/>
              <w:jc w:val="center"/>
              <w:rPr>
                <w:rFonts w:ascii="宋体" w:cs="宋体"/>
                <w:kern w:val="0"/>
                <w:sz w:val="24"/>
                <w:highlight w:val="none"/>
              </w:rPr>
            </w:pPr>
            <w:r>
              <w:rPr>
                <w:rFonts w:hint="eastAsia" w:ascii="宋体" w:cs="宋体"/>
                <w:kern w:val="0"/>
                <w:sz w:val="24"/>
                <w:highlight w:val="none"/>
              </w:rPr>
              <w:t>姓名</w:t>
            </w:r>
          </w:p>
        </w:tc>
        <w:tc>
          <w:tcPr>
            <w:tcW w:w="1199" w:type="dxa"/>
            <w:noWrap w:val="0"/>
            <w:vAlign w:val="center"/>
          </w:tcPr>
          <w:p w14:paraId="43FD2647">
            <w:pPr>
              <w:autoSpaceDE w:val="0"/>
              <w:autoSpaceDN w:val="0"/>
              <w:jc w:val="center"/>
              <w:rPr>
                <w:rFonts w:ascii="宋体" w:cs="宋体"/>
                <w:kern w:val="0"/>
                <w:sz w:val="24"/>
                <w:highlight w:val="none"/>
              </w:rPr>
            </w:pPr>
          </w:p>
        </w:tc>
        <w:tc>
          <w:tcPr>
            <w:tcW w:w="901" w:type="dxa"/>
            <w:noWrap w:val="0"/>
            <w:vAlign w:val="center"/>
          </w:tcPr>
          <w:p w14:paraId="196D5413">
            <w:pPr>
              <w:autoSpaceDE w:val="0"/>
              <w:autoSpaceDN w:val="0"/>
              <w:jc w:val="center"/>
              <w:rPr>
                <w:rFonts w:hint="eastAsia" w:ascii="宋体" w:cs="宋体"/>
                <w:kern w:val="0"/>
                <w:sz w:val="24"/>
                <w:highlight w:val="none"/>
              </w:rPr>
            </w:pPr>
            <w:r>
              <w:rPr>
                <w:rFonts w:hint="eastAsia" w:ascii="宋体" w:cs="宋体"/>
                <w:kern w:val="0"/>
                <w:sz w:val="24"/>
                <w:highlight w:val="none"/>
              </w:rPr>
              <w:t>职务</w:t>
            </w:r>
          </w:p>
        </w:tc>
        <w:tc>
          <w:tcPr>
            <w:tcW w:w="1224" w:type="dxa"/>
            <w:gridSpan w:val="4"/>
            <w:noWrap w:val="0"/>
            <w:vAlign w:val="center"/>
          </w:tcPr>
          <w:p w14:paraId="51F9EC23">
            <w:pPr>
              <w:autoSpaceDE w:val="0"/>
              <w:autoSpaceDN w:val="0"/>
              <w:jc w:val="center"/>
              <w:rPr>
                <w:kern w:val="0"/>
                <w:sz w:val="24"/>
                <w:highlight w:val="none"/>
              </w:rPr>
            </w:pPr>
          </w:p>
        </w:tc>
        <w:tc>
          <w:tcPr>
            <w:tcW w:w="695" w:type="dxa"/>
            <w:noWrap w:val="0"/>
            <w:vAlign w:val="center"/>
          </w:tcPr>
          <w:p w14:paraId="4C1C9AA3">
            <w:pPr>
              <w:autoSpaceDE w:val="0"/>
              <w:autoSpaceDN w:val="0"/>
              <w:jc w:val="center"/>
              <w:rPr>
                <w:rFonts w:ascii="宋体" w:cs="宋体"/>
                <w:kern w:val="0"/>
                <w:sz w:val="24"/>
                <w:highlight w:val="none"/>
              </w:rPr>
            </w:pPr>
            <w:r>
              <w:rPr>
                <w:rFonts w:hint="eastAsia" w:ascii="宋体" w:cs="宋体"/>
                <w:kern w:val="0"/>
                <w:sz w:val="24"/>
                <w:highlight w:val="none"/>
              </w:rPr>
              <w:t>电话</w:t>
            </w:r>
          </w:p>
        </w:tc>
        <w:tc>
          <w:tcPr>
            <w:tcW w:w="1684" w:type="dxa"/>
            <w:gridSpan w:val="3"/>
            <w:noWrap w:val="0"/>
            <w:vAlign w:val="center"/>
          </w:tcPr>
          <w:p w14:paraId="3A4DBA55">
            <w:pPr>
              <w:autoSpaceDE w:val="0"/>
              <w:autoSpaceDN w:val="0"/>
              <w:jc w:val="center"/>
              <w:rPr>
                <w:kern w:val="0"/>
                <w:sz w:val="24"/>
                <w:highlight w:val="none"/>
              </w:rPr>
            </w:pPr>
          </w:p>
        </w:tc>
      </w:tr>
      <w:tr w14:paraId="69454A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50" w:hRule="atLeast"/>
        </w:trPr>
        <w:tc>
          <w:tcPr>
            <w:tcW w:w="2079" w:type="dxa"/>
            <w:noWrap w:val="0"/>
            <w:vAlign w:val="center"/>
          </w:tcPr>
          <w:p w14:paraId="3F2BAE95">
            <w:pPr>
              <w:autoSpaceDE w:val="0"/>
              <w:autoSpaceDN w:val="0"/>
              <w:jc w:val="center"/>
              <w:rPr>
                <w:rFonts w:ascii="宋体" w:cs="宋体"/>
                <w:kern w:val="0"/>
                <w:sz w:val="24"/>
                <w:highlight w:val="none"/>
              </w:rPr>
            </w:pPr>
            <w:r>
              <w:rPr>
                <w:rFonts w:hint="eastAsia" w:ascii="宋体" w:cs="宋体"/>
                <w:kern w:val="0"/>
                <w:sz w:val="24"/>
                <w:highlight w:val="none"/>
              </w:rPr>
              <w:t>技术负责人</w:t>
            </w:r>
          </w:p>
        </w:tc>
        <w:tc>
          <w:tcPr>
            <w:tcW w:w="1058" w:type="dxa"/>
            <w:noWrap w:val="0"/>
            <w:vAlign w:val="center"/>
          </w:tcPr>
          <w:p w14:paraId="2EB6A608">
            <w:pPr>
              <w:autoSpaceDE w:val="0"/>
              <w:autoSpaceDN w:val="0"/>
              <w:jc w:val="center"/>
              <w:rPr>
                <w:rFonts w:ascii="宋体" w:cs="宋体"/>
                <w:kern w:val="0"/>
                <w:sz w:val="24"/>
                <w:highlight w:val="none"/>
              </w:rPr>
            </w:pPr>
            <w:r>
              <w:rPr>
                <w:rFonts w:hint="eastAsia" w:ascii="宋体" w:cs="宋体"/>
                <w:kern w:val="0"/>
                <w:sz w:val="24"/>
                <w:highlight w:val="none"/>
              </w:rPr>
              <w:t>姓名</w:t>
            </w:r>
          </w:p>
        </w:tc>
        <w:tc>
          <w:tcPr>
            <w:tcW w:w="1199" w:type="dxa"/>
            <w:noWrap w:val="0"/>
            <w:vAlign w:val="center"/>
          </w:tcPr>
          <w:p w14:paraId="6B51ACC2">
            <w:pPr>
              <w:autoSpaceDE w:val="0"/>
              <w:autoSpaceDN w:val="0"/>
              <w:jc w:val="center"/>
              <w:rPr>
                <w:rFonts w:hint="eastAsia" w:ascii="宋体" w:cs="宋体"/>
                <w:kern w:val="0"/>
                <w:sz w:val="24"/>
                <w:highlight w:val="none"/>
              </w:rPr>
            </w:pPr>
          </w:p>
        </w:tc>
        <w:tc>
          <w:tcPr>
            <w:tcW w:w="901" w:type="dxa"/>
            <w:noWrap w:val="0"/>
            <w:vAlign w:val="center"/>
          </w:tcPr>
          <w:p w14:paraId="046C925F">
            <w:pPr>
              <w:autoSpaceDE w:val="0"/>
              <w:autoSpaceDN w:val="0"/>
              <w:jc w:val="center"/>
              <w:rPr>
                <w:rFonts w:hint="eastAsia" w:ascii="宋体" w:cs="宋体"/>
                <w:kern w:val="0"/>
                <w:sz w:val="24"/>
                <w:highlight w:val="none"/>
              </w:rPr>
            </w:pPr>
            <w:r>
              <w:rPr>
                <w:rFonts w:hint="eastAsia" w:ascii="宋体" w:cs="宋体"/>
                <w:kern w:val="0"/>
                <w:sz w:val="24"/>
                <w:highlight w:val="none"/>
              </w:rPr>
              <w:t>职称</w:t>
            </w:r>
          </w:p>
        </w:tc>
        <w:tc>
          <w:tcPr>
            <w:tcW w:w="1224" w:type="dxa"/>
            <w:gridSpan w:val="4"/>
            <w:noWrap w:val="0"/>
            <w:vAlign w:val="center"/>
          </w:tcPr>
          <w:p w14:paraId="2AD8B101">
            <w:pPr>
              <w:autoSpaceDE w:val="0"/>
              <w:autoSpaceDN w:val="0"/>
              <w:jc w:val="center"/>
              <w:rPr>
                <w:kern w:val="0"/>
                <w:sz w:val="24"/>
                <w:highlight w:val="none"/>
              </w:rPr>
            </w:pPr>
          </w:p>
        </w:tc>
        <w:tc>
          <w:tcPr>
            <w:tcW w:w="695" w:type="dxa"/>
            <w:noWrap w:val="0"/>
            <w:vAlign w:val="center"/>
          </w:tcPr>
          <w:p w14:paraId="12ACED72">
            <w:pPr>
              <w:autoSpaceDE w:val="0"/>
              <w:autoSpaceDN w:val="0"/>
              <w:jc w:val="center"/>
              <w:rPr>
                <w:rFonts w:ascii="宋体" w:cs="宋体"/>
                <w:kern w:val="0"/>
                <w:sz w:val="24"/>
                <w:highlight w:val="none"/>
              </w:rPr>
            </w:pPr>
            <w:r>
              <w:rPr>
                <w:rFonts w:hint="eastAsia" w:ascii="宋体" w:cs="宋体"/>
                <w:kern w:val="0"/>
                <w:sz w:val="24"/>
                <w:highlight w:val="none"/>
              </w:rPr>
              <w:t>电话</w:t>
            </w:r>
          </w:p>
        </w:tc>
        <w:tc>
          <w:tcPr>
            <w:tcW w:w="1684" w:type="dxa"/>
            <w:gridSpan w:val="3"/>
            <w:noWrap w:val="0"/>
            <w:vAlign w:val="center"/>
          </w:tcPr>
          <w:p w14:paraId="5A0136BC">
            <w:pPr>
              <w:autoSpaceDE w:val="0"/>
              <w:autoSpaceDN w:val="0"/>
              <w:jc w:val="center"/>
              <w:rPr>
                <w:kern w:val="0"/>
                <w:sz w:val="24"/>
                <w:highlight w:val="none"/>
              </w:rPr>
            </w:pPr>
          </w:p>
        </w:tc>
      </w:tr>
      <w:tr w14:paraId="2E1551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44" w:hRule="atLeast"/>
        </w:trPr>
        <w:tc>
          <w:tcPr>
            <w:tcW w:w="2079" w:type="dxa"/>
            <w:noWrap w:val="0"/>
            <w:vAlign w:val="center"/>
          </w:tcPr>
          <w:p w14:paraId="3BD5CF09">
            <w:pPr>
              <w:autoSpaceDE w:val="0"/>
              <w:autoSpaceDN w:val="0"/>
              <w:jc w:val="center"/>
              <w:rPr>
                <w:rFonts w:hint="eastAsia" w:ascii="宋体" w:eastAsia="宋体" w:cs="宋体"/>
                <w:kern w:val="0"/>
                <w:sz w:val="24"/>
                <w:highlight w:val="none"/>
                <w:lang w:eastAsia="zh-CN"/>
              </w:rPr>
            </w:pPr>
            <w:r>
              <w:rPr>
                <w:rFonts w:hint="eastAsia" w:ascii="宋体" w:cs="宋体"/>
                <w:kern w:val="0"/>
                <w:sz w:val="24"/>
                <w:highlight w:val="none"/>
                <w:lang w:eastAsia="zh-CN"/>
              </w:rPr>
              <w:t>勘察资质证书</w:t>
            </w:r>
          </w:p>
        </w:tc>
        <w:tc>
          <w:tcPr>
            <w:tcW w:w="6761" w:type="dxa"/>
            <w:gridSpan w:val="11"/>
            <w:noWrap w:val="0"/>
            <w:vAlign w:val="center"/>
          </w:tcPr>
          <w:p w14:paraId="5DD68106">
            <w:pPr>
              <w:autoSpaceDE w:val="0"/>
              <w:autoSpaceDN w:val="0"/>
              <w:jc w:val="both"/>
              <w:rPr>
                <w:rFonts w:hint="default" w:eastAsia="宋体"/>
                <w:kern w:val="0"/>
                <w:sz w:val="24"/>
                <w:highlight w:val="none"/>
                <w:lang w:val="en-US" w:eastAsia="zh-CN"/>
              </w:rPr>
            </w:pPr>
            <w:r>
              <w:rPr>
                <w:rFonts w:hint="eastAsia"/>
                <w:kern w:val="0"/>
                <w:sz w:val="24"/>
                <w:highlight w:val="none"/>
                <w:lang w:eastAsia="zh-CN"/>
              </w:rPr>
              <w:t>类型：</w:t>
            </w:r>
            <w:r>
              <w:rPr>
                <w:rFonts w:hint="eastAsia"/>
                <w:kern w:val="0"/>
                <w:sz w:val="24"/>
                <w:highlight w:val="none"/>
                <w:lang w:val="en-US" w:eastAsia="zh-CN"/>
              </w:rPr>
              <w:t xml:space="preserve">           等级：           证书号：</w:t>
            </w:r>
          </w:p>
        </w:tc>
      </w:tr>
      <w:tr w14:paraId="7C5C08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44" w:hRule="atLeast"/>
        </w:trPr>
        <w:tc>
          <w:tcPr>
            <w:tcW w:w="2079" w:type="dxa"/>
            <w:noWrap w:val="0"/>
            <w:vAlign w:val="center"/>
          </w:tcPr>
          <w:p w14:paraId="0D8C19AC">
            <w:pPr>
              <w:autoSpaceDE w:val="0"/>
              <w:autoSpaceDN w:val="0"/>
              <w:jc w:val="center"/>
              <w:rPr>
                <w:rFonts w:hint="eastAsia" w:ascii="宋体" w:eastAsia="宋体" w:cs="宋体"/>
                <w:kern w:val="0"/>
                <w:sz w:val="24"/>
                <w:highlight w:val="none"/>
                <w:lang w:eastAsia="zh-CN"/>
              </w:rPr>
            </w:pPr>
            <w:r>
              <w:rPr>
                <w:rFonts w:hint="eastAsia" w:ascii="宋体" w:cs="宋体"/>
                <w:kern w:val="0"/>
                <w:sz w:val="24"/>
                <w:highlight w:val="none"/>
                <w:lang w:eastAsia="zh-CN"/>
              </w:rPr>
              <w:t>工程咨询资信证书</w:t>
            </w:r>
          </w:p>
        </w:tc>
        <w:tc>
          <w:tcPr>
            <w:tcW w:w="6761" w:type="dxa"/>
            <w:gridSpan w:val="11"/>
            <w:noWrap w:val="0"/>
            <w:vAlign w:val="center"/>
          </w:tcPr>
          <w:p w14:paraId="785ECE0A">
            <w:pPr>
              <w:autoSpaceDE w:val="0"/>
              <w:autoSpaceDN w:val="0"/>
              <w:jc w:val="both"/>
              <w:rPr>
                <w:kern w:val="0"/>
                <w:sz w:val="24"/>
                <w:highlight w:val="none"/>
              </w:rPr>
            </w:pPr>
            <w:r>
              <w:rPr>
                <w:rFonts w:hint="eastAsia"/>
                <w:kern w:val="0"/>
                <w:sz w:val="24"/>
                <w:highlight w:val="none"/>
                <w:lang w:eastAsia="zh-CN"/>
              </w:rPr>
              <w:t>类型：</w:t>
            </w:r>
            <w:r>
              <w:rPr>
                <w:rFonts w:hint="eastAsia"/>
                <w:kern w:val="0"/>
                <w:sz w:val="24"/>
                <w:highlight w:val="none"/>
                <w:lang w:val="en-US" w:eastAsia="zh-CN"/>
              </w:rPr>
              <w:t xml:space="preserve">           等级：           证书号：</w:t>
            </w:r>
          </w:p>
        </w:tc>
      </w:tr>
      <w:tr w14:paraId="4582C2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44" w:hRule="atLeast"/>
        </w:trPr>
        <w:tc>
          <w:tcPr>
            <w:tcW w:w="2079" w:type="dxa"/>
            <w:noWrap w:val="0"/>
            <w:vAlign w:val="center"/>
          </w:tcPr>
          <w:p w14:paraId="33EFD6A1">
            <w:pPr>
              <w:autoSpaceDE w:val="0"/>
              <w:autoSpaceDN w:val="0"/>
              <w:jc w:val="center"/>
              <w:rPr>
                <w:rFonts w:hint="eastAsia" w:ascii="宋体" w:cs="宋体"/>
                <w:kern w:val="0"/>
                <w:sz w:val="24"/>
                <w:highlight w:val="none"/>
                <w:lang w:eastAsia="zh-CN"/>
              </w:rPr>
            </w:pPr>
            <w:r>
              <w:rPr>
                <w:rFonts w:hint="eastAsia" w:ascii="宋体" w:cs="宋体"/>
                <w:kern w:val="0"/>
                <w:sz w:val="24"/>
                <w:highlight w:val="none"/>
                <w:lang w:eastAsia="zh-CN"/>
              </w:rPr>
              <w:t>质量管理体系证书（如有）</w:t>
            </w:r>
          </w:p>
        </w:tc>
        <w:tc>
          <w:tcPr>
            <w:tcW w:w="6761" w:type="dxa"/>
            <w:gridSpan w:val="11"/>
            <w:noWrap w:val="0"/>
            <w:vAlign w:val="center"/>
          </w:tcPr>
          <w:p w14:paraId="2438C506">
            <w:pPr>
              <w:autoSpaceDE w:val="0"/>
              <w:autoSpaceDN w:val="0"/>
              <w:jc w:val="both"/>
              <w:rPr>
                <w:rFonts w:hint="eastAsia"/>
                <w:kern w:val="0"/>
                <w:sz w:val="24"/>
                <w:highlight w:val="none"/>
                <w:lang w:eastAsia="zh-CN"/>
              </w:rPr>
            </w:pPr>
            <w:r>
              <w:rPr>
                <w:rFonts w:hint="eastAsia"/>
                <w:kern w:val="0"/>
                <w:sz w:val="24"/>
                <w:highlight w:val="none"/>
                <w:lang w:eastAsia="zh-CN"/>
              </w:rPr>
              <w:t>类型：</w:t>
            </w:r>
            <w:r>
              <w:rPr>
                <w:rFonts w:hint="eastAsia"/>
                <w:kern w:val="0"/>
                <w:sz w:val="24"/>
                <w:highlight w:val="none"/>
                <w:lang w:val="en-US" w:eastAsia="zh-CN"/>
              </w:rPr>
              <w:t xml:space="preserve">           等级：           证书号：</w:t>
            </w:r>
          </w:p>
        </w:tc>
      </w:tr>
      <w:tr w14:paraId="0402526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44" w:hRule="atLeast"/>
        </w:trPr>
        <w:tc>
          <w:tcPr>
            <w:tcW w:w="2079" w:type="dxa"/>
            <w:noWrap w:val="0"/>
            <w:vAlign w:val="center"/>
          </w:tcPr>
          <w:p w14:paraId="33B431C5">
            <w:pPr>
              <w:autoSpaceDE w:val="0"/>
              <w:autoSpaceDN w:val="0"/>
              <w:jc w:val="center"/>
              <w:rPr>
                <w:rFonts w:ascii="宋体" w:cs="宋体"/>
                <w:kern w:val="0"/>
                <w:sz w:val="24"/>
                <w:highlight w:val="none"/>
              </w:rPr>
            </w:pPr>
            <w:r>
              <w:rPr>
                <w:rFonts w:hint="eastAsia" w:ascii="宋体" w:cs="宋体"/>
                <w:kern w:val="0"/>
                <w:sz w:val="24"/>
                <w:highlight w:val="none"/>
              </w:rPr>
              <w:t>营业执照号</w:t>
            </w:r>
          </w:p>
        </w:tc>
        <w:tc>
          <w:tcPr>
            <w:tcW w:w="3492" w:type="dxa"/>
            <w:gridSpan w:val="4"/>
            <w:noWrap w:val="0"/>
            <w:vAlign w:val="center"/>
          </w:tcPr>
          <w:p w14:paraId="62525718">
            <w:pPr>
              <w:autoSpaceDE w:val="0"/>
              <w:autoSpaceDN w:val="0"/>
              <w:jc w:val="center"/>
              <w:rPr>
                <w:kern w:val="0"/>
                <w:sz w:val="24"/>
                <w:highlight w:val="none"/>
              </w:rPr>
            </w:pPr>
          </w:p>
        </w:tc>
        <w:tc>
          <w:tcPr>
            <w:tcW w:w="1977" w:type="dxa"/>
            <w:gridSpan w:val="6"/>
            <w:noWrap w:val="0"/>
            <w:vAlign w:val="center"/>
          </w:tcPr>
          <w:p w14:paraId="46A97CC1">
            <w:pPr>
              <w:autoSpaceDE w:val="0"/>
              <w:autoSpaceDN w:val="0"/>
              <w:jc w:val="center"/>
              <w:rPr>
                <w:kern w:val="0"/>
                <w:sz w:val="24"/>
                <w:highlight w:val="none"/>
              </w:rPr>
            </w:pPr>
            <w:r>
              <w:rPr>
                <w:rFonts w:hint="eastAsia" w:ascii="宋体" w:cs="宋体"/>
                <w:kern w:val="0"/>
                <w:sz w:val="24"/>
                <w:highlight w:val="none"/>
              </w:rPr>
              <w:t>员工总人数</w:t>
            </w:r>
          </w:p>
        </w:tc>
        <w:tc>
          <w:tcPr>
            <w:tcW w:w="1292" w:type="dxa"/>
            <w:noWrap w:val="0"/>
            <w:vAlign w:val="center"/>
          </w:tcPr>
          <w:p w14:paraId="4342F10A">
            <w:pPr>
              <w:autoSpaceDE w:val="0"/>
              <w:autoSpaceDN w:val="0"/>
              <w:jc w:val="center"/>
              <w:rPr>
                <w:kern w:val="0"/>
                <w:sz w:val="24"/>
                <w:highlight w:val="none"/>
              </w:rPr>
            </w:pPr>
          </w:p>
        </w:tc>
      </w:tr>
      <w:tr w14:paraId="5BFC1E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90" w:hRule="atLeast"/>
        </w:trPr>
        <w:tc>
          <w:tcPr>
            <w:tcW w:w="2079" w:type="dxa"/>
            <w:noWrap w:val="0"/>
            <w:vAlign w:val="center"/>
          </w:tcPr>
          <w:p w14:paraId="73530535">
            <w:pPr>
              <w:autoSpaceDE w:val="0"/>
              <w:autoSpaceDN w:val="0"/>
              <w:jc w:val="center"/>
              <w:rPr>
                <w:rFonts w:ascii="宋体" w:cs="宋体"/>
                <w:kern w:val="0"/>
                <w:sz w:val="24"/>
                <w:highlight w:val="none"/>
              </w:rPr>
            </w:pPr>
            <w:r>
              <w:rPr>
                <w:rFonts w:hint="eastAsia" w:ascii="宋体" w:cs="宋体"/>
                <w:kern w:val="0"/>
                <w:sz w:val="24"/>
                <w:highlight w:val="none"/>
              </w:rPr>
              <w:t>注册</w:t>
            </w:r>
            <w:r>
              <w:rPr>
                <w:rFonts w:hint="eastAsia" w:ascii="宋体" w:cs="宋体"/>
                <w:kern w:val="0"/>
                <w:sz w:val="24"/>
                <w:highlight w:val="none"/>
                <w:lang w:eastAsia="zh-CN"/>
              </w:rPr>
              <w:t>资本</w:t>
            </w:r>
          </w:p>
        </w:tc>
        <w:tc>
          <w:tcPr>
            <w:tcW w:w="3492" w:type="dxa"/>
            <w:gridSpan w:val="4"/>
            <w:noWrap w:val="0"/>
            <w:vAlign w:val="center"/>
          </w:tcPr>
          <w:p w14:paraId="47678DC0">
            <w:pPr>
              <w:autoSpaceDE w:val="0"/>
              <w:autoSpaceDN w:val="0"/>
              <w:jc w:val="center"/>
              <w:rPr>
                <w:kern w:val="0"/>
                <w:sz w:val="24"/>
                <w:highlight w:val="none"/>
              </w:rPr>
            </w:pPr>
          </w:p>
        </w:tc>
        <w:tc>
          <w:tcPr>
            <w:tcW w:w="337" w:type="dxa"/>
            <w:gridSpan w:val="2"/>
            <w:vMerge w:val="restart"/>
            <w:noWrap w:val="0"/>
            <w:vAlign w:val="center"/>
          </w:tcPr>
          <w:p w14:paraId="756AD6B8">
            <w:pPr>
              <w:autoSpaceDE w:val="0"/>
              <w:autoSpaceDN w:val="0"/>
              <w:jc w:val="center"/>
              <w:rPr>
                <w:kern w:val="0"/>
                <w:sz w:val="24"/>
                <w:highlight w:val="none"/>
              </w:rPr>
            </w:pPr>
            <w:r>
              <w:rPr>
                <w:rFonts w:hint="eastAsia" w:ascii="宋体" w:cs="宋体"/>
                <w:kern w:val="0"/>
                <w:sz w:val="24"/>
                <w:highlight w:val="none"/>
              </w:rPr>
              <w:t>其中</w:t>
            </w:r>
          </w:p>
        </w:tc>
        <w:tc>
          <w:tcPr>
            <w:tcW w:w="1640" w:type="dxa"/>
            <w:gridSpan w:val="4"/>
            <w:noWrap w:val="0"/>
            <w:vAlign w:val="center"/>
          </w:tcPr>
          <w:p w14:paraId="411BA3A8">
            <w:pPr>
              <w:autoSpaceDE/>
              <w:autoSpaceDN/>
              <w:jc w:val="left"/>
              <w:rPr>
                <w:rFonts w:ascii="宋体" w:cs="宋体"/>
                <w:kern w:val="0"/>
                <w:sz w:val="24"/>
                <w:highlight w:val="none"/>
              </w:rPr>
            </w:pPr>
            <w:r>
              <w:rPr>
                <w:rFonts w:hint="eastAsia" w:ascii="宋体" w:cs="宋体"/>
                <w:kern w:val="0"/>
                <w:sz w:val="24"/>
                <w:highlight w:val="none"/>
              </w:rPr>
              <w:t>高级</w:t>
            </w:r>
            <w:r>
              <w:rPr>
                <w:rFonts w:hint="eastAsia" w:ascii="宋体" w:cs="宋体"/>
                <w:kern w:val="0"/>
                <w:sz w:val="24"/>
                <w:highlight w:val="none"/>
                <w:lang w:eastAsia="zh-CN"/>
              </w:rPr>
              <w:t>职称人员</w:t>
            </w:r>
          </w:p>
        </w:tc>
        <w:tc>
          <w:tcPr>
            <w:tcW w:w="1292" w:type="dxa"/>
            <w:noWrap w:val="0"/>
            <w:vAlign w:val="center"/>
          </w:tcPr>
          <w:p w14:paraId="0101611A">
            <w:pPr>
              <w:autoSpaceDE w:val="0"/>
              <w:autoSpaceDN w:val="0"/>
              <w:jc w:val="center"/>
              <w:rPr>
                <w:kern w:val="0"/>
                <w:sz w:val="24"/>
                <w:highlight w:val="none"/>
              </w:rPr>
            </w:pPr>
          </w:p>
        </w:tc>
      </w:tr>
      <w:tr w14:paraId="12176D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44" w:hRule="atLeast"/>
        </w:trPr>
        <w:tc>
          <w:tcPr>
            <w:tcW w:w="2079" w:type="dxa"/>
            <w:noWrap w:val="0"/>
            <w:vAlign w:val="center"/>
          </w:tcPr>
          <w:p w14:paraId="33C3499A">
            <w:pPr>
              <w:autoSpaceDE w:val="0"/>
              <w:autoSpaceDN w:val="0"/>
              <w:jc w:val="center"/>
              <w:rPr>
                <w:rFonts w:hint="eastAsia" w:ascii="宋体" w:eastAsia="宋体" w:cs="宋体"/>
                <w:kern w:val="0"/>
                <w:sz w:val="24"/>
                <w:highlight w:val="none"/>
                <w:lang w:eastAsia="zh-CN"/>
              </w:rPr>
            </w:pPr>
            <w:r>
              <w:rPr>
                <w:rFonts w:hint="eastAsia" w:ascii="宋体" w:cs="宋体"/>
                <w:kern w:val="0"/>
                <w:sz w:val="24"/>
                <w:highlight w:val="none"/>
              </w:rPr>
              <w:t>成立</w:t>
            </w:r>
            <w:r>
              <w:rPr>
                <w:rFonts w:hint="eastAsia" w:ascii="宋体" w:cs="宋体"/>
                <w:kern w:val="0"/>
                <w:sz w:val="24"/>
                <w:highlight w:val="none"/>
                <w:lang w:eastAsia="zh-CN"/>
              </w:rPr>
              <w:t>日期</w:t>
            </w:r>
          </w:p>
        </w:tc>
        <w:tc>
          <w:tcPr>
            <w:tcW w:w="3492" w:type="dxa"/>
            <w:gridSpan w:val="4"/>
            <w:noWrap w:val="0"/>
            <w:vAlign w:val="center"/>
          </w:tcPr>
          <w:p w14:paraId="59977306">
            <w:pPr>
              <w:autoSpaceDE w:val="0"/>
              <w:autoSpaceDN w:val="0"/>
              <w:jc w:val="center"/>
              <w:rPr>
                <w:rFonts w:ascii="宋体" w:cs="宋体"/>
                <w:kern w:val="0"/>
                <w:sz w:val="24"/>
                <w:highlight w:val="none"/>
              </w:rPr>
            </w:pPr>
          </w:p>
        </w:tc>
        <w:tc>
          <w:tcPr>
            <w:tcW w:w="337" w:type="dxa"/>
            <w:gridSpan w:val="2"/>
            <w:vMerge w:val="continue"/>
            <w:noWrap w:val="0"/>
            <w:vAlign w:val="center"/>
          </w:tcPr>
          <w:p w14:paraId="259F5BF8">
            <w:pPr>
              <w:autoSpaceDE w:val="0"/>
              <w:autoSpaceDN w:val="0"/>
              <w:jc w:val="center"/>
              <w:rPr>
                <w:kern w:val="0"/>
                <w:sz w:val="24"/>
                <w:highlight w:val="none"/>
              </w:rPr>
            </w:pPr>
          </w:p>
        </w:tc>
        <w:tc>
          <w:tcPr>
            <w:tcW w:w="1640" w:type="dxa"/>
            <w:gridSpan w:val="4"/>
            <w:noWrap w:val="0"/>
            <w:vAlign w:val="center"/>
          </w:tcPr>
          <w:p w14:paraId="28D5E2C4">
            <w:pPr>
              <w:autoSpaceDE w:val="0"/>
              <w:autoSpaceDN w:val="0"/>
              <w:jc w:val="center"/>
              <w:rPr>
                <w:rFonts w:hint="eastAsia" w:ascii="宋体" w:cs="宋体"/>
                <w:kern w:val="0"/>
                <w:sz w:val="24"/>
                <w:highlight w:val="none"/>
              </w:rPr>
            </w:pPr>
            <w:r>
              <w:rPr>
                <w:rFonts w:hint="eastAsia" w:ascii="宋体" w:cs="宋体"/>
                <w:kern w:val="0"/>
                <w:sz w:val="24"/>
                <w:highlight w:val="none"/>
                <w:lang w:eastAsia="zh-CN"/>
              </w:rPr>
              <w:t>中级职称人员</w:t>
            </w:r>
          </w:p>
        </w:tc>
        <w:tc>
          <w:tcPr>
            <w:tcW w:w="1292" w:type="dxa"/>
            <w:noWrap w:val="0"/>
            <w:vAlign w:val="center"/>
          </w:tcPr>
          <w:p w14:paraId="27B2C244">
            <w:pPr>
              <w:autoSpaceDE w:val="0"/>
              <w:autoSpaceDN w:val="0"/>
              <w:jc w:val="center"/>
              <w:rPr>
                <w:kern w:val="0"/>
                <w:sz w:val="24"/>
                <w:highlight w:val="none"/>
              </w:rPr>
            </w:pPr>
          </w:p>
        </w:tc>
      </w:tr>
      <w:tr w14:paraId="5C0C39A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50" w:hRule="atLeast"/>
        </w:trPr>
        <w:tc>
          <w:tcPr>
            <w:tcW w:w="2079" w:type="dxa"/>
            <w:noWrap w:val="0"/>
            <w:vAlign w:val="center"/>
          </w:tcPr>
          <w:p w14:paraId="51F70B1F">
            <w:pPr>
              <w:autoSpaceDE w:val="0"/>
              <w:autoSpaceDN w:val="0"/>
              <w:jc w:val="center"/>
              <w:rPr>
                <w:rFonts w:ascii="宋体" w:cs="宋体"/>
                <w:kern w:val="0"/>
                <w:sz w:val="24"/>
                <w:highlight w:val="none"/>
              </w:rPr>
            </w:pPr>
            <w:r>
              <w:rPr>
                <w:rFonts w:hint="eastAsia" w:ascii="宋体" w:cs="宋体"/>
                <w:kern w:val="0"/>
                <w:sz w:val="24"/>
                <w:highlight w:val="none"/>
              </w:rPr>
              <w:t>基本账户开户银行</w:t>
            </w:r>
          </w:p>
        </w:tc>
        <w:tc>
          <w:tcPr>
            <w:tcW w:w="3492" w:type="dxa"/>
            <w:gridSpan w:val="4"/>
            <w:noWrap w:val="0"/>
            <w:vAlign w:val="center"/>
          </w:tcPr>
          <w:p w14:paraId="507DBDF6">
            <w:pPr>
              <w:autoSpaceDE w:val="0"/>
              <w:autoSpaceDN w:val="0"/>
              <w:jc w:val="center"/>
              <w:rPr>
                <w:kern w:val="0"/>
                <w:sz w:val="24"/>
                <w:highlight w:val="none"/>
              </w:rPr>
            </w:pPr>
          </w:p>
        </w:tc>
        <w:tc>
          <w:tcPr>
            <w:tcW w:w="337" w:type="dxa"/>
            <w:gridSpan w:val="2"/>
            <w:vMerge w:val="continue"/>
            <w:noWrap w:val="0"/>
            <w:vAlign w:val="center"/>
          </w:tcPr>
          <w:p w14:paraId="56C909F0">
            <w:pPr>
              <w:autoSpaceDE w:val="0"/>
              <w:autoSpaceDN w:val="0"/>
              <w:jc w:val="center"/>
              <w:rPr>
                <w:kern w:val="0"/>
                <w:sz w:val="24"/>
                <w:highlight w:val="none"/>
              </w:rPr>
            </w:pPr>
          </w:p>
        </w:tc>
        <w:tc>
          <w:tcPr>
            <w:tcW w:w="1640" w:type="dxa"/>
            <w:gridSpan w:val="4"/>
            <w:noWrap w:val="0"/>
            <w:vAlign w:val="center"/>
          </w:tcPr>
          <w:p w14:paraId="2A9F08FC">
            <w:pPr>
              <w:autoSpaceDE w:val="0"/>
              <w:autoSpaceDN w:val="0"/>
              <w:jc w:val="center"/>
              <w:rPr>
                <w:rFonts w:hint="eastAsia" w:ascii="宋体" w:cs="宋体"/>
                <w:kern w:val="0"/>
                <w:sz w:val="24"/>
                <w:highlight w:val="none"/>
                <w:lang w:eastAsia="zh-CN"/>
              </w:rPr>
            </w:pPr>
            <w:r>
              <w:rPr>
                <w:rFonts w:hint="eastAsia" w:ascii="宋体" w:cs="宋体"/>
                <w:kern w:val="0"/>
                <w:sz w:val="24"/>
                <w:highlight w:val="none"/>
                <w:lang w:eastAsia="zh-CN"/>
              </w:rPr>
              <w:t>技术人员数量</w:t>
            </w:r>
          </w:p>
        </w:tc>
        <w:tc>
          <w:tcPr>
            <w:tcW w:w="1292" w:type="dxa"/>
            <w:noWrap w:val="0"/>
            <w:vAlign w:val="center"/>
          </w:tcPr>
          <w:p w14:paraId="214EC392">
            <w:pPr>
              <w:autoSpaceDE w:val="0"/>
              <w:autoSpaceDN w:val="0"/>
              <w:jc w:val="center"/>
              <w:rPr>
                <w:kern w:val="0"/>
                <w:sz w:val="24"/>
                <w:highlight w:val="none"/>
              </w:rPr>
            </w:pPr>
          </w:p>
        </w:tc>
      </w:tr>
      <w:tr w14:paraId="25CB2A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44" w:hRule="atLeast"/>
        </w:trPr>
        <w:tc>
          <w:tcPr>
            <w:tcW w:w="2079" w:type="dxa"/>
            <w:noWrap w:val="0"/>
            <w:vAlign w:val="center"/>
          </w:tcPr>
          <w:p w14:paraId="78A9F9A4">
            <w:pPr>
              <w:autoSpaceDE w:val="0"/>
              <w:autoSpaceDN w:val="0"/>
              <w:jc w:val="center"/>
              <w:rPr>
                <w:rFonts w:ascii="宋体" w:cs="宋体"/>
                <w:kern w:val="0"/>
                <w:sz w:val="24"/>
                <w:highlight w:val="none"/>
              </w:rPr>
            </w:pPr>
            <w:r>
              <w:rPr>
                <w:rFonts w:hint="eastAsia" w:ascii="宋体" w:cs="宋体"/>
                <w:kern w:val="0"/>
                <w:sz w:val="24"/>
                <w:highlight w:val="none"/>
              </w:rPr>
              <w:t>基本账户银行账号</w:t>
            </w:r>
          </w:p>
        </w:tc>
        <w:tc>
          <w:tcPr>
            <w:tcW w:w="3492" w:type="dxa"/>
            <w:gridSpan w:val="4"/>
            <w:noWrap w:val="0"/>
            <w:vAlign w:val="center"/>
          </w:tcPr>
          <w:p w14:paraId="1332B564">
            <w:pPr>
              <w:autoSpaceDE w:val="0"/>
              <w:autoSpaceDN w:val="0"/>
              <w:jc w:val="center"/>
              <w:rPr>
                <w:kern w:val="0"/>
                <w:sz w:val="24"/>
                <w:highlight w:val="none"/>
              </w:rPr>
            </w:pPr>
          </w:p>
        </w:tc>
        <w:tc>
          <w:tcPr>
            <w:tcW w:w="337" w:type="dxa"/>
            <w:gridSpan w:val="2"/>
            <w:vMerge w:val="continue"/>
            <w:noWrap w:val="0"/>
            <w:vAlign w:val="center"/>
          </w:tcPr>
          <w:p w14:paraId="315FD2DE">
            <w:pPr>
              <w:autoSpaceDE w:val="0"/>
              <w:autoSpaceDN w:val="0"/>
              <w:jc w:val="center"/>
              <w:rPr>
                <w:kern w:val="0"/>
                <w:sz w:val="24"/>
                <w:highlight w:val="none"/>
              </w:rPr>
            </w:pPr>
          </w:p>
        </w:tc>
        <w:tc>
          <w:tcPr>
            <w:tcW w:w="1640" w:type="dxa"/>
            <w:gridSpan w:val="4"/>
            <w:noWrap w:val="0"/>
            <w:vAlign w:val="center"/>
          </w:tcPr>
          <w:p w14:paraId="19F4C862">
            <w:pPr>
              <w:autoSpaceDE w:val="0"/>
              <w:autoSpaceDN w:val="0"/>
              <w:jc w:val="center"/>
              <w:rPr>
                <w:rFonts w:hint="eastAsia" w:ascii="宋体" w:cs="宋体"/>
                <w:kern w:val="0"/>
                <w:sz w:val="24"/>
                <w:highlight w:val="none"/>
              </w:rPr>
            </w:pPr>
            <w:r>
              <w:rPr>
                <w:rFonts w:hint="eastAsia" w:ascii="宋体" w:cs="宋体"/>
                <w:kern w:val="0"/>
                <w:sz w:val="24"/>
                <w:highlight w:val="none"/>
              </w:rPr>
              <w:t>各类注册人员</w:t>
            </w:r>
          </w:p>
        </w:tc>
        <w:tc>
          <w:tcPr>
            <w:tcW w:w="1292" w:type="dxa"/>
            <w:noWrap w:val="0"/>
            <w:vAlign w:val="center"/>
          </w:tcPr>
          <w:p w14:paraId="6CDF3473">
            <w:pPr>
              <w:autoSpaceDE w:val="0"/>
              <w:autoSpaceDN w:val="0"/>
              <w:jc w:val="center"/>
              <w:rPr>
                <w:kern w:val="0"/>
                <w:sz w:val="24"/>
                <w:highlight w:val="none"/>
              </w:rPr>
            </w:pPr>
          </w:p>
        </w:tc>
      </w:tr>
      <w:tr w14:paraId="7FEF7E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732" w:hRule="atLeast"/>
        </w:trPr>
        <w:tc>
          <w:tcPr>
            <w:tcW w:w="2079" w:type="dxa"/>
            <w:noWrap w:val="0"/>
            <w:vAlign w:val="center"/>
          </w:tcPr>
          <w:p w14:paraId="34200765">
            <w:pPr>
              <w:autoSpaceDE w:val="0"/>
              <w:autoSpaceDN w:val="0"/>
              <w:jc w:val="center"/>
              <w:rPr>
                <w:rFonts w:ascii="宋体" w:cs="宋体"/>
                <w:kern w:val="0"/>
                <w:sz w:val="24"/>
                <w:highlight w:val="none"/>
              </w:rPr>
            </w:pPr>
            <w:r>
              <w:rPr>
                <w:rFonts w:hint="eastAsia" w:ascii="宋体" w:cs="宋体"/>
                <w:kern w:val="0"/>
                <w:sz w:val="24"/>
                <w:highlight w:val="none"/>
              </w:rPr>
              <w:t>经营范围</w:t>
            </w:r>
          </w:p>
        </w:tc>
        <w:tc>
          <w:tcPr>
            <w:tcW w:w="6761" w:type="dxa"/>
            <w:gridSpan w:val="11"/>
            <w:noWrap w:val="0"/>
            <w:vAlign w:val="center"/>
          </w:tcPr>
          <w:p w14:paraId="2F4995B9">
            <w:pPr>
              <w:autoSpaceDE w:val="0"/>
              <w:autoSpaceDN w:val="0"/>
              <w:jc w:val="center"/>
              <w:rPr>
                <w:kern w:val="0"/>
                <w:sz w:val="24"/>
                <w:highlight w:val="none"/>
              </w:rPr>
            </w:pPr>
          </w:p>
        </w:tc>
      </w:tr>
      <w:tr w14:paraId="387B85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2045" w:hRule="atLeast"/>
        </w:trPr>
        <w:tc>
          <w:tcPr>
            <w:tcW w:w="2079" w:type="dxa"/>
            <w:noWrap w:val="0"/>
            <w:vAlign w:val="center"/>
          </w:tcPr>
          <w:p w14:paraId="7FA48C85">
            <w:pPr>
              <w:autoSpaceDE w:val="0"/>
              <w:autoSpaceDN w:val="0"/>
              <w:jc w:val="center"/>
              <w:rPr>
                <w:rFonts w:hint="eastAsia"/>
                <w:highlight w:val="none"/>
              </w:rPr>
            </w:pPr>
            <w:r>
              <w:rPr>
                <w:rFonts w:hint="eastAsia" w:ascii="宋体" w:cs="宋体"/>
                <w:kern w:val="0"/>
                <w:sz w:val="24"/>
                <w:highlight w:val="none"/>
              </w:rPr>
              <w:t>投标人关联企业情况（包括但不限于与投标人法定代表人为同一人或者存在控股、管理关系的不同单位）</w:t>
            </w:r>
          </w:p>
        </w:tc>
        <w:tc>
          <w:tcPr>
            <w:tcW w:w="6761" w:type="dxa"/>
            <w:gridSpan w:val="11"/>
            <w:noWrap w:val="0"/>
            <w:vAlign w:val="center"/>
          </w:tcPr>
          <w:p w14:paraId="5BF1800A">
            <w:pPr>
              <w:autoSpaceDE w:val="0"/>
              <w:autoSpaceDN w:val="0"/>
              <w:jc w:val="center"/>
              <w:rPr>
                <w:kern w:val="0"/>
                <w:sz w:val="24"/>
                <w:highlight w:val="none"/>
              </w:rPr>
            </w:pPr>
          </w:p>
        </w:tc>
      </w:tr>
      <w:tr w14:paraId="57B928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640" w:hRule="atLeast"/>
        </w:trPr>
        <w:tc>
          <w:tcPr>
            <w:tcW w:w="2079" w:type="dxa"/>
            <w:noWrap w:val="0"/>
            <w:vAlign w:val="center"/>
          </w:tcPr>
          <w:p w14:paraId="730E5BA1">
            <w:pPr>
              <w:autoSpaceDE w:val="0"/>
              <w:autoSpaceDN w:val="0"/>
              <w:jc w:val="center"/>
              <w:rPr>
                <w:rFonts w:ascii="宋体" w:cs="宋体"/>
                <w:kern w:val="0"/>
                <w:sz w:val="24"/>
                <w:highlight w:val="none"/>
              </w:rPr>
            </w:pPr>
            <w:r>
              <w:rPr>
                <w:rFonts w:hint="eastAsia" w:ascii="宋体" w:cs="宋体"/>
                <w:kern w:val="0"/>
                <w:sz w:val="24"/>
                <w:highlight w:val="none"/>
              </w:rPr>
              <w:t>备注</w:t>
            </w:r>
          </w:p>
        </w:tc>
        <w:tc>
          <w:tcPr>
            <w:tcW w:w="6761" w:type="dxa"/>
            <w:gridSpan w:val="11"/>
            <w:noWrap w:val="0"/>
            <w:vAlign w:val="center"/>
          </w:tcPr>
          <w:p w14:paraId="1FCBFAB9">
            <w:pPr>
              <w:autoSpaceDE w:val="0"/>
              <w:autoSpaceDN w:val="0"/>
              <w:jc w:val="center"/>
              <w:rPr>
                <w:kern w:val="0"/>
                <w:sz w:val="24"/>
                <w:highlight w:val="none"/>
              </w:rPr>
            </w:pPr>
          </w:p>
        </w:tc>
      </w:tr>
    </w:tbl>
    <w:p w14:paraId="2129470D">
      <w:pPr>
        <w:autoSpaceDE w:val="0"/>
        <w:autoSpaceDN w:val="0"/>
        <w:adjustRightInd w:val="0"/>
        <w:spacing w:line="160" w:lineRule="exact"/>
        <w:jc w:val="left"/>
        <w:rPr>
          <w:kern w:val="0"/>
          <w:sz w:val="24"/>
          <w:highlight w:val="none"/>
        </w:rPr>
      </w:pPr>
    </w:p>
    <w:p w14:paraId="01D316E5">
      <w:pPr>
        <w:pStyle w:val="33"/>
        <w:snapToGrid w:val="0"/>
        <w:spacing w:line="240" w:lineRule="auto"/>
        <w:ind w:left="0" w:hanging="359" w:hangingChars="171"/>
        <w:rPr>
          <w:rFonts w:hAnsi="宋体" w:cs="仿宋"/>
          <w:color w:val="auto"/>
          <w:sz w:val="21"/>
          <w:szCs w:val="21"/>
          <w:highlight w:val="none"/>
        </w:rPr>
      </w:pPr>
      <w:r>
        <w:rPr>
          <w:rFonts w:hAnsi="宋体" w:cs="仿宋"/>
          <w:color w:val="auto"/>
          <w:sz w:val="21"/>
          <w:szCs w:val="21"/>
          <w:highlight w:val="none"/>
        </w:rPr>
        <w:t>注:在本表后应附企业法人</w:t>
      </w:r>
      <w:r>
        <w:rPr>
          <w:rFonts w:hAnsi="宋体" w:cs="仿宋"/>
          <w:b/>
          <w:bCs/>
          <w:color w:val="auto"/>
          <w:sz w:val="21"/>
          <w:szCs w:val="21"/>
          <w:highlight w:val="none"/>
        </w:rPr>
        <w:t>营业执照</w:t>
      </w:r>
      <w:r>
        <w:rPr>
          <w:rFonts w:hAnsi="宋体" w:cs="仿宋"/>
          <w:color w:val="auto"/>
          <w:sz w:val="21"/>
          <w:szCs w:val="21"/>
          <w:highlight w:val="none"/>
        </w:rPr>
        <w:t>副本或事业单位法人证书、</w:t>
      </w:r>
      <w:r>
        <w:rPr>
          <w:rFonts w:hAnsi="宋体" w:cs="仿宋"/>
          <w:b/>
          <w:bCs/>
          <w:color w:val="auto"/>
          <w:sz w:val="21"/>
          <w:szCs w:val="21"/>
          <w:highlight w:val="none"/>
        </w:rPr>
        <w:t>资质证书</w:t>
      </w:r>
      <w:r>
        <w:rPr>
          <w:rFonts w:hAnsi="宋体" w:cs="仿宋"/>
          <w:color w:val="auto"/>
          <w:sz w:val="21"/>
          <w:szCs w:val="21"/>
          <w:highlight w:val="none"/>
        </w:rPr>
        <w:t>副本、质量保证体系认证证书等的原件扫描件及</w:t>
      </w:r>
      <w:r>
        <w:rPr>
          <w:rFonts w:hAnsi="宋体" w:cs="仿宋"/>
          <w:b/>
          <w:bCs/>
          <w:color w:val="auto"/>
          <w:sz w:val="21"/>
          <w:szCs w:val="21"/>
          <w:highlight w:val="none"/>
        </w:rPr>
        <w:t>基本账户开户许可证明</w:t>
      </w:r>
      <w:r>
        <w:rPr>
          <w:rFonts w:hAnsi="宋体" w:cs="仿宋"/>
          <w:color w:val="auto"/>
          <w:sz w:val="21"/>
          <w:szCs w:val="21"/>
          <w:highlight w:val="none"/>
        </w:rPr>
        <w:t>的清晰可辨的原件扫描件。上述所有执照、证书扫描件均应</w:t>
      </w:r>
      <w:r>
        <w:rPr>
          <w:rFonts w:hAnsi="宋体" w:cs="仿宋"/>
          <w:b/>
          <w:bCs/>
          <w:color w:val="auto"/>
          <w:sz w:val="21"/>
          <w:szCs w:val="21"/>
          <w:highlight w:val="none"/>
        </w:rPr>
        <w:t>加盖投供应商单位公章</w:t>
      </w:r>
      <w:r>
        <w:rPr>
          <w:rFonts w:hAnsi="宋体" w:cs="仿宋"/>
          <w:color w:val="auto"/>
          <w:sz w:val="21"/>
          <w:szCs w:val="21"/>
          <w:highlight w:val="none"/>
        </w:rPr>
        <w:t>。</w:t>
      </w:r>
    </w:p>
    <w:p w14:paraId="798384C9">
      <w:pPr>
        <w:pStyle w:val="5"/>
        <w:overflowPunct w:val="0"/>
        <w:spacing w:line="520" w:lineRule="exact"/>
        <w:ind w:firstLine="0"/>
        <w:jc w:val="center"/>
        <w:rPr>
          <w:rFonts w:hint="eastAsia"/>
          <w:sz w:val="24"/>
          <w:highlight w:val="none"/>
        </w:rPr>
      </w:pPr>
      <w:r>
        <w:rPr>
          <w:rFonts w:hint="eastAsia"/>
          <w:sz w:val="24"/>
          <w:highlight w:val="none"/>
        </w:rPr>
        <w:t>供应商名称：</w:t>
      </w:r>
      <w:r>
        <w:rPr>
          <w:rFonts w:hint="eastAsia"/>
          <w:sz w:val="24"/>
          <w:highlight w:val="none"/>
          <w:u w:val="single"/>
        </w:rPr>
        <w:t xml:space="preserve">                         </w:t>
      </w:r>
      <w:r>
        <w:rPr>
          <w:rFonts w:hint="eastAsia"/>
          <w:sz w:val="24"/>
          <w:highlight w:val="none"/>
        </w:rPr>
        <w:t>（盖单位公章）</w:t>
      </w:r>
    </w:p>
    <w:p w14:paraId="24057707">
      <w:pPr>
        <w:pStyle w:val="5"/>
        <w:overflowPunct w:val="0"/>
        <w:spacing w:line="520" w:lineRule="exact"/>
        <w:ind w:firstLine="1478" w:firstLineChars="616"/>
        <w:rPr>
          <w:rFonts w:hint="eastAsia"/>
          <w:sz w:val="24"/>
          <w:highlight w:val="none"/>
        </w:rPr>
      </w:pPr>
      <w:r>
        <w:rPr>
          <w:rFonts w:hint="eastAsia"/>
          <w:sz w:val="24"/>
          <w:highlight w:val="none"/>
        </w:rPr>
        <w:t>法定代表人或其委托代理人：</w:t>
      </w:r>
      <w:r>
        <w:rPr>
          <w:rFonts w:hint="eastAsia"/>
          <w:sz w:val="24"/>
          <w:highlight w:val="none"/>
          <w:u w:val="single"/>
        </w:rPr>
        <w:t xml:space="preserve">           </w:t>
      </w:r>
      <w:r>
        <w:rPr>
          <w:rFonts w:hint="eastAsia"/>
          <w:sz w:val="24"/>
          <w:highlight w:val="none"/>
        </w:rPr>
        <w:t>（签字）</w:t>
      </w:r>
    </w:p>
    <w:p w14:paraId="3D41C4A8">
      <w:pPr>
        <w:pStyle w:val="5"/>
        <w:overflowPunct w:val="0"/>
        <w:spacing w:line="520" w:lineRule="exact"/>
        <w:ind w:firstLine="3998" w:firstLineChars="1666"/>
        <w:rPr>
          <w:sz w:val="24"/>
          <w:highlight w:val="none"/>
        </w:rPr>
      </w:pPr>
      <w:r>
        <w:rPr>
          <w:rFonts w:hint="eastAsia"/>
          <w:sz w:val="24"/>
          <w:highlight w:val="none"/>
          <w:u w:val="single"/>
        </w:rPr>
        <w:t xml:space="preserve">      </w:t>
      </w:r>
      <w:r>
        <w:rPr>
          <w:rFonts w:hint="eastAsia"/>
          <w:sz w:val="24"/>
          <w:highlight w:val="none"/>
        </w:rPr>
        <w:t>年</w:t>
      </w:r>
      <w:r>
        <w:rPr>
          <w:rFonts w:hint="eastAsia"/>
          <w:sz w:val="24"/>
          <w:highlight w:val="none"/>
          <w:u w:val="single"/>
        </w:rPr>
        <w:t xml:space="preserve">    </w:t>
      </w:r>
      <w:r>
        <w:rPr>
          <w:rFonts w:hint="eastAsia"/>
          <w:sz w:val="24"/>
          <w:highlight w:val="none"/>
        </w:rPr>
        <w:t>月</w:t>
      </w:r>
      <w:r>
        <w:rPr>
          <w:rFonts w:hint="eastAsia"/>
          <w:sz w:val="24"/>
          <w:highlight w:val="none"/>
          <w:u w:val="single"/>
        </w:rPr>
        <w:t xml:space="preserve">    </w:t>
      </w:r>
      <w:r>
        <w:rPr>
          <w:rFonts w:hint="eastAsia"/>
          <w:sz w:val="24"/>
          <w:highlight w:val="none"/>
        </w:rPr>
        <w:t>日</w:t>
      </w:r>
    </w:p>
    <w:p w14:paraId="48A4F016">
      <w:pPr>
        <w:snapToGrid w:val="0"/>
        <w:ind w:left="482"/>
        <w:rPr>
          <w:rFonts w:hint="eastAsia" w:ascii="宋体" w:hAnsi="宋体"/>
          <w:b/>
          <w:bCs/>
          <w:sz w:val="24"/>
          <w:highlight w:val="none"/>
        </w:rPr>
      </w:pPr>
      <w:r>
        <w:rPr>
          <w:rFonts w:hint="eastAsia" w:ascii="宋体" w:hAnsi="宋体"/>
          <w:b/>
          <w:bCs/>
          <w:sz w:val="24"/>
          <w:highlight w:val="none"/>
        </w:rPr>
        <w:br w:type="page"/>
      </w:r>
    </w:p>
    <w:p w14:paraId="3E96BB9B">
      <w:pPr>
        <w:pStyle w:val="20"/>
        <w:snapToGrid w:val="0"/>
        <w:ind w:left="482" w:hanging="482"/>
        <w:rPr>
          <w:rFonts w:hint="eastAsia" w:ascii="宋体" w:hAnsi="宋体"/>
          <w:b/>
          <w:bCs/>
          <w:sz w:val="24"/>
          <w:highlight w:val="none"/>
        </w:rPr>
      </w:pPr>
    </w:p>
    <w:p w14:paraId="4F4911EA">
      <w:pPr>
        <w:snapToGrid w:val="0"/>
        <w:spacing w:before="120" w:beforeLines="50" w:after="50"/>
        <w:jc w:val="center"/>
        <w:outlineLvl w:val="2"/>
        <w:rPr>
          <w:rFonts w:hint="eastAsia" w:ascii="宋体" w:hAnsi="宋体"/>
          <w:b/>
          <w:sz w:val="24"/>
          <w:highlight w:val="none"/>
        </w:rPr>
      </w:pPr>
      <w:r>
        <w:rPr>
          <w:rFonts w:hint="eastAsia" w:ascii="宋体" w:hAnsi="宋体"/>
          <w:b/>
          <w:sz w:val="24"/>
          <w:highlight w:val="none"/>
        </w:rPr>
        <w:t>（</w:t>
      </w:r>
      <w:r>
        <w:rPr>
          <w:rFonts w:hint="eastAsia" w:ascii="宋体" w:hAnsi="宋体"/>
          <w:b/>
          <w:sz w:val="24"/>
          <w:highlight w:val="none"/>
          <w:lang w:eastAsia="zh-CN"/>
        </w:rPr>
        <w:t>二</w:t>
      </w:r>
      <w:r>
        <w:rPr>
          <w:rFonts w:hint="eastAsia" w:ascii="宋体" w:hAnsi="宋体"/>
          <w:b/>
          <w:sz w:val="24"/>
          <w:highlight w:val="none"/>
        </w:rPr>
        <w:t>）近年</w:t>
      </w:r>
      <w:r>
        <w:rPr>
          <w:rFonts w:hint="eastAsia" w:ascii="宋体" w:hAnsi="宋体"/>
          <w:b/>
          <w:sz w:val="24"/>
          <w:highlight w:val="none"/>
          <w:lang w:eastAsia="zh-CN"/>
        </w:rPr>
        <w:t>完成</w:t>
      </w:r>
      <w:r>
        <w:rPr>
          <w:rFonts w:hint="eastAsia" w:ascii="宋体" w:hAnsi="宋体"/>
          <w:b/>
          <w:sz w:val="24"/>
          <w:highlight w:val="none"/>
        </w:rPr>
        <w:t>的业绩证明文件</w:t>
      </w:r>
    </w:p>
    <w:p w14:paraId="1D85CBF4">
      <w:pPr>
        <w:jc w:val="center"/>
        <w:outlineLvl w:val="3"/>
        <w:rPr>
          <w:rFonts w:hint="eastAsia" w:ascii="黑体" w:hAnsi="宋体" w:eastAsia="黑体"/>
          <w:b/>
          <w:bCs/>
          <w:sz w:val="24"/>
          <w:highlight w:val="none"/>
        </w:rPr>
      </w:pPr>
      <w:r>
        <w:rPr>
          <w:rFonts w:hint="eastAsia" w:ascii="黑体" w:hAnsi="宋体" w:eastAsia="黑体"/>
          <w:b/>
          <w:bCs/>
          <w:sz w:val="24"/>
          <w:highlight w:val="none"/>
        </w:rPr>
        <w:t>1.</w:t>
      </w:r>
      <w:r>
        <w:rPr>
          <w:rFonts w:ascii="黑体" w:hAnsi="宋体" w:eastAsia="黑体"/>
          <w:b/>
          <w:bCs/>
          <w:sz w:val="24"/>
          <w:highlight w:val="none"/>
        </w:rPr>
        <w:t>近</w:t>
      </w:r>
      <w:r>
        <w:rPr>
          <w:rFonts w:hint="eastAsia" w:ascii="黑体" w:hAnsi="宋体" w:eastAsia="黑体"/>
          <w:b/>
          <w:bCs/>
          <w:sz w:val="24"/>
          <w:highlight w:val="none"/>
          <w:u w:val="single"/>
        </w:rPr>
        <w:t xml:space="preserve"> 5 </w:t>
      </w:r>
      <w:r>
        <w:rPr>
          <w:rFonts w:ascii="黑体" w:hAnsi="宋体" w:eastAsia="黑体"/>
          <w:b/>
          <w:bCs/>
          <w:sz w:val="24"/>
          <w:highlight w:val="none"/>
        </w:rPr>
        <w:t>年完成类似项目情况汇总表</w:t>
      </w:r>
    </w:p>
    <w:tbl>
      <w:tblPr>
        <w:tblStyle w:val="25"/>
        <w:tblW w:w="0" w:type="auto"/>
        <w:tblInd w:w="0" w:type="dxa"/>
        <w:tblLayout w:type="fixed"/>
        <w:tblCellMar>
          <w:top w:w="0" w:type="dxa"/>
          <w:left w:w="0" w:type="dxa"/>
          <w:bottom w:w="0" w:type="dxa"/>
          <w:right w:w="0" w:type="dxa"/>
        </w:tblCellMar>
      </w:tblPr>
      <w:tblGrid>
        <w:gridCol w:w="1437"/>
        <w:gridCol w:w="1430"/>
        <w:gridCol w:w="2516"/>
        <w:gridCol w:w="2330"/>
        <w:gridCol w:w="1387"/>
      </w:tblGrid>
      <w:tr w14:paraId="378931C3">
        <w:tblPrEx>
          <w:tblCellMar>
            <w:top w:w="0" w:type="dxa"/>
            <w:left w:w="0" w:type="dxa"/>
            <w:bottom w:w="0" w:type="dxa"/>
            <w:right w:w="0" w:type="dxa"/>
          </w:tblCellMar>
        </w:tblPrEx>
        <w:trPr>
          <w:trHeight w:val="561" w:hRule="atLeast"/>
        </w:trPr>
        <w:tc>
          <w:tcPr>
            <w:tcW w:w="1437" w:type="dxa"/>
            <w:tcBorders>
              <w:top w:val="single" w:color="auto" w:sz="12" w:space="0"/>
              <w:left w:val="single" w:color="auto" w:sz="12" w:space="0"/>
              <w:bottom w:val="single" w:color="auto" w:sz="8" w:space="0"/>
              <w:right w:val="single" w:color="auto" w:sz="8" w:space="0"/>
            </w:tcBorders>
            <w:noWrap w:val="0"/>
            <w:vAlign w:val="center"/>
          </w:tcPr>
          <w:p w14:paraId="767B0488">
            <w:pPr>
              <w:autoSpaceDE w:val="0"/>
              <w:autoSpaceDN w:val="0"/>
              <w:jc w:val="center"/>
              <w:rPr>
                <w:rFonts w:ascii="宋体" w:cs="宋体"/>
                <w:kern w:val="0"/>
                <w:sz w:val="24"/>
                <w:highlight w:val="none"/>
              </w:rPr>
            </w:pPr>
            <w:r>
              <w:rPr>
                <w:rFonts w:hint="eastAsia" w:ascii="宋体" w:cs="宋体"/>
                <w:kern w:val="0"/>
                <w:sz w:val="24"/>
                <w:highlight w:val="none"/>
              </w:rPr>
              <w:t>项目名称</w:t>
            </w:r>
          </w:p>
        </w:tc>
        <w:tc>
          <w:tcPr>
            <w:tcW w:w="1430" w:type="dxa"/>
            <w:tcBorders>
              <w:top w:val="single" w:color="auto" w:sz="12" w:space="0"/>
              <w:left w:val="single" w:color="auto" w:sz="8" w:space="0"/>
              <w:bottom w:val="single" w:color="auto" w:sz="8" w:space="0"/>
              <w:right w:val="single" w:color="auto" w:sz="8" w:space="0"/>
            </w:tcBorders>
            <w:noWrap w:val="0"/>
            <w:vAlign w:val="center"/>
          </w:tcPr>
          <w:p w14:paraId="7D49C1E2">
            <w:pPr>
              <w:autoSpaceDE w:val="0"/>
              <w:autoSpaceDN w:val="0"/>
              <w:jc w:val="center"/>
              <w:rPr>
                <w:rFonts w:ascii="宋体" w:cs="宋体"/>
                <w:kern w:val="0"/>
                <w:sz w:val="24"/>
                <w:highlight w:val="none"/>
              </w:rPr>
            </w:pPr>
            <w:r>
              <w:rPr>
                <w:rFonts w:hint="eastAsia" w:ascii="宋体" w:cs="宋体"/>
                <w:kern w:val="0"/>
                <w:sz w:val="24"/>
                <w:highlight w:val="none"/>
              </w:rPr>
              <w:t>起讫时间</w:t>
            </w:r>
          </w:p>
        </w:tc>
        <w:tc>
          <w:tcPr>
            <w:tcW w:w="2516" w:type="dxa"/>
            <w:tcBorders>
              <w:top w:val="single" w:color="auto" w:sz="12" w:space="0"/>
              <w:left w:val="single" w:color="auto" w:sz="8" w:space="0"/>
              <w:bottom w:val="single" w:color="auto" w:sz="8" w:space="0"/>
              <w:right w:val="single" w:color="auto" w:sz="8" w:space="0"/>
            </w:tcBorders>
            <w:noWrap w:val="0"/>
            <w:vAlign w:val="center"/>
          </w:tcPr>
          <w:p w14:paraId="368EEF43">
            <w:pPr>
              <w:autoSpaceDE w:val="0"/>
              <w:autoSpaceDN w:val="0"/>
              <w:jc w:val="center"/>
              <w:rPr>
                <w:rFonts w:ascii="宋体" w:cs="宋体"/>
                <w:kern w:val="0"/>
                <w:sz w:val="24"/>
                <w:highlight w:val="none"/>
              </w:rPr>
            </w:pPr>
            <w:r>
              <w:rPr>
                <w:rFonts w:hint="eastAsia" w:ascii="宋体" w:cs="宋体"/>
                <w:kern w:val="0"/>
                <w:sz w:val="24"/>
                <w:highlight w:val="none"/>
              </w:rPr>
              <w:t>发包人</w:t>
            </w:r>
          </w:p>
        </w:tc>
        <w:tc>
          <w:tcPr>
            <w:tcW w:w="2330" w:type="dxa"/>
            <w:tcBorders>
              <w:top w:val="single" w:color="auto" w:sz="12" w:space="0"/>
              <w:left w:val="single" w:color="auto" w:sz="8" w:space="0"/>
              <w:bottom w:val="single" w:color="auto" w:sz="8" w:space="0"/>
              <w:right w:val="single" w:color="auto" w:sz="8" w:space="0"/>
            </w:tcBorders>
            <w:noWrap w:val="0"/>
            <w:vAlign w:val="center"/>
          </w:tcPr>
          <w:p w14:paraId="2ED802F8">
            <w:pPr>
              <w:autoSpaceDE w:val="0"/>
              <w:autoSpaceDN w:val="0"/>
              <w:jc w:val="center"/>
              <w:rPr>
                <w:rFonts w:ascii="宋体" w:cs="宋体"/>
                <w:kern w:val="0"/>
                <w:sz w:val="24"/>
                <w:highlight w:val="none"/>
              </w:rPr>
            </w:pPr>
            <w:r>
              <w:rPr>
                <w:rFonts w:hint="eastAsia" w:ascii="宋体" w:cs="宋体"/>
                <w:kern w:val="0"/>
                <w:sz w:val="24"/>
                <w:highlight w:val="none"/>
              </w:rPr>
              <w:t>完成情况</w:t>
            </w:r>
          </w:p>
        </w:tc>
        <w:tc>
          <w:tcPr>
            <w:tcW w:w="1387" w:type="dxa"/>
            <w:tcBorders>
              <w:top w:val="single" w:color="auto" w:sz="12" w:space="0"/>
              <w:left w:val="single" w:color="auto" w:sz="8" w:space="0"/>
              <w:bottom w:val="single" w:color="auto" w:sz="8" w:space="0"/>
              <w:right w:val="single" w:color="auto" w:sz="12" w:space="0"/>
            </w:tcBorders>
            <w:noWrap w:val="0"/>
            <w:vAlign w:val="center"/>
          </w:tcPr>
          <w:p w14:paraId="4B50B910">
            <w:pPr>
              <w:autoSpaceDE w:val="0"/>
              <w:autoSpaceDN w:val="0"/>
              <w:jc w:val="center"/>
              <w:rPr>
                <w:rFonts w:ascii="宋体" w:cs="宋体"/>
                <w:kern w:val="0"/>
                <w:sz w:val="24"/>
                <w:highlight w:val="none"/>
              </w:rPr>
            </w:pPr>
            <w:r>
              <w:rPr>
                <w:rFonts w:hint="eastAsia" w:ascii="宋体" w:cs="宋体"/>
                <w:kern w:val="0"/>
                <w:sz w:val="24"/>
                <w:highlight w:val="none"/>
              </w:rPr>
              <w:t>备注</w:t>
            </w:r>
          </w:p>
        </w:tc>
      </w:tr>
      <w:tr w14:paraId="7CBED712">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noWrap w:val="0"/>
            <w:vAlign w:val="top"/>
          </w:tcPr>
          <w:p w14:paraId="65E3ABE3">
            <w:pPr>
              <w:autoSpaceDE w:val="0"/>
              <w:autoSpaceDN w:val="0"/>
              <w:rPr>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noWrap w:val="0"/>
            <w:vAlign w:val="top"/>
          </w:tcPr>
          <w:p w14:paraId="3BED6979">
            <w:pPr>
              <w:autoSpaceDE w:val="0"/>
              <w:autoSpaceDN w:val="0"/>
              <w:rPr>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noWrap w:val="0"/>
            <w:vAlign w:val="top"/>
          </w:tcPr>
          <w:p w14:paraId="4E8C2D96">
            <w:pPr>
              <w:autoSpaceDE w:val="0"/>
              <w:autoSpaceDN w:val="0"/>
              <w:rPr>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noWrap w:val="0"/>
            <w:vAlign w:val="top"/>
          </w:tcPr>
          <w:p w14:paraId="0E76EBA8">
            <w:pPr>
              <w:autoSpaceDE w:val="0"/>
              <w:autoSpaceDN w:val="0"/>
              <w:rPr>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noWrap w:val="0"/>
            <w:vAlign w:val="top"/>
          </w:tcPr>
          <w:p w14:paraId="57DF5691">
            <w:pPr>
              <w:autoSpaceDE w:val="0"/>
              <w:autoSpaceDN w:val="0"/>
              <w:rPr>
                <w:kern w:val="0"/>
                <w:sz w:val="24"/>
                <w:highlight w:val="none"/>
              </w:rPr>
            </w:pPr>
          </w:p>
        </w:tc>
      </w:tr>
      <w:tr w14:paraId="22DE686A">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noWrap w:val="0"/>
            <w:vAlign w:val="top"/>
          </w:tcPr>
          <w:p w14:paraId="4FBFCF4E">
            <w:pPr>
              <w:autoSpaceDE w:val="0"/>
              <w:autoSpaceDN w:val="0"/>
              <w:rPr>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noWrap w:val="0"/>
            <w:vAlign w:val="top"/>
          </w:tcPr>
          <w:p w14:paraId="62EA6434">
            <w:pPr>
              <w:autoSpaceDE w:val="0"/>
              <w:autoSpaceDN w:val="0"/>
              <w:rPr>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noWrap w:val="0"/>
            <w:vAlign w:val="top"/>
          </w:tcPr>
          <w:p w14:paraId="2CA26C98">
            <w:pPr>
              <w:autoSpaceDE w:val="0"/>
              <w:autoSpaceDN w:val="0"/>
              <w:rPr>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noWrap w:val="0"/>
            <w:vAlign w:val="top"/>
          </w:tcPr>
          <w:p w14:paraId="3547C0D7">
            <w:pPr>
              <w:autoSpaceDE w:val="0"/>
              <w:autoSpaceDN w:val="0"/>
              <w:rPr>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noWrap w:val="0"/>
            <w:vAlign w:val="top"/>
          </w:tcPr>
          <w:p w14:paraId="02AF713A">
            <w:pPr>
              <w:autoSpaceDE w:val="0"/>
              <w:autoSpaceDN w:val="0"/>
              <w:rPr>
                <w:kern w:val="0"/>
                <w:sz w:val="24"/>
                <w:highlight w:val="none"/>
              </w:rPr>
            </w:pPr>
          </w:p>
        </w:tc>
      </w:tr>
      <w:tr w14:paraId="7DF3BCA8">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noWrap w:val="0"/>
            <w:vAlign w:val="top"/>
          </w:tcPr>
          <w:p w14:paraId="1009D0B2">
            <w:pPr>
              <w:autoSpaceDE w:val="0"/>
              <w:autoSpaceDN w:val="0"/>
              <w:rPr>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noWrap w:val="0"/>
            <w:vAlign w:val="top"/>
          </w:tcPr>
          <w:p w14:paraId="53CECDF9">
            <w:pPr>
              <w:autoSpaceDE w:val="0"/>
              <w:autoSpaceDN w:val="0"/>
              <w:rPr>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noWrap w:val="0"/>
            <w:vAlign w:val="top"/>
          </w:tcPr>
          <w:p w14:paraId="036E7D5A">
            <w:pPr>
              <w:autoSpaceDE w:val="0"/>
              <w:autoSpaceDN w:val="0"/>
              <w:rPr>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noWrap w:val="0"/>
            <w:vAlign w:val="top"/>
          </w:tcPr>
          <w:p w14:paraId="0D74A3FF">
            <w:pPr>
              <w:autoSpaceDE w:val="0"/>
              <w:autoSpaceDN w:val="0"/>
              <w:rPr>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noWrap w:val="0"/>
            <w:vAlign w:val="top"/>
          </w:tcPr>
          <w:p w14:paraId="2196B8CF">
            <w:pPr>
              <w:autoSpaceDE w:val="0"/>
              <w:autoSpaceDN w:val="0"/>
              <w:rPr>
                <w:kern w:val="0"/>
                <w:sz w:val="24"/>
                <w:highlight w:val="none"/>
              </w:rPr>
            </w:pPr>
          </w:p>
        </w:tc>
      </w:tr>
      <w:tr w14:paraId="3E823D2A">
        <w:tblPrEx>
          <w:tblCellMar>
            <w:top w:w="0" w:type="dxa"/>
            <w:left w:w="0" w:type="dxa"/>
            <w:bottom w:w="0" w:type="dxa"/>
            <w:right w:w="0" w:type="dxa"/>
          </w:tblCellMar>
        </w:tblPrEx>
        <w:trPr>
          <w:trHeight w:val="566" w:hRule="atLeast"/>
        </w:trPr>
        <w:tc>
          <w:tcPr>
            <w:tcW w:w="1437" w:type="dxa"/>
            <w:tcBorders>
              <w:top w:val="single" w:color="auto" w:sz="8" w:space="0"/>
              <w:left w:val="single" w:color="auto" w:sz="12" w:space="0"/>
              <w:bottom w:val="single" w:color="auto" w:sz="8" w:space="0"/>
              <w:right w:val="single" w:color="auto" w:sz="8" w:space="0"/>
            </w:tcBorders>
            <w:noWrap w:val="0"/>
            <w:vAlign w:val="top"/>
          </w:tcPr>
          <w:p w14:paraId="4D6A6557">
            <w:pPr>
              <w:autoSpaceDE w:val="0"/>
              <w:autoSpaceDN w:val="0"/>
              <w:rPr>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noWrap w:val="0"/>
            <w:vAlign w:val="top"/>
          </w:tcPr>
          <w:p w14:paraId="14D2F5C6">
            <w:pPr>
              <w:autoSpaceDE w:val="0"/>
              <w:autoSpaceDN w:val="0"/>
              <w:rPr>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noWrap w:val="0"/>
            <w:vAlign w:val="top"/>
          </w:tcPr>
          <w:p w14:paraId="61FF1A97">
            <w:pPr>
              <w:autoSpaceDE w:val="0"/>
              <w:autoSpaceDN w:val="0"/>
              <w:rPr>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noWrap w:val="0"/>
            <w:vAlign w:val="top"/>
          </w:tcPr>
          <w:p w14:paraId="47405D6F">
            <w:pPr>
              <w:autoSpaceDE w:val="0"/>
              <w:autoSpaceDN w:val="0"/>
              <w:rPr>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noWrap w:val="0"/>
            <w:vAlign w:val="top"/>
          </w:tcPr>
          <w:p w14:paraId="3F1ED634">
            <w:pPr>
              <w:autoSpaceDE w:val="0"/>
              <w:autoSpaceDN w:val="0"/>
              <w:rPr>
                <w:kern w:val="0"/>
                <w:sz w:val="24"/>
                <w:highlight w:val="none"/>
              </w:rPr>
            </w:pPr>
          </w:p>
        </w:tc>
      </w:tr>
      <w:tr w14:paraId="21C1CC0F">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noWrap w:val="0"/>
            <w:vAlign w:val="top"/>
          </w:tcPr>
          <w:p w14:paraId="2909C0F3">
            <w:pPr>
              <w:autoSpaceDE w:val="0"/>
              <w:autoSpaceDN w:val="0"/>
              <w:rPr>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noWrap w:val="0"/>
            <w:vAlign w:val="top"/>
          </w:tcPr>
          <w:p w14:paraId="5B4C2E7E">
            <w:pPr>
              <w:autoSpaceDE w:val="0"/>
              <w:autoSpaceDN w:val="0"/>
              <w:rPr>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noWrap w:val="0"/>
            <w:vAlign w:val="top"/>
          </w:tcPr>
          <w:p w14:paraId="3B810952">
            <w:pPr>
              <w:autoSpaceDE w:val="0"/>
              <w:autoSpaceDN w:val="0"/>
              <w:rPr>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noWrap w:val="0"/>
            <w:vAlign w:val="top"/>
          </w:tcPr>
          <w:p w14:paraId="7E1BB8B1">
            <w:pPr>
              <w:autoSpaceDE w:val="0"/>
              <w:autoSpaceDN w:val="0"/>
              <w:rPr>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noWrap w:val="0"/>
            <w:vAlign w:val="top"/>
          </w:tcPr>
          <w:p w14:paraId="4B06F8EC">
            <w:pPr>
              <w:autoSpaceDE w:val="0"/>
              <w:autoSpaceDN w:val="0"/>
              <w:rPr>
                <w:kern w:val="0"/>
                <w:sz w:val="24"/>
                <w:highlight w:val="none"/>
              </w:rPr>
            </w:pPr>
          </w:p>
        </w:tc>
      </w:tr>
      <w:tr w14:paraId="148F1683">
        <w:tblPrEx>
          <w:tblCellMar>
            <w:top w:w="0" w:type="dxa"/>
            <w:left w:w="0" w:type="dxa"/>
            <w:bottom w:w="0" w:type="dxa"/>
            <w:right w:w="0" w:type="dxa"/>
          </w:tblCellMar>
        </w:tblPrEx>
        <w:trPr>
          <w:trHeight w:val="780" w:hRule="atLeast"/>
        </w:trPr>
        <w:tc>
          <w:tcPr>
            <w:tcW w:w="1437" w:type="dxa"/>
            <w:tcBorders>
              <w:top w:val="single" w:color="auto" w:sz="8" w:space="0"/>
              <w:left w:val="single" w:color="auto" w:sz="12" w:space="0"/>
              <w:bottom w:val="single" w:color="auto" w:sz="8" w:space="0"/>
              <w:right w:val="single" w:color="auto" w:sz="8" w:space="0"/>
            </w:tcBorders>
            <w:noWrap w:val="0"/>
            <w:vAlign w:val="top"/>
          </w:tcPr>
          <w:p w14:paraId="20C20D7A">
            <w:pPr>
              <w:autoSpaceDE w:val="0"/>
              <w:autoSpaceDN w:val="0"/>
              <w:rPr>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noWrap w:val="0"/>
            <w:vAlign w:val="top"/>
          </w:tcPr>
          <w:p w14:paraId="2E0AD734">
            <w:pPr>
              <w:autoSpaceDE w:val="0"/>
              <w:autoSpaceDN w:val="0"/>
              <w:rPr>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noWrap w:val="0"/>
            <w:vAlign w:val="top"/>
          </w:tcPr>
          <w:p w14:paraId="0FE177F2">
            <w:pPr>
              <w:autoSpaceDE w:val="0"/>
              <w:autoSpaceDN w:val="0"/>
              <w:rPr>
                <w:rFonts w:ascii="宋体" w:cs="宋体"/>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noWrap w:val="0"/>
            <w:vAlign w:val="top"/>
          </w:tcPr>
          <w:p w14:paraId="5AF9AA52">
            <w:pPr>
              <w:autoSpaceDE w:val="0"/>
              <w:autoSpaceDN w:val="0"/>
              <w:rPr>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noWrap w:val="0"/>
            <w:vAlign w:val="top"/>
          </w:tcPr>
          <w:p w14:paraId="5D7F27FE">
            <w:pPr>
              <w:autoSpaceDE w:val="0"/>
              <w:autoSpaceDN w:val="0"/>
              <w:rPr>
                <w:kern w:val="0"/>
                <w:sz w:val="24"/>
                <w:highlight w:val="none"/>
              </w:rPr>
            </w:pPr>
          </w:p>
        </w:tc>
      </w:tr>
      <w:tr w14:paraId="5BCE5A9E">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noWrap w:val="0"/>
            <w:vAlign w:val="top"/>
          </w:tcPr>
          <w:p w14:paraId="39C43186">
            <w:pPr>
              <w:autoSpaceDE w:val="0"/>
              <w:autoSpaceDN w:val="0"/>
              <w:rPr>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noWrap w:val="0"/>
            <w:vAlign w:val="top"/>
          </w:tcPr>
          <w:p w14:paraId="5DC0288F">
            <w:pPr>
              <w:autoSpaceDE w:val="0"/>
              <w:autoSpaceDN w:val="0"/>
              <w:rPr>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noWrap w:val="0"/>
            <w:vAlign w:val="top"/>
          </w:tcPr>
          <w:p w14:paraId="664A7538">
            <w:pPr>
              <w:autoSpaceDE w:val="0"/>
              <w:autoSpaceDN w:val="0"/>
              <w:rPr>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noWrap w:val="0"/>
            <w:vAlign w:val="top"/>
          </w:tcPr>
          <w:p w14:paraId="6858ABB6">
            <w:pPr>
              <w:autoSpaceDE w:val="0"/>
              <w:autoSpaceDN w:val="0"/>
              <w:rPr>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noWrap w:val="0"/>
            <w:vAlign w:val="top"/>
          </w:tcPr>
          <w:p w14:paraId="7AA80A17">
            <w:pPr>
              <w:autoSpaceDE w:val="0"/>
              <w:autoSpaceDN w:val="0"/>
              <w:rPr>
                <w:kern w:val="0"/>
                <w:sz w:val="24"/>
                <w:highlight w:val="none"/>
              </w:rPr>
            </w:pPr>
          </w:p>
        </w:tc>
      </w:tr>
      <w:tr w14:paraId="50353955">
        <w:tblPrEx>
          <w:tblCellMar>
            <w:top w:w="0" w:type="dxa"/>
            <w:left w:w="0" w:type="dxa"/>
            <w:bottom w:w="0" w:type="dxa"/>
            <w:right w:w="0" w:type="dxa"/>
          </w:tblCellMar>
        </w:tblPrEx>
        <w:trPr>
          <w:trHeight w:val="566" w:hRule="atLeast"/>
        </w:trPr>
        <w:tc>
          <w:tcPr>
            <w:tcW w:w="1437" w:type="dxa"/>
            <w:tcBorders>
              <w:top w:val="single" w:color="auto" w:sz="8" w:space="0"/>
              <w:left w:val="single" w:color="auto" w:sz="12" w:space="0"/>
              <w:bottom w:val="single" w:color="auto" w:sz="8" w:space="0"/>
              <w:right w:val="single" w:color="auto" w:sz="8" w:space="0"/>
            </w:tcBorders>
            <w:noWrap w:val="0"/>
            <w:vAlign w:val="top"/>
          </w:tcPr>
          <w:p w14:paraId="7E5807DF">
            <w:pPr>
              <w:autoSpaceDE w:val="0"/>
              <w:autoSpaceDN w:val="0"/>
              <w:rPr>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noWrap w:val="0"/>
            <w:vAlign w:val="top"/>
          </w:tcPr>
          <w:p w14:paraId="20838B3C">
            <w:pPr>
              <w:autoSpaceDE w:val="0"/>
              <w:autoSpaceDN w:val="0"/>
              <w:rPr>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noWrap w:val="0"/>
            <w:vAlign w:val="top"/>
          </w:tcPr>
          <w:p w14:paraId="0ADD05DC">
            <w:pPr>
              <w:autoSpaceDE w:val="0"/>
              <w:autoSpaceDN w:val="0"/>
              <w:rPr>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noWrap w:val="0"/>
            <w:vAlign w:val="top"/>
          </w:tcPr>
          <w:p w14:paraId="70EF4F48">
            <w:pPr>
              <w:autoSpaceDE w:val="0"/>
              <w:autoSpaceDN w:val="0"/>
              <w:rPr>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noWrap w:val="0"/>
            <w:vAlign w:val="top"/>
          </w:tcPr>
          <w:p w14:paraId="2BDAF02B">
            <w:pPr>
              <w:autoSpaceDE w:val="0"/>
              <w:autoSpaceDN w:val="0"/>
              <w:rPr>
                <w:kern w:val="0"/>
                <w:sz w:val="24"/>
                <w:highlight w:val="none"/>
              </w:rPr>
            </w:pPr>
          </w:p>
        </w:tc>
      </w:tr>
      <w:tr w14:paraId="59FA1B7E">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noWrap w:val="0"/>
            <w:vAlign w:val="top"/>
          </w:tcPr>
          <w:p w14:paraId="21B90B97">
            <w:pPr>
              <w:autoSpaceDE w:val="0"/>
              <w:autoSpaceDN w:val="0"/>
              <w:rPr>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noWrap w:val="0"/>
            <w:vAlign w:val="top"/>
          </w:tcPr>
          <w:p w14:paraId="5E5C300A">
            <w:pPr>
              <w:autoSpaceDE w:val="0"/>
              <w:autoSpaceDN w:val="0"/>
              <w:rPr>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noWrap w:val="0"/>
            <w:vAlign w:val="top"/>
          </w:tcPr>
          <w:p w14:paraId="02921A01">
            <w:pPr>
              <w:autoSpaceDE w:val="0"/>
              <w:autoSpaceDN w:val="0"/>
              <w:rPr>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noWrap w:val="0"/>
            <w:vAlign w:val="top"/>
          </w:tcPr>
          <w:p w14:paraId="4B22E86B">
            <w:pPr>
              <w:autoSpaceDE w:val="0"/>
              <w:autoSpaceDN w:val="0"/>
              <w:rPr>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noWrap w:val="0"/>
            <w:vAlign w:val="top"/>
          </w:tcPr>
          <w:p w14:paraId="5D3EDC47">
            <w:pPr>
              <w:autoSpaceDE w:val="0"/>
              <w:autoSpaceDN w:val="0"/>
              <w:rPr>
                <w:kern w:val="0"/>
                <w:sz w:val="24"/>
                <w:highlight w:val="none"/>
              </w:rPr>
            </w:pPr>
          </w:p>
        </w:tc>
      </w:tr>
      <w:tr w14:paraId="05129136">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noWrap w:val="0"/>
            <w:vAlign w:val="top"/>
          </w:tcPr>
          <w:p w14:paraId="10CB354F">
            <w:pPr>
              <w:autoSpaceDE w:val="0"/>
              <w:autoSpaceDN w:val="0"/>
              <w:rPr>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noWrap w:val="0"/>
            <w:vAlign w:val="top"/>
          </w:tcPr>
          <w:p w14:paraId="33115CDA">
            <w:pPr>
              <w:autoSpaceDE w:val="0"/>
              <w:autoSpaceDN w:val="0"/>
              <w:rPr>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noWrap w:val="0"/>
            <w:vAlign w:val="top"/>
          </w:tcPr>
          <w:p w14:paraId="6AA58963">
            <w:pPr>
              <w:autoSpaceDE w:val="0"/>
              <w:autoSpaceDN w:val="0"/>
              <w:rPr>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noWrap w:val="0"/>
            <w:vAlign w:val="top"/>
          </w:tcPr>
          <w:p w14:paraId="66DEF65F">
            <w:pPr>
              <w:autoSpaceDE w:val="0"/>
              <w:autoSpaceDN w:val="0"/>
              <w:rPr>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noWrap w:val="0"/>
            <w:vAlign w:val="top"/>
          </w:tcPr>
          <w:p w14:paraId="5764480D">
            <w:pPr>
              <w:autoSpaceDE w:val="0"/>
              <w:autoSpaceDN w:val="0"/>
              <w:rPr>
                <w:kern w:val="0"/>
                <w:sz w:val="24"/>
                <w:highlight w:val="none"/>
              </w:rPr>
            </w:pPr>
          </w:p>
        </w:tc>
      </w:tr>
      <w:tr w14:paraId="0A7DE68C">
        <w:tblPrEx>
          <w:tblCellMar>
            <w:top w:w="0" w:type="dxa"/>
            <w:left w:w="0" w:type="dxa"/>
            <w:bottom w:w="0" w:type="dxa"/>
            <w:right w:w="0" w:type="dxa"/>
          </w:tblCellMar>
        </w:tblPrEx>
        <w:trPr>
          <w:trHeight w:val="602" w:hRule="atLeast"/>
        </w:trPr>
        <w:tc>
          <w:tcPr>
            <w:tcW w:w="1437" w:type="dxa"/>
            <w:tcBorders>
              <w:top w:val="single" w:color="auto" w:sz="8" w:space="0"/>
              <w:left w:val="single" w:color="auto" w:sz="12" w:space="0"/>
              <w:bottom w:val="single" w:color="auto" w:sz="12" w:space="0"/>
              <w:right w:val="single" w:color="auto" w:sz="8" w:space="0"/>
            </w:tcBorders>
            <w:noWrap w:val="0"/>
            <w:vAlign w:val="top"/>
          </w:tcPr>
          <w:p w14:paraId="2377FF84">
            <w:pPr>
              <w:autoSpaceDE w:val="0"/>
              <w:autoSpaceDN w:val="0"/>
              <w:rPr>
                <w:kern w:val="0"/>
                <w:sz w:val="24"/>
                <w:highlight w:val="none"/>
              </w:rPr>
            </w:pPr>
          </w:p>
        </w:tc>
        <w:tc>
          <w:tcPr>
            <w:tcW w:w="1430" w:type="dxa"/>
            <w:tcBorders>
              <w:top w:val="single" w:color="auto" w:sz="8" w:space="0"/>
              <w:left w:val="single" w:color="auto" w:sz="8" w:space="0"/>
              <w:bottom w:val="single" w:color="auto" w:sz="12" w:space="0"/>
              <w:right w:val="single" w:color="auto" w:sz="8" w:space="0"/>
            </w:tcBorders>
            <w:noWrap w:val="0"/>
            <w:vAlign w:val="top"/>
          </w:tcPr>
          <w:p w14:paraId="16AB31B6">
            <w:pPr>
              <w:autoSpaceDE w:val="0"/>
              <w:autoSpaceDN w:val="0"/>
              <w:rPr>
                <w:kern w:val="0"/>
                <w:sz w:val="24"/>
                <w:highlight w:val="none"/>
              </w:rPr>
            </w:pPr>
          </w:p>
        </w:tc>
        <w:tc>
          <w:tcPr>
            <w:tcW w:w="2516" w:type="dxa"/>
            <w:tcBorders>
              <w:top w:val="single" w:color="auto" w:sz="8" w:space="0"/>
              <w:left w:val="single" w:color="auto" w:sz="8" w:space="0"/>
              <w:bottom w:val="single" w:color="auto" w:sz="12" w:space="0"/>
              <w:right w:val="single" w:color="auto" w:sz="8" w:space="0"/>
            </w:tcBorders>
            <w:noWrap w:val="0"/>
            <w:vAlign w:val="top"/>
          </w:tcPr>
          <w:p w14:paraId="332B5F86">
            <w:pPr>
              <w:autoSpaceDE w:val="0"/>
              <w:autoSpaceDN w:val="0"/>
              <w:rPr>
                <w:kern w:val="0"/>
                <w:sz w:val="24"/>
                <w:highlight w:val="none"/>
              </w:rPr>
            </w:pPr>
          </w:p>
        </w:tc>
        <w:tc>
          <w:tcPr>
            <w:tcW w:w="2330" w:type="dxa"/>
            <w:tcBorders>
              <w:top w:val="single" w:color="auto" w:sz="8" w:space="0"/>
              <w:left w:val="single" w:color="auto" w:sz="8" w:space="0"/>
              <w:bottom w:val="single" w:color="auto" w:sz="12" w:space="0"/>
              <w:right w:val="single" w:color="auto" w:sz="8" w:space="0"/>
            </w:tcBorders>
            <w:noWrap w:val="0"/>
            <w:vAlign w:val="top"/>
          </w:tcPr>
          <w:p w14:paraId="61257EA5">
            <w:pPr>
              <w:autoSpaceDE w:val="0"/>
              <w:autoSpaceDN w:val="0"/>
              <w:rPr>
                <w:kern w:val="0"/>
                <w:sz w:val="24"/>
                <w:highlight w:val="none"/>
              </w:rPr>
            </w:pPr>
          </w:p>
        </w:tc>
        <w:tc>
          <w:tcPr>
            <w:tcW w:w="1387" w:type="dxa"/>
            <w:tcBorders>
              <w:top w:val="single" w:color="auto" w:sz="8" w:space="0"/>
              <w:left w:val="single" w:color="auto" w:sz="8" w:space="0"/>
              <w:bottom w:val="single" w:color="auto" w:sz="12" w:space="0"/>
              <w:right w:val="single" w:color="auto" w:sz="12" w:space="0"/>
            </w:tcBorders>
            <w:noWrap w:val="0"/>
            <w:vAlign w:val="top"/>
          </w:tcPr>
          <w:p w14:paraId="2709E33D">
            <w:pPr>
              <w:autoSpaceDE w:val="0"/>
              <w:autoSpaceDN w:val="0"/>
              <w:rPr>
                <w:kern w:val="0"/>
                <w:sz w:val="24"/>
                <w:highlight w:val="none"/>
              </w:rPr>
            </w:pPr>
          </w:p>
        </w:tc>
      </w:tr>
    </w:tbl>
    <w:p w14:paraId="42B8B7AC">
      <w:pPr>
        <w:autoSpaceDE w:val="0"/>
        <w:autoSpaceDN w:val="0"/>
        <w:adjustRightInd w:val="0"/>
        <w:jc w:val="left"/>
        <w:rPr>
          <w:kern w:val="0"/>
          <w:sz w:val="24"/>
          <w:highlight w:val="none"/>
        </w:rPr>
      </w:pPr>
    </w:p>
    <w:p w14:paraId="2283E057">
      <w:pPr>
        <w:snapToGrid w:val="0"/>
        <w:spacing w:before="50" w:after="50"/>
        <w:rPr>
          <w:rFonts w:ascii="宋体" w:hAnsi="宋体"/>
          <w:szCs w:val="21"/>
          <w:highlight w:val="none"/>
        </w:rPr>
      </w:pPr>
    </w:p>
    <w:p w14:paraId="0AD65631">
      <w:pPr>
        <w:pStyle w:val="5"/>
        <w:overflowPunct w:val="0"/>
        <w:spacing w:line="520" w:lineRule="exact"/>
        <w:ind w:firstLine="0"/>
        <w:jc w:val="center"/>
        <w:rPr>
          <w:rFonts w:hint="eastAsia"/>
          <w:sz w:val="24"/>
          <w:highlight w:val="none"/>
        </w:rPr>
      </w:pPr>
      <w:r>
        <w:rPr>
          <w:rFonts w:hint="eastAsia"/>
          <w:sz w:val="24"/>
          <w:highlight w:val="none"/>
        </w:rPr>
        <w:t>供应商名称：</w:t>
      </w:r>
      <w:r>
        <w:rPr>
          <w:rFonts w:hint="eastAsia"/>
          <w:sz w:val="24"/>
          <w:highlight w:val="none"/>
          <w:u w:val="single"/>
        </w:rPr>
        <w:t xml:space="preserve">                         </w:t>
      </w:r>
      <w:r>
        <w:rPr>
          <w:rFonts w:hint="eastAsia"/>
          <w:sz w:val="24"/>
          <w:highlight w:val="none"/>
        </w:rPr>
        <w:t>（盖单位公章）</w:t>
      </w:r>
    </w:p>
    <w:p w14:paraId="7CD12C43">
      <w:pPr>
        <w:pStyle w:val="5"/>
        <w:overflowPunct w:val="0"/>
        <w:spacing w:line="520" w:lineRule="exact"/>
        <w:ind w:firstLine="1478" w:firstLineChars="616"/>
        <w:rPr>
          <w:rFonts w:hint="eastAsia"/>
          <w:sz w:val="24"/>
          <w:highlight w:val="none"/>
        </w:rPr>
      </w:pPr>
      <w:r>
        <w:rPr>
          <w:rFonts w:hint="eastAsia"/>
          <w:sz w:val="24"/>
          <w:highlight w:val="none"/>
        </w:rPr>
        <w:t>法定代表人或其委托代理人：</w:t>
      </w:r>
      <w:r>
        <w:rPr>
          <w:rFonts w:hint="eastAsia"/>
          <w:sz w:val="24"/>
          <w:highlight w:val="none"/>
          <w:u w:val="single"/>
        </w:rPr>
        <w:t xml:space="preserve">           </w:t>
      </w:r>
      <w:r>
        <w:rPr>
          <w:rFonts w:hint="eastAsia"/>
          <w:sz w:val="24"/>
          <w:highlight w:val="none"/>
        </w:rPr>
        <w:t>（签字）</w:t>
      </w:r>
    </w:p>
    <w:p w14:paraId="44CE1F1E">
      <w:pPr>
        <w:pStyle w:val="5"/>
        <w:overflowPunct w:val="0"/>
        <w:spacing w:line="520" w:lineRule="exact"/>
        <w:ind w:firstLine="3998" w:firstLineChars="1666"/>
        <w:rPr>
          <w:sz w:val="24"/>
          <w:highlight w:val="none"/>
        </w:rPr>
      </w:pPr>
      <w:r>
        <w:rPr>
          <w:rFonts w:hint="eastAsia"/>
          <w:sz w:val="24"/>
          <w:highlight w:val="none"/>
          <w:u w:val="single"/>
        </w:rPr>
        <w:t xml:space="preserve">      </w:t>
      </w:r>
      <w:r>
        <w:rPr>
          <w:rFonts w:hint="eastAsia"/>
          <w:sz w:val="24"/>
          <w:highlight w:val="none"/>
        </w:rPr>
        <w:t>年</w:t>
      </w:r>
      <w:r>
        <w:rPr>
          <w:rFonts w:hint="eastAsia"/>
          <w:sz w:val="24"/>
          <w:highlight w:val="none"/>
          <w:u w:val="single"/>
        </w:rPr>
        <w:t xml:space="preserve">    </w:t>
      </w:r>
      <w:r>
        <w:rPr>
          <w:rFonts w:hint="eastAsia"/>
          <w:sz w:val="24"/>
          <w:highlight w:val="none"/>
        </w:rPr>
        <w:t>月</w:t>
      </w:r>
      <w:r>
        <w:rPr>
          <w:rFonts w:hint="eastAsia"/>
          <w:sz w:val="24"/>
          <w:highlight w:val="none"/>
          <w:u w:val="single"/>
        </w:rPr>
        <w:t xml:space="preserve">    </w:t>
      </w:r>
      <w:r>
        <w:rPr>
          <w:rFonts w:hint="eastAsia"/>
          <w:sz w:val="24"/>
          <w:highlight w:val="none"/>
        </w:rPr>
        <w:t>日</w:t>
      </w:r>
    </w:p>
    <w:p w14:paraId="3B950DB8">
      <w:pPr>
        <w:snapToGrid w:val="0"/>
        <w:spacing w:before="120" w:beforeLines="50" w:after="50"/>
        <w:jc w:val="left"/>
        <w:rPr>
          <w:rFonts w:hint="eastAsia" w:ascii="宋体" w:hAnsi="宋体"/>
          <w:szCs w:val="21"/>
          <w:highlight w:val="none"/>
        </w:rPr>
      </w:pPr>
    </w:p>
    <w:p w14:paraId="5E0DF14F">
      <w:pPr>
        <w:snapToGrid w:val="0"/>
        <w:spacing w:before="120" w:beforeLines="50" w:after="50"/>
        <w:jc w:val="left"/>
        <w:rPr>
          <w:rFonts w:hint="eastAsia" w:ascii="宋体" w:hAnsi="宋体"/>
          <w:szCs w:val="21"/>
          <w:highlight w:val="none"/>
        </w:rPr>
      </w:pPr>
    </w:p>
    <w:p w14:paraId="7AA718A7">
      <w:pPr>
        <w:jc w:val="center"/>
        <w:outlineLvl w:val="3"/>
        <w:rPr>
          <w:rFonts w:hint="eastAsia" w:ascii="黑体" w:hAnsi="宋体" w:eastAsia="黑体"/>
          <w:sz w:val="24"/>
          <w:highlight w:val="none"/>
        </w:rPr>
      </w:pPr>
      <w:r>
        <w:rPr>
          <w:rFonts w:hint="eastAsia" w:ascii="宋体" w:hAnsi="宋体"/>
          <w:b/>
          <w:sz w:val="24"/>
          <w:highlight w:val="none"/>
        </w:rPr>
        <w:br w:type="page"/>
      </w:r>
      <w:r>
        <w:rPr>
          <w:rFonts w:hint="eastAsia" w:ascii="宋体" w:hAnsi="宋体"/>
          <w:b/>
          <w:sz w:val="24"/>
          <w:highlight w:val="none"/>
        </w:rPr>
        <w:t>2.</w:t>
      </w:r>
      <w:r>
        <w:rPr>
          <w:rFonts w:ascii="黑体" w:hAnsi="宋体" w:eastAsia="黑体"/>
          <w:b/>
          <w:bCs/>
          <w:sz w:val="24"/>
          <w:highlight w:val="none"/>
        </w:rPr>
        <w:t>近</w:t>
      </w:r>
      <w:r>
        <w:rPr>
          <w:rFonts w:hint="eastAsia" w:ascii="黑体" w:hAnsi="宋体" w:eastAsia="黑体"/>
          <w:b/>
          <w:bCs/>
          <w:sz w:val="24"/>
          <w:highlight w:val="none"/>
          <w:u w:val="single"/>
        </w:rPr>
        <w:t>5</w:t>
      </w:r>
      <w:r>
        <w:rPr>
          <w:rFonts w:ascii="黑体" w:hAnsi="宋体" w:eastAsia="黑体"/>
          <w:b/>
          <w:bCs/>
          <w:sz w:val="24"/>
          <w:highlight w:val="none"/>
          <w:u w:val="single"/>
        </w:rPr>
        <w:t xml:space="preserve"> </w:t>
      </w:r>
      <w:r>
        <w:rPr>
          <w:rFonts w:ascii="黑体" w:hAnsi="宋体" w:eastAsia="黑体"/>
          <w:b/>
          <w:bCs/>
          <w:sz w:val="24"/>
          <w:highlight w:val="none"/>
        </w:rPr>
        <w:t>年完成类似项目情况详表</w:t>
      </w:r>
    </w:p>
    <w:p w14:paraId="4CADC629">
      <w:pPr>
        <w:rPr>
          <w:rFonts w:ascii="黑体" w:hAnsi="宋体" w:eastAsia="黑体"/>
          <w:sz w:val="24"/>
          <w:highlight w:val="none"/>
        </w:rPr>
      </w:pPr>
    </w:p>
    <w:tbl>
      <w:tblPr>
        <w:tblStyle w:val="25"/>
        <w:tblW w:w="0" w:type="auto"/>
        <w:tblInd w:w="0" w:type="dxa"/>
        <w:tblLayout w:type="fixed"/>
        <w:tblCellMar>
          <w:top w:w="0" w:type="dxa"/>
          <w:left w:w="0" w:type="dxa"/>
          <w:bottom w:w="0" w:type="dxa"/>
          <w:right w:w="0" w:type="dxa"/>
        </w:tblCellMar>
      </w:tblPr>
      <w:tblGrid>
        <w:gridCol w:w="2700"/>
        <w:gridCol w:w="6465"/>
      </w:tblGrid>
      <w:tr w14:paraId="1189BA70">
        <w:trPr>
          <w:trHeight w:val="432" w:hRule="atLeast"/>
        </w:trPr>
        <w:tc>
          <w:tcPr>
            <w:tcW w:w="2700" w:type="dxa"/>
            <w:tcBorders>
              <w:top w:val="single" w:color="auto" w:sz="12" w:space="0"/>
              <w:left w:val="single" w:color="auto" w:sz="12" w:space="0"/>
              <w:bottom w:val="single" w:color="auto" w:sz="8" w:space="0"/>
              <w:right w:val="single" w:color="auto" w:sz="8" w:space="0"/>
            </w:tcBorders>
            <w:noWrap w:val="0"/>
            <w:vAlign w:val="center"/>
          </w:tcPr>
          <w:p w14:paraId="5B65137A">
            <w:pPr>
              <w:autoSpaceDE w:val="0"/>
              <w:autoSpaceDN w:val="0"/>
              <w:jc w:val="center"/>
              <w:rPr>
                <w:rFonts w:ascii="宋体" w:cs="宋体"/>
                <w:kern w:val="0"/>
                <w:sz w:val="24"/>
                <w:highlight w:val="none"/>
              </w:rPr>
            </w:pPr>
            <w:r>
              <w:rPr>
                <w:rFonts w:hint="eastAsia" w:ascii="宋体" w:cs="宋体"/>
                <w:kern w:val="0"/>
                <w:sz w:val="24"/>
                <w:highlight w:val="none"/>
              </w:rPr>
              <w:t>项目名称</w:t>
            </w:r>
          </w:p>
        </w:tc>
        <w:tc>
          <w:tcPr>
            <w:tcW w:w="6465" w:type="dxa"/>
            <w:tcBorders>
              <w:top w:val="single" w:color="auto" w:sz="12" w:space="0"/>
              <w:left w:val="single" w:color="auto" w:sz="8" w:space="0"/>
              <w:bottom w:val="single" w:color="auto" w:sz="8" w:space="0"/>
              <w:right w:val="single" w:color="auto" w:sz="12" w:space="0"/>
            </w:tcBorders>
            <w:noWrap w:val="0"/>
            <w:vAlign w:val="top"/>
          </w:tcPr>
          <w:p w14:paraId="6ED6A3D5">
            <w:pPr>
              <w:autoSpaceDE w:val="0"/>
              <w:autoSpaceDN w:val="0"/>
              <w:rPr>
                <w:kern w:val="0"/>
                <w:sz w:val="24"/>
                <w:highlight w:val="none"/>
              </w:rPr>
            </w:pPr>
          </w:p>
        </w:tc>
      </w:tr>
      <w:tr w14:paraId="72D0BCAB">
        <w:tblPrEx>
          <w:tblCellMar>
            <w:top w:w="0" w:type="dxa"/>
            <w:left w:w="0" w:type="dxa"/>
            <w:bottom w:w="0" w:type="dxa"/>
            <w:right w:w="0" w:type="dxa"/>
          </w:tblCellMar>
        </w:tblPrEx>
        <w:trPr>
          <w:trHeight w:val="453" w:hRule="atLeast"/>
        </w:trPr>
        <w:tc>
          <w:tcPr>
            <w:tcW w:w="2700" w:type="dxa"/>
            <w:tcBorders>
              <w:top w:val="single" w:color="auto" w:sz="8" w:space="0"/>
              <w:left w:val="single" w:color="auto" w:sz="12" w:space="0"/>
              <w:bottom w:val="single" w:color="auto" w:sz="8" w:space="0"/>
              <w:right w:val="single" w:color="auto" w:sz="8" w:space="0"/>
            </w:tcBorders>
            <w:noWrap w:val="0"/>
            <w:vAlign w:val="center"/>
          </w:tcPr>
          <w:p w14:paraId="08A3EBBD">
            <w:pPr>
              <w:autoSpaceDE w:val="0"/>
              <w:autoSpaceDN w:val="0"/>
              <w:jc w:val="center"/>
              <w:rPr>
                <w:rFonts w:ascii="宋体" w:cs="宋体"/>
                <w:kern w:val="0"/>
                <w:sz w:val="24"/>
                <w:highlight w:val="none"/>
              </w:rPr>
            </w:pPr>
            <w:r>
              <w:rPr>
                <w:rFonts w:hint="eastAsia" w:ascii="宋体" w:cs="宋体"/>
                <w:kern w:val="0"/>
                <w:sz w:val="24"/>
                <w:highlight w:val="none"/>
              </w:rPr>
              <w:t>项目所在地</w:t>
            </w:r>
          </w:p>
        </w:tc>
        <w:tc>
          <w:tcPr>
            <w:tcW w:w="6465" w:type="dxa"/>
            <w:tcBorders>
              <w:top w:val="single" w:color="auto" w:sz="8" w:space="0"/>
              <w:left w:val="single" w:color="auto" w:sz="8" w:space="0"/>
              <w:bottom w:val="single" w:color="auto" w:sz="8" w:space="0"/>
              <w:right w:val="single" w:color="auto" w:sz="12" w:space="0"/>
            </w:tcBorders>
            <w:noWrap w:val="0"/>
            <w:vAlign w:val="top"/>
          </w:tcPr>
          <w:p w14:paraId="7CAC7747">
            <w:pPr>
              <w:autoSpaceDE w:val="0"/>
              <w:autoSpaceDN w:val="0"/>
              <w:rPr>
                <w:kern w:val="0"/>
                <w:sz w:val="24"/>
                <w:highlight w:val="none"/>
              </w:rPr>
            </w:pPr>
          </w:p>
        </w:tc>
      </w:tr>
      <w:tr w14:paraId="35154BC0">
        <w:tblPrEx>
          <w:tblCellMar>
            <w:top w:w="0" w:type="dxa"/>
            <w:left w:w="0" w:type="dxa"/>
            <w:bottom w:w="0" w:type="dxa"/>
            <w:right w:w="0" w:type="dxa"/>
          </w:tblCellMar>
        </w:tblPrEx>
        <w:trPr>
          <w:trHeight w:val="446" w:hRule="atLeast"/>
        </w:trPr>
        <w:tc>
          <w:tcPr>
            <w:tcW w:w="2700" w:type="dxa"/>
            <w:tcBorders>
              <w:top w:val="single" w:color="auto" w:sz="8" w:space="0"/>
              <w:left w:val="single" w:color="auto" w:sz="12" w:space="0"/>
              <w:bottom w:val="single" w:color="auto" w:sz="8" w:space="0"/>
              <w:right w:val="single" w:color="auto" w:sz="8" w:space="0"/>
            </w:tcBorders>
            <w:noWrap w:val="0"/>
            <w:vAlign w:val="center"/>
          </w:tcPr>
          <w:p w14:paraId="2C6E268D">
            <w:pPr>
              <w:autoSpaceDE w:val="0"/>
              <w:autoSpaceDN w:val="0"/>
              <w:jc w:val="center"/>
              <w:rPr>
                <w:rFonts w:ascii="宋体" w:cs="宋体"/>
                <w:kern w:val="0"/>
                <w:sz w:val="24"/>
                <w:highlight w:val="none"/>
              </w:rPr>
            </w:pPr>
            <w:r>
              <w:rPr>
                <w:rFonts w:hint="eastAsia" w:ascii="宋体" w:cs="宋体"/>
                <w:kern w:val="0"/>
                <w:sz w:val="24"/>
                <w:highlight w:val="none"/>
              </w:rPr>
              <w:t>发包人名称</w:t>
            </w:r>
          </w:p>
        </w:tc>
        <w:tc>
          <w:tcPr>
            <w:tcW w:w="6465" w:type="dxa"/>
            <w:tcBorders>
              <w:top w:val="single" w:color="auto" w:sz="8" w:space="0"/>
              <w:left w:val="single" w:color="auto" w:sz="8" w:space="0"/>
              <w:bottom w:val="single" w:color="auto" w:sz="8" w:space="0"/>
              <w:right w:val="single" w:color="auto" w:sz="12" w:space="0"/>
            </w:tcBorders>
            <w:noWrap w:val="0"/>
            <w:vAlign w:val="top"/>
          </w:tcPr>
          <w:p w14:paraId="37A00E3B">
            <w:pPr>
              <w:autoSpaceDE w:val="0"/>
              <w:autoSpaceDN w:val="0"/>
              <w:rPr>
                <w:kern w:val="0"/>
                <w:sz w:val="24"/>
                <w:highlight w:val="none"/>
              </w:rPr>
            </w:pPr>
          </w:p>
        </w:tc>
      </w:tr>
      <w:tr w14:paraId="0603204F">
        <w:tblPrEx>
          <w:tblCellMar>
            <w:top w:w="0" w:type="dxa"/>
            <w:left w:w="0" w:type="dxa"/>
            <w:bottom w:w="0" w:type="dxa"/>
            <w:right w:w="0" w:type="dxa"/>
          </w:tblCellMar>
        </w:tblPrEx>
        <w:trPr>
          <w:trHeight w:val="453" w:hRule="atLeast"/>
        </w:trPr>
        <w:tc>
          <w:tcPr>
            <w:tcW w:w="2700" w:type="dxa"/>
            <w:tcBorders>
              <w:top w:val="single" w:color="auto" w:sz="8" w:space="0"/>
              <w:left w:val="single" w:color="auto" w:sz="12" w:space="0"/>
              <w:bottom w:val="single" w:color="auto" w:sz="8" w:space="0"/>
              <w:right w:val="single" w:color="auto" w:sz="8" w:space="0"/>
            </w:tcBorders>
            <w:noWrap w:val="0"/>
            <w:vAlign w:val="center"/>
          </w:tcPr>
          <w:p w14:paraId="7EE34431">
            <w:pPr>
              <w:autoSpaceDE w:val="0"/>
              <w:autoSpaceDN w:val="0"/>
              <w:jc w:val="center"/>
              <w:rPr>
                <w:rFonts w:ascii="宋体" w:cs="宋体"/>
                <w:kern w:val="0"/>
                <w:sz w:val="24"/>
                <w:highlight w:val="none"/>
              </w:rPr>
            </w:pPr>
            <w:r>
              <w:rPr>
                <w:rFonts w:hint="eastAsia" w:ascii="宋体" w:cs="宋体"/>
                <w:kern w:val="0"/>
                <w:sz w:val="24"/>
                <w:highlight w:val="none"/>
              </w:rPr>
              <w:t>发包人地址</w:t>
            </w:r>
          </w:p>
        </w:tc>
        <w:tc>
          <w:tcPr>
            <w:tcW w:w="6465" w:type="dxa"/>
            <w:tcBorders>
              <w:top w:val="single" w:color="auto" w:sz="8" w:space="0"/>
              <w:left w:val="single" w:color="auto" w:sz="8" w:space="0"/>
              <w:bottom w:val="single" w:color="auto" w:sz="8" w:space="0"/>
              <w:right w:val="single" w:color="auto" w:sz="12" w:space="0"/>
            </w:tcBorders>
            <w:noWrap w:val="0"/>
            <w:vAlign w:val="top"/>
          </w:tcPr>
          <w:p w14:paraId="29B62ED3">
            <w:pPr>
              <w:autoSpaceDE w:val="0"/>
              <w:autoSpaceDN w:val="0"/>
              <w:rPr>
                <w:kern w:val="0"/>
                <w:sz w:val="24"/>
                <w:highlight w:val="none"/>
              </w:rPr>
            </w:pPr>
          </w:p>
        </w:tc>
      </w:tr>
      <w:tr w14:paraId="0F166185">
        <w:tblPrEx>
          <w:tblCellMar>
            <w:top w:w="0" w:type="dxa"/>
            <w:left w:w="0" w:type="dxa"/>
            <w:bottom w:w="0" w:type="dxa"/>
            <w:right w:w="0" w:type="dxa"/>
          </w:tblCellMar>
        </w:tblPrEx>
        <w:trPr>
          <w:trHeight w:val="453" w:hRule="atLeast"/>
        </w:trPr>
        <w:tc>
          <w:tcPr>
            <w:tcW w:w="2700" w:type="dxa"/>
            <w:tcBorders>
              <w:top w:val="single" w:color="auto" w:sz="8" w:space="0"/>
              <w:left w:val="single" w:color="auto" w:sz="12" w:space="0"/>
              <w:bottom w:val="single" w:color="auto" w:sz="8" w:space="0"/>
              <w:right w:val="single" w:color="auto" w:sz="8" w:space="0"/>
            </w:tcBorders>
            <w:noWrap w:val="0"/>
            <w:vAlign w:val="center"/>
          </w:tcPr>
          <w:p w14:paraId="4CD5EEAB">
            <w:pPr>
              <w:autoSpaceDE w:val="0"/>
              <w:autoSpaceDN w:val="0"/>
              <w:jc w:val="center"/>
              <w:rPr>
                <w:rFonts w:ascii="宋体" w:cs="宋体"/>
                <w:kern w:val="0"/>
                <w:sz w:val="24"/>
                <w:highlight w:val="none"/>
              </w:rPr>
            </w:pPr>
            <w:r>
              <w:rPr>
                <w:rFonts w:hint="eastAsia" w:ascii="宋体" w:cs="宋体"/>
                <w:kern w:val="0"/>
                <w:sz w:val="24"/>
                <w:highlight w:val="none"/>
              </w:rPr>
              <w:t>发包人电话</w:t>
            </w:r>
          </w:p>
        </w:tc>
        <w:tc>
          <w:tcPr>
            <w:tcW w:w="6465" w:type="dxa"/>
            <w:tcBorders>
              <w:top w:val="single" w:color="auto" w:sz="8" w:space="0"/>
              <w:left w:val="single" w:color="auto" w:sz="8" w:space="0"/>
              <w:bottom w:val="single" w:color="auto" w:sz="8" w:space="0"/>
              <w:right w:val="single" w:color="auto" w:sz="12" w:space="0"/>
            </w:tcBorders>
            <w:noWrap w:val="0"/>
            <w:vAlign w:val="top"/>
          </w:tcPr>
          <w:p w14:paraId="2DC31A06">
            <w:pPr>
              <w:autoSpaceDE w:val="0"/>
              <w:autoSpaceDN w:val="0"/>
              <w:rPr>
                <w:kern w:val="0"/>
                <w:sz w:val="24"/>
                <w:highlight w:val="none"/>
              </w:rPr>
            </w:pPr>
          </w:p>
        </w:tc>
      </w:tr>
      <w:tr w14:paraId="70016245">
        <w:tblPrEx>
          <w:tblCellMar>
            <w:top w:w="0" w:type="dxa"/>
            <w:left w:w="0" w:type="dxa"/>
            <w:bottom w:w="0" w:type="dxa"/>
            <w:right w:w="0" w:type="dxa"/>
          </w:tblCellMar>
        </w:tblPrEx>
        <w:trPr>
          <w:trHeight w:val="453" w:hRule="atLeast"/>
        </w:trPr>
        <w:tc>
          <w:tcPr>
            <w:tcW w:w="2700" w:type="dxa"/>
            <w:tcBorders>
              <w:top w:val="single" w:color="auto" w:sz="8" w:space="0"/>
              <w:left w:val="single" w:color="auto" w:sz="12" w:space="0"/>
              <w:bottom w:val="single" w:color="auto" w:sz="8" w:space="0"/>
              <w:right w:val="single" w:color="auto" w:sz="8" w:space="0"/>
            </w:tcBorders>
            <w:noWrap w:val="0"/>
            <w:vAlign w:val="center"/>
          </w:tcPr>
          <w:p w14:paraId="086AD9CD">
            <w:pPr>
              <w:autoSpaceDE w:val="0"/>
              <w:autoSpaceDN w:val="0"/>
              <w:jc w:val="center"/>
              <w:rPr>
                <w:rFonts w:ascii="宋体" w:cs="宋体"/>
                <w:kern w:val="0"/>
                <w:sz w:val="24"/>
                <w:highlight w:val="none"/>
              </w:rPr>
            </w:pPr>
            <w:r>
              <w:rPr>
                <w:rFonts w:hint="eastAsia" w:ascii="宋体" w:cs="宋体"/>
                <w:kern w:val="0"/>
                <w:sz w:val="24"/>
                <w:highlight w:val="none"/>
              </w:rPr>
              <w:t>项目规模</w:t>
            </w:r>
          </w:p>
        </w:tc>
        <w:tc>
          <w:tcPr>
            <w:tcW w:w="6465" w:type="dxa"/>
            <w:tcBorders>
              <w:top w:val="single" w:color="auto" w:sz="8" w:space="0"/>
              <w:left w:val="single" w:color="auto" w:sz="8" w:space="0"/>
              <w:bottom w:val="single" w:color="auto" w:sz="8" w:space="0"/>
              <w:right w:val="single" w:color="auto" w:sz="12" w:space="0"/>
            </w:tcBorders>
            <w:noWrap w:val="0"/>
            <w:vAlign w:val="top"/>
          </w:tcPr>
          <w:p w14:paraId="19E2173F">
            <w:pPr>
              <w:autoSpaceDE w:val="0"/>
              <w:autoSpaceDN w:val="0"/>
              <w:rPr>
                <w:kern w:val="0"/>
                <w:sz w:val="24"/>
                <w:highlight w:val="none"/>
              </w:rPr>
            </w:pPr>
          </w:p>
        </w:tc>
      </w:tr>
      <w:tr w14:paraId="2E658C1A">
        <w:tblPrEx>
          <w:tblCellMar>
            <w:top w:w="0" w:type="dxa"/>
            <w:left w:w="0" w:type="dxa"/>
            <w:bottom w:w="0" w:type="dxa"/>
            <w:right w:w="0" w:type="dxa"/>
          </w:tblCellMar>
        </w:tblPrEx>
        <w:trPr>
          <w:trHeight w:val="446" w:hRule="atLeast"/>
        </w:trPr>
        <w:tc>
          <w:tcPr>
            <w:tcW w:w="2700" w:type="dxa"/>
            <w:tcBorders>
              <w:top w:val="single" w:color="auto" w:sz="8" w:space="0"/>
              <w:left w:val="single" w:color="auto" w:sz="12" w:space="0"/>
              <w:bottom w:val="single" w:color="auto" w:sz="8" w:space="0"/>
              <w:right w:val="single" w:color="auto" w:sz="8" w:space="0"/>
            </w:tcBorders>
            <w:noWrap w:val="0"/>
            <w:vAlign w:val="center"/>
          </w:tcPr>
          <w:p w14:paraId="23A8A193">
            <w:pPr>
              <w:autoSpaceDE w:val="0"/>
              <w:autoSpaceDN w:val="0"/>
              <w:jc w:val="center"/>
              <w:rPr>
                <w:rFonts w:ascii="宋体" w:cs="宋体"/>
                <w:kern w:val="0"/>
                <w:sz w:val="24"/>
                <w:highlight w:val="none"/>
              </w:rPr>
            </w:pPr>
            <w:r>
              <w:rPr>
                <w:rFonts w:hint="eastAsia" w:ascii="宋体" w:cs="宋体"/>
                <w:kern w:val="0"/>
                <w:sz w:val="24"/>
                <w:highlight w:val="none"/>
              </w:rPr>
              <w:t>项目总投资</w:t>
            </w:r>
          </w:p>
        </w:tc>
        <w:tc>
          <w:tcPr>
            <w:tcW w:w="6465" w:type="dxa"/>
            <w:tcBorders>
              <w:top w:val="single" w:color="auto" w:sz="8" w:space="0"/>
              <w:left w:val="single" w:color="auto" w:sz="8" w:space="0"/>
              <w:bottom w:val="single" w:color="auto" w:sz="8" w:space="0"/>
              <w:right w:val="single" w:color="auto" w:sz="12" w:space="0"/>
            </w:tcBorders>
            <w:noWrap w:val="0"/>
            <w:vAlign w:val="top"/>
          </w:tcPr>
          <w:p w14:paraId="081EC49A">
            <w:pPr>
              <w:autoSpaceDE w:val="0"/>
              <w:autoSpaceDN w:val="0"/>
              <w:rPr>
                <w:rFonts w:ascii="宋体" w:cs="宋体"/>
                <w:kern w:val="0"/>
                <w:sz w:val="24"/>
                <w:highlight w:val="none"/>
              </w:rPr>
            </w:pPr>
          </w:p>
        </w:tc>
      </w:tr>
      <w:tr w14:paraId="714B132F">
        <w:tblPrEx>
          <w:tblCellMar>
            <w:top w:w="0" w:type="dxa"/>
            <w:left w:w="0" w:type="dxa"/>
            <w:bottom w:w="0" w:type="dxa"/>
            <w:right w:w="0" w:type="dxa"/>
          </w:tblCellMar>
        </w:tblPrEx>
        <w:trPr>
          <w:trHeight w:val="453" w:hRule="atLeast"/>
        </w:trPr>
        <w:tc>
          <w:tcPr>
            <w:tcW w:w="2700" w:type="dxa"/>
            <w:tcBorders>
              <w:top w:val="single" w:color="auto" w:sz="8" w:space="0"/>
              <w:left w:val="single" w:color="auto" w:sz="12" w:space="0"/>
              <w:bottom w:val="single" w:color="auto" w:sz="8" w:space="0"/>
              <w:right w:val="single" w:color="auto" w:sz="8" w:space="0"/>
            </w:tcBorders>
            <w:noWrap w:val="0"/>
            <w:vAlign w:val="center"/>
          </w:tcPr>
          <w:p w14:paraId="623D0D05">
            <w:pPr>
              <w:autoSpaceDE w:val="0"/>
              <w:autoSpaceDN w:val="0"/>
              <w:jc w:val="center"/>
              <w:rPr>
                <w:rFonts w:ascii="宋体" w:cs="宋体"/>
                <w:kern w:val="0"/>
                <w:sz w:val="24"/>
                <w:highlight w:val="none"/>
              </w:rPr>
            </w:pPr>
            <w:r>
              <w:rPr>
                <w:rFonts w:hint="eastAsia" w:ascii="宋体" w:cs="宋体"/>
                <w:kern w:val="0"/>
                <w:sz w:val="24"/>
                <w:highlight w:val="none"/>
              </w:rPr>
              <w:t>承担的工作</w:t>
            </w:r>
          </w:p>
        </w:tc>
        <w:tc>
          <w:tcPr>
            <w:tcW w:w="6465" w:type="dxa"/>
            <w:tcBorders>
              <w:top w:val="single" w:color="auto" w:sz="8" w:space="0"/>
              <w:left w:val="single" w:color="auto" w:sz="8" w:space="0"/>
              <w:bottom w:val="single" w:color="auto" w:sz="8" w:space="0"/>
              <w:right w:val="single" w:color="auto" w:sz="12" w:space="0"/>
            </w:tcBorders>
            <w:noWrap w:val="0"/>
            <w:vAlign w:val="top"/>
          </w:tcPr>
          <w:p w14:paraId="478BD59B">
            <w:pPr>
              <w:autoSpaceDE w:val="0"/>
              <w:autoSpaceDN w:val="0"/>
              <w:rPr>
                <w:kern w:val="0"/>
                <w:sz w:val="24"/>
                <w:highlight w:val="none"/>
              </w:rPr>
            </w:pPr>
          </w:p>
        </w:tc>
      </w:tr>
      <w:tr w14:paraId="6D746B66">
        <w:tblPrEx>
          <w:tblCellMar>
            <w:top w:w="0" w:type="dxa"/>
            <w:left w:w="0" w:type="dxa"/>
            <w:bottom w:w="0" w:type="dxa"/>
            <w:right w:w="0" w:type="dxa"/>
          </w:tblCellMar>
        </w:tblPrEx>
        <w:trPr>
          <w:trHeight w:val="453" w:hRule="atLeast"/>
        </w:trPr>
        <w:tc>
          <w:tcPr>
            <w:tcW w:w="2700" w:type="dxa"/>
            <w:tcBorders>
              <w:top w:val="single" w:color="auto" w:sz="8" w:space="0"/>
              <w:left w:val="single" w:color="auto" w:sz="12" w:space="0"/>
              <w:bottom w:val="single" w:color="auto" w:sz="8" w:space="0"/>
              <w:right w:val="single" w:color="auto" w:sz="8" w:space="0"/>
            </w:tcBorders>
            <w:noWrap w:val="0"/>
            <w:vAlign w:val="center"/>
          </w:tcPr>
          <w:p w14:paraId="3609BC9D">
            <w:pPr>
              <w:autoSpaceDE w:val="0"/>
              <w:autoSpaceDN w:val="0"/>
              <w:jc w:val="center"/>
              <w:rPr>
                <w:rFonts w:hint="eastAsia" w:ascii="宋体" w:cs="宋体"/>
                <w:kern w:val="0"/>
                <w:sz w:val="24"/>
                <w:highlight w:val="none"/>
              </w:rPr>
            </w:pPr>
            <w:r>
              <w:rPr>
                <w:rFonts w:hint="eastAsia" w:ascii="宋体" w:cs="宋体"/>
                <w:kern w:val="0"/>
                <w:sz w:val="24"/>
                <w:highlight w:val="none"/>
              </w:rPr>
              <w:t>工期</w:t>
            </w:r>
          </w:p>
        </w:tc>
        <w:tc>
          <w:tcPr>
            <w:tcW w:w="6465" w:type="dxa"/>
            <w:tcBorders>
              <w:top w:val="single" w:color="auto" w:sz="8" w:space="0"/>
              <w:left w:val="single" w:color="auto" w:sz="8" w:space="0"/>
              <w:bottom w:val="single" w:color="auto" w:sz="8" w:space="0"/>
              <w:right w:val="single" w:color="auto" w:sz="12" w:space="0"/>
            </w:tcBorders>
            <w:noWrap w:val="0"/>
            <w:vAlign w:val="top"/>
          </w:tcPr>
          <w:p w14:paraId="740A83A1">
            <w:pPr>
              <w:autoSpaceDE w:val="0"/>
              <w:autoSpaceDN w:val="0"/>
              <w:rPr>
                <w:kern w:val="0"/>
                <w:sz w:val="24"/>
                <w:highlight w:val="none"/>
              </w:rPr>
            </w:pPr>
          </w:p>
        </w:tc>
      </w:tr>
      <w:tr w14:paraId="752E017C">
        <w:tblPrEx>
          <w:tblCellMar>
            <w:top w:w="0" w:type="dxa"/>
            <w:left w:w="0" w:type="dxa"/>
            <w:bottom w:w="0" w:type="dxa"/>
            <w:right w:w="0" w:type="dxa"/>
          </w:tblCellMar>
        </w:tblPrEx>
        <w:trPr>
          <w:trHeight w:val="453" w:hRule="atLeast"/>
        </w:trPr>
        <w:tc>
          <w:tcPr>
            <w:tcW w:w="2700" w:type="dxa"/>
            <w:tcBorders>
              <w:top w:val="single" w:color="auto" w:sz="8" w:space="0"/>
              <w:left w:val="single" w:color="auto" w:sz="12" w:space="0"/>
              <w:bottom w:val="single" w:color="auto" w:sz="8" w:space="0"/>
              <w:right w:val="single" w:color="auto" w:sz="8" w:space="0"/>
            </w:tcBorders>
            <w:noWrap w:val="0"/>
            <w:vAlign w:val="center"/>
          </w:tcPr>
          <w:p w14:paraId="15CB4E1F">
            <w:pPr>
              <w:autoSpaceDE w:val="0"/>
              <w:autoSpaceDN w:val="0"/>
              <w:jc w:val="center"/>
              <w:rPr>
                <w:rFonts w:ascii="宋体" w:cs="宋体"/>
                <w:kern w:val="0"/>
                <w:sz w:val="24"/>
                <w:highlight w:val="none"/>
              </w:rPr>
            </w:pPr>
            <w:r>
              <w:rPr>
                <w:rFonts w:hint="eastAsia" w:ascii="宋体" w:cs="宋体"/>
                <w:kern w:val="0"/>
                <w:sz w:val="24"/>
                <w:highlight w:val="none"/>
              </w:rPr>
              <w:t>项目负责人</w:t>
            </w:r>
          </w:p>
        </w:tc>
        <w:tc>
          <w:tcPr>
            <w:tcW w:w="6465" w:type="dxa"/>
            <w:tcBorders>
              <w:top w:val="single" w:color="auto" w:sz="8" w:space="0"/>
              <w:left w:val="single" w:color="auto" w:sz="8" w:space="0"/>
              <w:bottom w:val="single" w:color="auto" w:sz="8" w:space="0"/>
              <w:right w:val="single" w:color="auto" w:sz="12" w:space="0"/>
            </w:tcBorders>
            <w:noWrap w:val="0"/>
            <w:vAlign w:val="top"/>
          </w:tcPr>
          <w:p w14:paraId="6E9DDFCB">
            <w:pPr>
              <w:autoSpaceDE w:val="0"/>
              <w:autoSpaceDN w:val="0"/>
              <w:rPr>
                <w:kern w:val="0"/>
                <w:sz w:val="24"/>
                <w:highlight w:val="none"/>
              </w:rPr>
            </w:pPr>
          </w:p>
        </w:tc>
      </w:tr>
      <w:tr w14:paraId="59D98F59">
        <w:tblPrEx>
          <w:tblCellMar>
            <w:top w:w="0" w:type="dxa"/>
            <w:left w:w="0" w:type="dxa"/>
            <w:bottom w:w="0" w:type="dxa"/>
            <w:right w:w="0" w:type="dxa"/>
          </w:tblCellMar>
        </w:tblPrEx>
        <w:trPr>
          <w:trHeight w:val="453" w:hRule="atLeast"/>
        </w:trPr>
        <w:tc>
          <w:tcPr>
            <w:tcW w:w="2700" w:type="dxa"/>
            <w:tcBorders>
              <w:top w:val="single" w:color="auto" w:sz="8" w:space="0"/>
              <w:left w:val="single" w:color="auto" w:sz="12" w:space="0"/>
              <w:bottom w:val="single" w:color="auto" w:sz="8" w:space="0"/>
              <w:right w:val="single" w:color="auto" w:sz="8" w:space="0"/>
            </w:tcBorders>
            <w:noWrap w:val="0"/>
            <w:vAlign w:val="center"/>
          </w:tcPr>
          <w:p w14:paraId="5E5750D2">
            <w:pPr>
              <w:autoSpaceDE w:val="0"/>
              <w:autoSpaceDN w:val="0"/>
              <w:jc w:val="center"/>
              <w:rPr>
                <w:rFonts w:ascii="宋体" w:cs="宋体"/>
                <w:kern w:val="0"/>
                <w:sz w:val="24"/>
                <w:highlight w:val="none"/>
              </w:rPr>
            </w:pPr>
            <w:r>
              <w:rPr>
                <w:rFonts w:hint="eastAsia" w:ascii="宋体" w:cs="宋体"/>
                <w:kern w:val="0"/>
                <w:sz w:val="24"/>
                <w:highlight w:val="none"/>
              </w:rPr>
              <w:t>项目完成情况</w:t>
            </w:r>
          </w:p>
        </w:tc>
        <w:tc>
          <w:tcPr>
            <w:tcW w:w="6465" w:type="dxa"/>
            <w:tcBorders>
              <w:top w:val="single" w:color="auto" w:sz="8" w:space="0"/>
              <w:left w:val="single" w:color="auto" w:sz="8" w:space="0"/>
              <w:bottom w:val="single" w:color="auto" w:sz="8" w:space="0"/>
              <w:right w:val="single" w:color="auto" w:sz="12" w:space="0"/>
            </w:tcBorders>
            <w:noWrap w:val="0"/>
            <w:vAlign w:val="top"/>
          </w:tcPr>
          <w:p w14:paraId="4195FEF2">
            <w:pPr>
              <w:autoSpaceDE w:val="0"/>
              <w:autoSpaceDN w:val="0"/>
              <w:rPr>
                <w:kern w:val="0"/>
                <w:sz w:val="24"/>
                <w:highlight w:val="none"/>
              </w:rPr>
            </w:pPr>
          </w:p>
        </w:tc>
      </w:tr>
      <w:tr w14:paraId="0201D091">
        <w:tblPrEx>
          <w:tblCellMar>
            <w:top w:w="0" w:type="dxa"/>
            <w:left w:w="0" w:type="dxa"/>
            <w:bottom w:w="0" w:type="dxa"/>
            <w:right w:w="0" w:type="dxa"/>
          </w:tblCellMar>
        </w:tblPrEx>
        <w:trPr>
          <w:trHeight w:val="453" w:hRule="atLeast"/>
        </w:trPr>
        <w:tc>
          <w:tcPr>
            <w:tcW w:w="2700" w:type="dxa"/>
            <w:tcBorders>
              <w:top w:val="single" w:color="auto" w:sz="8" w:space="0"/>
              <w:left w:val="single" w:color="auto" w:sz="12" w:space="0"/>
              <w:bottom w:val="single" w:color="auto" w:sz="8" w:space="0"/>
              <w:right w:val="single" w:color="auto" w:sz="8" w:space="0"/>
            </w:tcBorders>
            <w:noWrap w:val="0"/>
            <w:vAlign w:val="center"/>
          </w:tcPr>
          <w:p w14:paraId="67A2207B">
            <w:pPr>
              <w:autoSpaceDE w:val="0"/>
              <w:autoSpaceDN w:val="0"/>
              <w:jc w:val="center"/>
              <w:rPr>
                <w:rFonts w:hint="eastAsia" w:ascii="宋体" w:cs="宋体"/>
                <w:kern w:val="0"/>
                <w:sz w:val="24"/>
                <w:highlight w:val="none"/>
              </w:rPr>
            </w:pPr>
            <w:r>
              <w:rPr>
                <w:rFonts w:hint="eastAsia" w:ascii="宋体" w:hAnsi="宋体" w:cs="宋体"/>
                <w:kern w:val="0"/>
                <w:sz w:val="24"/>
                <w:highlight w:val="none"/>
              </w:rPr>
              <w:t>成果文件完成时间</w:t>
            </w:r>
          </w:p>
        </w:tc>
        <w:tc>
          <w:tcPr>
            <w:tcW w:w="6465" w:type="dxa"/>
            <w:tcBorders>
              <w:top w:val="single" w:color="auto" w:sz="8" w:space="0"/>
              <w:left w:val="single" w:color="auto" w:sz="8" w:space="0"/>
              <w:bottom w:val="single" w:color="auto" w:sz="8" w:space="0"/>
              <w:right w:val="single" w:color="auto" w:sz="12" w:space="0"/>
            </w:tcBorders>
            <w:noWrap w:val="0"/>
            <w:vAlign w:val="top"/>
          </w:tcPr>
          <w:p w14:paraId="1F272DC0">
            <w:pPr>
              <w:autoSpaceDE w:val="0"/>
              <w:autoSpaceDN w:val="0"/>
              <w:rPr>
                <w:kern w:val="0"/>
                <w:sz w:val="24"/>
                <w:highlight w:val="none"/>
              </w:rPr>
            </w:pPr>
          </w:p>
        </w:tc>
      </w:tr>
      <w:tr w14:paraId="2FA668FD">
        <w:tblPrEx>
          <w:tblCellMar>
            <w:top w:w="0" w:type="dxa"/>
            <w:left w:w="0" w:type="dxa"/>
            <w:bottom w:w="0" w:type="dxa"/>
            <w:right w:w="0" w:type="dxa"/>
          </w:tblCellMar>
        </w:tblPrEx>
        <w:trPr>
          <w:trHeight w:val="446" w:hRule="atLeast"/>
        </w:trPr>
        <w:tc>
          <w:tcPr>
            <w:tcW w:w="2700" w:type="dxa"/>
            <w:tcBorders>
              <w:top w:val="single" w:color="auto" w:sz="8" w:space="0"/>
              <w:left w:val="single" w:color="auto" w:sz="12" w:space="0"/>
              <w:bottom w:val="single" w:color="auto" w:sz="12" w:space="0"/>
              <w:right w:val="single" w:color="auto" w:sz="8" w:space="0"/>
            </w:tcBorders>
            <w:noWrap w:val="0"/>
            <w:vAlign w:val="center"/>
          </w:tcPr>
          <w:p w14:paraId="15154BF7">
            <w:pPr>
              <w:autoSpaceDE w:val="0"/>
              <w:autoSpaceDN w:val="0"/>
              <w:jc w:val="center"/>
              <w:rPr>
                <w:rFonts w:ascii="宋体" w:cs="宋体"/>
                <w:kern w:val="0"/>
                <w:sz w:val="24"/>
                <w:highlight w:val="none"/>
              </w:rPr>
            </w:pPr>
            <w:r>
              <w:rPr>
                <w:rFonts w:hint="eastAsia" w:ascii="宋体" w:cs="宋体"/>
                <w:kern w:val="0"/>
                <w:sz w:val="24"/>
                <w:highlight w:val="none"/>
              </w:rPr>
              <w:t>备注</w:t>
            </w:r>
          </w:p>
        </w:tc>
        <w:tc>
          <w:tcPr>
            <w:tcW w:w="6465" w:type="dxa"/>
            <w:tcBorders>
              <w:top w:val="single" w:color="auto" w:sz="8" w:space="0"/>
              <w:left w:val="single" w:color="auto" w:sz="8" w:space="0"/>
              <w:bottom w:val="single" w:color="auto" w:sz="12" w:space="0"/>
              <w:right w:val="single" w:color="auto" w:sz="12" w:space="0"/>
            </w:tcBorders>
            <w:noWrap w:val="0"/>
            <w:vAlign w:val="top"/>
          </w:tcPr>
          <w:p w14:paraId="6FFF23A1">
            <w:pPr>
              <w:autoSpaceDE w:val="0"/>
              <w:autoSpaceDN w:val="0"/>
              <w:rPr>
                <w:kern w:val="0"/>
                <w:sz w:val="24"/>
                <w:highlight w:val="none"/>
              </w:rPr>
            </w:pPr>
          </w:p>
        </w:tc>
      </w:tr>
    </w:tbl>
    <w:p w14:paraId="7FD44057">
      <w:pPr>
        <w:autoSpaceDE w:val="0"/>
        <w:autoSpaceDN w:val="0"/>
        <w:adjustRightInd w:val="0"/>
        <w:spacing w:line="160" w:lineRule="exact"/>
        <w:jc w:val="left"/>
        <w:rPr>
          <w:kern w:val="0"/>
          <w:sz w:val="24"/>
          <w:highlight w:val="none"/>
        </w:rPr>
      </w:pPr>
    </w:p>
    <w:p w14:paraId="3BA641AD">
      <w:pPr>
        <w:spacing w:line="360" w:lineRule="auto"/>
        <w:ind w:firstLine="420" w:firstLineChars="200"/>
        <w:rPr>
          <w:rFonts w:hAnsi="宋体" w:cs="仿宋"/>
          <w:szCs w:val="21"/>
          <w:highlight w:val="none"/>
        </w:rPr>
      </w:pPr>
      <w:r>
        <w:rPr>
          <w:rFonts w:hint="eastAsia" w:hAnsi="宋体" w:cs="仿宋"/>
          <w:szCs w:val="21"/>
          <w:highlight w:val="none"/>
        </w:rPr>
        <w:t>注：每个项目填写一张表</w:t>
      </w:r>
    </w:p>
    <w:p w14:paraId="63A9E9DC">
      <w:pPr>
        <w:spacing w:line="360" w:lineRule="auto"/>
        <w:ind w:left="420"/>
        <w:rPr>
          <w:rFonts w:hint="eastAsia" w:hAnsi="宋体" w:cs="仿宋"/>
          <w:szCs w:val="21"/>
          <w:highlight w:val="none"/>
        </w:rPr>
      </w:pPr>
      <w:r>
        <w:rPr>
          <w:rFonts w:hint="eastAsia" w:hAnsi="宋体" w:cs="仿宋"/>
          <w:szCs w:val="21"/>
          <w:highlight w:val="none"/>
        </w:rPr>
        <w:t>①</w:t>
      </w:r>
      <w:r>
        <w:rPr>
          <w:rFonts w:hint="eastAsia" w:hAnsi="宋体" w:cs="仿宋"/>
          <w:szCs w:val="21"/>
          <w:highlight w:val="none"/>
          <w:lang w:eastAsia="zh-CN"/>
        </w:rPr>
        <w:t>投标</w:t>
      </w:r>
      <w:r>
        <w:rPr>
          <w:rFonts w:hint="eastAsia" w:hAnsi="宋体" w:cs="仿宋"/>
          <w:szCs w:val="21"/>
          <w:highlight w:val="none"/>
        </w:rPr>
        <w:t>人应将</w:t>
      </w:r>
      <w:r>
        <w:rPr>
          <w:rFonts w:hint="eastAsia" w:hAnsi="宋体" w:cs="仿宋"/>
          <w:b/>
          <w:szCs w:val="21"/>
          <w:highlight w:val="none"/>
          <w:u w:val="single"/>
        </w:rPr>
        <w:t xml:space="preserve"> 2020年1月 </w:t>
      </w:r>
      <w:r>
        <w:rPr>
          <w:rFonts w:hint="eastAsia" w:hAnsi="宋体" w:cs="仿宋"/>
          <w:szCs w:val="21"/>
          <w:highlight w:val="none"/>
        </w:rPr>
        <w:t>以来已完成的类似项目情况填入本表中，</w:t>
      </w:r>
    </w:p>
    <w:p w14:paraId="39EDA93C">
      <w:pPr>
        <w:spacing w:line="360" w:lineRule="auto"/>
        <w:ind w:firstLine="420" w:firstLineChars="200"/>
        <w:rPr>
          <w:rFonts w:hAnsi="宋体" w:cs="仿宋"/>
          <w:szCs w:val="21"/>
          <w:highlight w:val="none"/>
        </w:rPr>
      </w:pPr>
      <w:r>
        <w:rPr>
          <w:rFonts w:hint="eastAsia" w:hAnsi="宋体" w:cs="仿宋"/>
          <w:szCs w:val="21"/>
          <w:highlight w:val="none"/>
        </w:rPr>
        <w:t>②</w:t>
      </w:r>
      <w:r>
        <w:rPr>
          <w:rFonts w:hAnsi="宋体" w:cs="仿宋"/>
          <w:szCs w:val="21"/>
          <w:highlight w:val="none"/>
        </w:rPr>
        <w:t>本表后须</w:t>
      </w:r>
      <w:r>
        <w:rPr>
          <w:rFonts w:hAnsi="宋体" w:cs="仿宋"/>
          <w:b/>
          <w:szCs w:val="21"/>
          <w:highlight w:val="none"/>
        </w:rPr>
        <w:t>应附合同协议书或委托书</w:t>
      </w:r>
      <w:r>
        <w:rPr>
          <w:rFonts w:hAnsi="宋体" w:cs="仿宋"/>
          <w:szCs w:val="21"/>
          <w:highlight w:val="none"/>
        </w:rPr>
        <w:t>等的</w:t>
      </w:r>
      <w:r>
        <w:rPr>
          <w:rFonts w:hint="eastAsia" w:hAnsi="宋体" w:cs="仿宋"/>
          <w:szCs w:val="21"/>
          <w:highlight w:val="none"/>
        </w:rPr>
        <w:t>扫描件</w:t>
      </w:r>
      <w:r>
        <w:rPr>
          <w:rFonts w:hAnsi="宋体" w:cs="仿宋"/>
          <w:szCs w:val="21"/>
          <w:highlight w:val="none"/>
        </w:rPr>
        <w:t>；</w:t>
      </w:r>
    </w:p>
    <w:p w14:paraId="336CE5F6">
      <w:pPr>
        <w:spacing w:line="360" w:lineRule="auto"/>
        <w:ind w:firstLine="420" w:firstLineChars="200"/>
        <w:rPr>
          <w:rFonts w:hint="eastAsia" w:hAnsi="宋体" w:cs="仿宋"/>
          <w:szCs w:val="21"/>
          <w:highlight w:val="none"/>
        </w:rPr>
      </w:pPr>
      <w:r>
        <w:rPr>
          <w:rFonts w:hint="eastAsia" w:hAnsi="宋体" w:cs="仿宋"/>
          <w:szCs w:val="21"/>
          <w:highlight w:val="none"/>
        </w:rPr>
        <w:t>③</w:t>
      </w:r>
      <w:r>
        <w:rPr>
          <w:rFonts w:hAnsi="宋体" w:cs="仿宋"/>
          <w:szCs w:val="21"/>
          <w:highlight w:val="none"/>
        </w:rPr>
        <w:t>近年来，</w:t>
      </w:r>
      <w:r>
        <w:rPr>
          <w:rFonts w:hint="eastAsia" w:hAnsi="宋体" w:cs="仿宋"/>
          <w:szCs w:val="21"/>
          <w:highlight w:val="none"/>
        </w:rPr>
        <w:t>供应商</w:t>
      </w:r>
      <w:r>
        <w:rPr>
          <w:rFonts w:hAnsi="宋体" w:cs="仿宋"/>
          <w:szCs w:val="21"/>
          <w:highlight w:val="none"/>
        </w:rPr>
        <w:t>法人机构发生合法变更或重组或法人名称变更时，应提供相关部门的合法批件及其他相关证明材料来证明其所附业绩的继承性；</w:t>
      </w:r>
    </w:p>
    <w:p w14:paraId="498917E4">
      <w:pPr>
        <w:spacing w:line="360" w:lineRule="auto"/>
        <w:ind w:firstLine="420" w:firstLineChars="200"/>
        <w:rPr>
          <w:rFonts w:hint="eastAsia" w:ascii="宋体" w:hAnsi="宋体"/>
          <w:sz w:val="24"/>
          <w:highlight w:val="none"/>
        </w:rPr>
      </w:pPr>
      <w:r>
        <w:rPr>
          <w:rFonts w:hint="eastAsia" w:hAnsi="宋体" w:cs="仿宋"/>
          <w:szCs w:val="21"/>
          <w:highlight w:val="none"/>
        </w:rPr>
        <w:t>④</w:t>
      </w:r>
      <w:r>
        <w:rPr>
          <w:rFonts w:hint="eastAsia" w:hAnsi="宋体" w:cs="仿宋"/>
          <w:highlight w:val="none"/>
        </w:rPr>
        <w:t>须附有效证明材料，有效证明材料具体要求见第四章评审办法。</w:t>
      </w:r>
    </w:p>
    <w:p w14:paraId="55804FF4">
      <w:pPr>
        <w:rPr>
          <w:rFonts w:hint="eastAsia" w:ascii="黑体" w:hAnsi="宋体" w:eastAsia="黑体"/>
          <w:sz w:val="24"/>
          <w:highlight w:val="none"/>
        </w:rPr>
      </w:pPr>
    </w:p>
    <w:p w14:paraId="46E15EAD">
      <w:pPr>
        <w:jc w:val="center"/>
        <w:outlineLvl w:val="3"/>
        <w:rPr>
          <w:rFonts w:hint="eastAsia" w:ascii="黑体" w:hAnsi="宋体" w:eastAsia="黑体"/>
          <w:sz w:val="24"/>
          <w:highlight w:val="none"/>
        </w:rPr>
      </w:pPr>
      <w:r>
        <w:rPr>
          <w:rFonts w:hint="eastAsia" w:ascii="宋体" w:hAnsi="宋体"/>
          <w:b/>
          <w:sz w:val="24"/>
          <w:highlight w:val="none"/>
        </w:rPr>
        <w:br w:type="page"/>
      </w:r>
      <w:r>
        <w:rPr>
          <w:rFonts w:hint="eastAsia" w:ascii="宋体" w:hAnsi="宋体"/>
          <w:b/>
          <w:sz w:val="24"/>
          <w:highlight w:val="none"/>
        </w:rPr>
        <w:t>3.</w:t>
      </w:r>
      <w:r>
        <w:rPr>
          <w:rFonts w:ascii="黑体" w:hAnsi="宋体" w:eastAsia="黑体"/>
          <w:sz w:val="24"/>
          <w:highlight w:val="none"/>
        </w:rPr>
        <w:t>正在进行或新承接的类似业绩情况表</w:t>
      </w:r>
    </w:p>
    <w:p w14:paraId="64DAFC85">
      <w:pPr>
        <w:jc w:val="center"/>
        <w:rPr>
          <w:rFonts w:hint="eastAsia" w:ascii="黑体" w:hAnsi="宋体" w:eastAsia="黑体"/>
          <w:sz w:val="24"/>
          <w:highlight w:val="none"/>
        </w:rPr>
      </w:pPr>
    </w:p>
    <w:tbl>
      <w:tblPr>
        <w:tblStyle w:val="25"/>
        <w:tblW w:w="0" w:type="auto"/>
        <w:tblInd w:w="0" w:type="dxa"/>
        <w:tblLayout w:type="fixed"/>
        <w:tblCellMar>
          <w:top w:w="0" w:type="dxa"/>
          <w:left w:w="0" w:type="dxa"/>
          <w:bottom w:w="0" w:type="dxa"/>
          <w:right w:w="0" w:type="dxa"/>
        </w:tblCellMar>
      </w:tblPr>
      <w:tblGrid>
        <w:gridCol w:w="1130"/>
        <w:gridCol w:w="1627"/>
        <w:gridCol w:w="1627"/>
        <w:gridCol w:w="1628"/>
        <w:gridCol w:w="1627"/>
        <w:gridCol w:w="1569"/>
      </w:tblGrid>
      <w:tr w14:paraId="7D46F8A0">
        <w:tblPrEx>
          <w:tblCellMar>
            <w:top w:w="0" w:type="dxa"/>
            <w:left w:w="0" w:type="dxa"/>
            <w:bottom w:w="0" w:type="dxa"/>
            <w:right w:w="0" w:type="dxa"/>
          </w:tblCellMar>
        </w:tblPrEx>
        <w:trPr>
          <w:trHeight w:val="432" w:hRule="atLeast"/>
        </w:trPr>
        <w:tc>
          <w:tcPr>
            <w:tcW w:w="1130" w:type="dxa"/>
            <w:tcBorders>
              <w:top w:val="single" w:color="auto" w:sz="12" w:space="0"/>
              <w:left w:val="single" w:color="auto" w:sz="12" w:space="0"/>
              <w:bottom w:val="single" w:color="auto" w:sz="8" w:space="0"/>
              <w:right w:val="single" w:color="auto" w:sz="8" w:space="0"/>
            </w:tcBorders>
            <w:noWrap w:val="0"/>
            <w:vAlign w:val="center"/>
          </w:tcPr>
          <w:p w14:paraId="6BCCBE0B">
            <w:pPr>
              <w:autoSpaceDE w:val="0"/>
              <w:autoSpaceDN w:val="0"/>
              <w:jc w:val="center"/>
              <w:rPr>
                <w:rFonts w:ascii="宋体" w:cs="宋体"/>
                <w:kern w:val="0"/>
                <w:sz w:val="24"/>
                <w:highlight w:val="none"/>
              </w:rPr>
            </w:pPr>
            <w:r>
              <w:rPr>
                <w:rFonts w:hint="eastAsia" w:ascii="宋体" w:cs="宋体"/>
                <w:kern w:val="0"/>
                <w:sz w:val="24"/>
                <w:highlight w:val="none"/>
              </w:rPr>
              <w:t>起讫时间</w:t>
            </w:r>
          </w:p>
        </w:tc>
        <w:tc>
          <w:tcPr>
            <w:tcW w:w="1627" w:type="dxa"/>
            <w:tcBorders>
              <w:top w:val="single" w:color="auto" w:sz="12" w:space="0"/>
              <w:left w:val="single" w:color="auto" w:sz="8" w:space="0"/>
              <w:bottom w:val="single" w:color="auto" w:sz="8" w:space="0"/>
              <w:right w:val="single" w:color="auto" w:sz="8" w:space="0"/>
            </w:tcBorders>
            <w:noWrap w:val="0"/>
            <w:vAlign w:val="center"/>
          </w:tcPr>
          <w:p w14:paraId="1AD4A08C">
            <w:pPr>
              <w:autoSpaceDE w:val="0"/>
              <w:autoSpaceDN w:val="0"/>
              <w:jc w:val="center"/>
              <w:rPr>
                <w:rFonts w:ascii="宋体" w:cs="宋体"/>
                <w:kern w:val="0"/>
                <w:sz w:val="24"/>
                <w:highlight w:val="none"/>
              </w:rPr>
            </w:pPr>
            <w:r>
              <w:rPr>
                <w:rFonts w:hint="eastAsia" w:ascii="宋体" w:cs="宋体"/>
                <w:kern w:val="0"/>
                <w:sz w:val="24"/>
                <w:highlight w:val="none"/>
              </w:rPr>
              <w:t>项目名称</w:t>
            </w:r>
          </w:p>
        </w:tc>
        <w:tc>
          <w:tcPr>
            <w:tcW w:w="1627" w:type="dxa"/>
            <w:tcBorders>
              <w:top w:val="single" w:color="auto" w:sz="12" w:space="0"/>
              <w:left w:val="single" w:color="auto" w:sz="8" w:space="0"/>
              <w:bottom w:val="single" w:color="auto" w:sz="8" w:space="0"/>
              <w:right w:val="single" w:color="auto" w:sz="8" w:space="0"/>
            </w:tcBorders>
            <w:noWrap w:val="0"/>
            <w:vAlign w:val="center"/>
          </w:tcPr>
          <w:p w14:paraId="640667AC">
            <w:pPr>
              <w:autoSpaceDE w:val="0"/>
              <w:autoSpaceDN w:val="0"/>
              <w:jc w:val="center"/>
              <w:rPr>
                <w:rFonts w:ascii="宋体" w:cs="宋体"/>
                <w:kern w:val="0"/>
                <w:sz w:val="24"/>
                <w:highlight w:val="none"/>
              </w:rPr>
            </w:pPr>
            <w:r>
              <w:rPr>
                <w:rFonts w:hint="eastAsia" w:ascii="宋体" w:cs="宋体"/>
                <w:kern w:val="0"/>
                <w:sz w:val="24"/>
                <w:highlight w:val="none"/>
              </w:rPr>
              <w:t>项目概况</w:t>
            </w:r>
          </w:p>
        </w:tc>
        <w:tc>
          <w:tcPr>
            <w:tcW w:w="1628" w:type="dxa"/>
            <w:tcBorders>
              <w:top w:val="single" w:color="auto" w:sz="12" w:space="0"/>
              <w:left w:val="single" w:color="auto" w:sz="8" w:space="0"/>
              <w:bottom w:val="single" w:color="auto" w:sz="8" w:space="0"/>
              <w:right w:val="single" w:color="auto" w:sz="8" w:space="0"/>
            </w:tcBorders>
            <w:noWrap w:val="0"/>
            <w:vAlign w:val="center"/>
          </w:tcPr>
          <w:p w14:paraId="53BBF2A6">
            <w:pPr>
              <w:autoSpaceDE w:val="0"/>
              <w:autoSpaceDN w:val="0"/>
              <w:jc w:val="center"/>
              <w:rPr>
                <w:rFonts w:ascii="宋体" w:cs="宋体"/>
                <w:kern w:val="0"/>
                <w:sz w:val="24"/>
                <w:highlight w:val="none"/>
              </w:rPr>
            </w:pPr>
            <w:r>
              <w:rPr>
                <w:rFonts w:hint="eastAsia" w:ascii="宋体" w:cs="宋体"/>
                <w:kern w:val="0"/>
                <w:sz w:val="24"/>
                <w:highlight w:val="none"/>
              </w:rPr>
              <w:t>建设单位</w:t>
            </w:r>
          </w:p>
        </w:tc>
        <w:tc>
          <w:tcPr>
            <w:tcW w:w="1627" w:type="dxa"/>
            <w:tcBorders>
              <w:top w:val="single" w:color="auto" w:sz="12" w:space="0"/>
              <w:left w:val="single" w:color="auto" w:sz="8" w:space="0"/>
              <w:bottom w:val="single" w:color="auto" w:sz="8" w:space="0"/>
              <w:right w:val="single" w:color="auto" w:sz="8" w:space="0"/>
            </w:tcBorders>
            <w:noWrap w:val="0"/>
            <w:vAlign w:val="center"/>
          </w:tcPr>
          <w:p w14:paraId="47444C00">
            <w:pPr>
              <w:autoSpaceDE w:val="0"/>
              <w:autoSpaceDN w:val="0"/>
              <w:jc w:val="center"/>
              <w:rPr>
                <w:rFonts w:hint="eastAsia" w:ascii="宋体" w:cs="宋体"/>
                <w:kern w:val="0"/>
                <w:sz w:val="24"/>
                <w:highlight w:val="none"/>
              </w:rPr>
            </w:pPr>
            <w:r>
              <w:rPr>
                <w:rFonts w:hint="eastAsia" w:ascii="宋体" w:cs="宋体"/>
                <w:kern w:val="0"/>
                <w:sz w:val="24"/>
                <w:highlight w:val="none"/>
              </w:rPr>
              <w:t>工程投资</w:t>
            </w:r>
          </w:p>
          <w:p w14:paraId="6EDFC563">
            <w:pPr>
              <w:autoSpaceDE w:val="0"/>
              <w:autoSpaceDN w:val="0"/>
              <w:jc w:val="center"/>
              <w:rPr>
                <w:rFonts w:hint="eastAsia" w:ascii="宋体" w:cs="宋体"/>
                <w:kern w:val="0"/>
                <w:sz w:val="24"/>
                <w:highlight w:val="none"/>
              </w:rPr>
            </w:pPr>
            <w:r>
              <w:rPr>
                <w:rFonts w:hint="eastAsia" w:ascii="宋体" w:cs="宋体"/>
                <w:kern w:val="0"/>
                <w:sz w:val="24"/>
                <w:highlight w:val="none"/>
              </w:rPr>
              <w:t>（万元）</w:t>
            </w:r>
          </w:p>
        </w:tc>
        <w:tc>
          <w:tcPr>
            <w:tcW w:w="1569" w:type="dxa"/>
            <w:tcBorders>
              <w:top w:val="single" w:color="auto" w:sz="12" w:space="0"/>
              <w:left w:val="single" w:color="auto" w:sz="8" w:space="0"/>
              <w:bottom w:val="single" w:color="auto" w:sz="8" w:space="0"/>
              <w:right w:val="single" w:color="auto" w:sz="12" w:space="0"/>
            </w:tcBorders>
            <w:noWrap w:val="0"/>
            <w:vAlign w:val="center"/>
          </w:tcPr>
          <w:p w14:paraId="77CEF962">
            <w:pPr>
              <w:autoSpaceDE w:val="0"/>
              <w:autoSpaceDN w:val="0"/>
              <w:jc w:val="center"/>
              <w:rPr>
                <w:rFonts w:ascii="宋体" w:cs="宋体"/>
                <w:kern w:val="0"/>
                <w:sz w:val="24"/>
                <w:highlight w:val="none"/>
              </w:rPr>
            </w:pPr>
            <w:r>
              <w:rPr>
                <w:rFonts w:hint="eastAsia" w:ascii="宋体" w:cs="宋体"/>
                <w:kern w:val="0"/>
                <w:sz w:val="24"/>
                <w:highlight w:val="none"/>
              </w:rPr>
              <w:t>备注</w:t>
            </w:r>
          </w:p>
        </w:tc>
      </w:tr>
      <w:tr w14:paraId="0C6376FB">
        <w:tblPrEx>
          <w:tblCellMar>
            <w:top w:w="0" w:type="dxa"/>
            <w:left w:w="0" w:type="dxa"/>
            <w:bottom w:w="0" w:type="dxa"/>
            <w:right w:w="0" w:type="dxa"/>
          </w:tblCellMar>
        </w:tblPrEx>
        <w:trPr>
          <w:trHeight w:val="453" w:hRule="atLeast"/>
        </w:trPr>
        <w:tc>
          <w:tcPr>
            <w:tcW w:w="1130" w:type="dxa"/>
            <w:tcBorders>
              <w:top w:val="single" w:color="auto" w:sz="8" w:space="0"/>
              <w:left w:val="single" w:color="auto" w:sz="12" w:space="0"/>
              <w:bottom w:val="single" w:color="auto" w:sz="8" w:space="0"/>
              <w:right w:val="single" w:color="auto" w:sz="8" w:space="0"/>
            </w:tcBorders>
            <w:noWrap w:val="0"/>
            <w:vAlign w:val="center"/>
          </w:tcPr>
          <w:p w14:paraId="3A6BA23A">
            <w:pPr>
              <w:autoSpaceDE w:val="0"/>
              <w:autoSpaceDN w:val="0"/>
              <w:jc w:val="center"/>
              <w:rPr>
                <w:kern w:val="0"/>
                <w:sz w:val="24"/>
                <w:highlight w:val="none"/>
              </w:rPr>
            </w:pPr>
          </w:p>
        </w:tc>
        <w:tc>
          <w:tcPr>
            <w:tcW w:w="1627" w:type="dxa"/>
            <w:tcBorders>
              <w:top w:val="single" w:color="auto" w:sz="8" w:space="0"/>
              <w:left w:val="single" w:color="auto" w:sz="8" w:space="0"/>
              <w:bottom w:val="single" w:color="auto" w:sz="8" w:space="0"/>
              <w:right w:val="single" w:color="auto" w:sz="8" w:space="0"/>
            </w:tcBorders>
            <w:noWrap w:val="0"/>
            <w:vAlign w:val="center"/>
          </w:tcPr>
          <w:p w14:paraId="5B2FD633">
            <w:pPr>
              <w:autoSpaceDE w:val="0"/>
              <w:autoSpaceDN w:val="0"/>
              <w:jc w:val="center"/>
              <w:rPr>
                <w:kern w:val="0"/>
                <w:sz w:val="24"/>
                <w:highlight w:val="none"/>
              </w:rPr>
            </w:pPr>
          </w:p>
        </w:tc>
        <w:tc>
          <w:tcPr>
            <w:tcW w:w="1627" w:type="dxa"/>
            <w:tcBorders>
              <w:top w:val="single" w:color="auto" w:sz="8" w:space="0"/>
              <w:left w:val="single" w:color="auto" w:sz="8" w:space="0"/>
              <w:bottom w:val="single" w:color="auto" w:sz="8" w:space="0"/>
              <w:right w:val="single" w:color="auto" w:sz="8" w:space="0"/>
            </w:tcBorders>
            <w:noWrap w:val="0"/>
            <w:vAlign w:val="center"/>
          </w:tcPr>
          <w:p w14:paraId="49E8DCDE">
            <w:pPr>
              <w:autoSpaceDE w:val="0"/>
              <w:autoSpaceDN w:val="0"/>
              <w:jc w:val="center"/>
              <w:rPr>
                <w:kern w:val="0"/>
                <w:sz w:val="24"/>
                <w:highlight w:val="none"/>
              </w:rPr>
            </w:pPr>
          </w:p>
        </w:tc>
        <w:tc>
          <w:tcPr>
            <w:tcW w:w="1628" w:type="dxa"/>
            <w:tcBorders>
              <w:top w:val="single" w:color="auto" w:sz="8" w:space="0"/>
              <w:left w:val="single" w:color="auto" w:sz="8" w:space="0"/>
              <w:bottom w:val="single" w:color="auto" w:sz="8" w:space="0"/>
              <w:right w:val="single" w:color="auto" w:sz="8" w:space="0"/>
            </w:tcBorders>
            <w:noWrap w:val="0"/>
            <w:vAlign w:val="center"/>
          </w:tcPr>
          <w:p w14:paraId="7476962B">
            <w:pPr>
              <w:autoSpaceDE w:val="0"/>
              <w:autoSpaceDN w:val="0"/>
              <w:jc w:val="center"/>
              <w:rPr>
                <w:kern w:val="0"/>
                <w:sz w:val="24"/>
                <w:highlight w:val="none"/>
              </w:rPr>
            </w:pPr>
          </w:p>
        </w:tc>
        <w:tc>
          <w:tcPr>
            <w:tcW w:w="1627" w:type="dxa"/>
            <w:tcBorders>
              <w:top w:val="single" w:color="auto" w:sz="8" w:space="0"/>
              <w:left w:val="single" w:color="auto" w:sz="8" w:space="0"/>
              <w:bottom w:val="single" w:color="auto" w:sz="8" w:space="0"/>
              <w:right w:val="single" w:color="auto" w:sz="8" w:space="0"/>
            </w:tcBorders>
            <w:noWrap w:val="0"/>
            <w:vAlign w:val="center"/>
          </w:tcPr>
          <w:p w14:paraId="4FCB67C4">
            <w:pPr>
              <w:autoSpaceDE w:val="0"/>
              <w:autoSpaceDN w:val="0"/>
              <w:jc w:val="center"/>
              <w:rPr>
                <w:kern w:val="0"/>
                <w:sz w:val="24"/>
                <w:highlight w:val="none"/>
              </w:rPr>
            </w:pPr>
          </w:p>
        </w:tc>
        <w:tc>
          <w:tcPr>
            <w:tcW w:w="1569" w:type="dxa"/>
            <w:tcBorders>
              <w:top w:val="single" w:color="auto" w:sz="8" w:space="0"/>
              <w:left w:val="single" w:color="auto" w:sz="8" w:space="0"/>
              <w:bottom w:val="single" w:color="auto" w:sz="8" w:space="0"/>
              <w:right w:val="single" w:color="auto" w:sz="12" w:space="0"/>
            </w:tcBorders>
            <w:noWrap w:val="0"/>
            <w:vAlign w:val="center"/>
          </w:tcPr>
          <w:p w14:paraId="2CCC224E">
            <w:pPr>
              <w:autoSpaceDE w:val="0"/>
              <w:autoSpaceDN w:val="0"/>
              <w:jc w:val="center"/>
              <w:rPr>
                <w:kern w:val="0"/>
                <w:sz w:val="24"/>
                <w:highlight w:val="none"/>
              </w:rPr>
            </w:pPr>
          </w:p>
        </w:tc>
      </w:tr>
      <w:tr w14:paraId="47F66DB8">
        <w:tblPrEx>
          <w:tblCellMar>
            <w:top w:w="0" w:type="dxa"/>
            <w:left w:w="0" w:type="dxa"/>
            <w:bottom w:w="0" w:type="dxa"/>
            <w:right w:w="0" w:type="dxa"/>
          </w:tblCellMar>
        </w:tblPrEx>
        <w:trPr>
          <w:trHeight w:val="453" w:hRule="atLeast"/>
        </w:trPr>
        <w:tc>
          <w:tcPr>
            <w:tcW w:w="1130" w:type="dxa"/>
            <w:tcBorders>
              <w:top w:val="single" w:color="auto" w:sz="8" w:space="0"/>
              <w:left w:val="single" w:color="auto" w:sz="12" w:space="0"/>
              <w:bottom w:val="single" w:color="auto" w:sz="8" w:space="0"/>
              <w:right w:val="single" w:color="auto" w:sz="8" w:space="0"/>
            </w:tcBorders>
            <w:noWrap w:val="0"/>
            <w:vAlign w:val="center"/>
          </w:tcPr>
          <w:p w14:paraId="186B00AC">
            <w:pPr>
              <w:autoSpaceDE w:val="0"/>
              <w:autoSpaceDN w:val="0"/>
              <w:jc w:val="center"/>
              <w:rPr>
                <w:kern w:val="0"/>
                <w:sz w:val="24"/>
                <w:highlight w:val="none"/>
              </w:rPr>
            </w:pPr>
          </w:p>
        </w:tc>
        <w:tc>
          <w:tcPr>
            <w:tcW w:w="1627" w:type="dxa"/>
            <w:tcBorders>
              <w:top w:val="single" w:color="auto" w:sz="8" w:space="0"/>
              <w:left w:val="single" w:color="auto" w:sz="8" w:space="0"/>
              <w:bottom w:val="single" w:color="auto" w:sz="8" w:space="0"/>
              <w:right w:val="single" w:color="auto" w:sz="8" w:space="0"/>
            </w:tcBorders>
            <w:noWrap w:val="0"/>
            <w:vAlign w:val="center"/>
          </w:tcPr>
          <w:p w14:paraId="589AE563">
            <w:pPr>
              <w:autoSpaceDE w:val="0"/>
              <w:autoSpaceDN w:val="0"/>
              <w:jc w:val="center"/>
              <w:rPr>
                <w:kern w:val="0"/>
                <w:sz w:val="24"/>
                <w:highlight w:val="none"/>
              </w:rPr>
            </w:pPr>
          </w:p>
        </w:tc>
        <w:tc>
          <w:tcPr>
            <w:tcW w:w="1627" w:type="dxa"/>
            <w:tcBorders>
              <w:top w:val="single" w:color="auto" w:sz="8" w:space="0"/>
              <w:left w:val="single" w:color="auto" w:sz="8" w:space="0"/>
              <w:bottom w:val="single" w:color="auto" w:sz="8" w:space="0"/>
              <w:right w:val="single" w:color="auto" w:sz="8" w:space="0"/>
            </w:tcBorders>
            <w:noWrap w:val="0"/>
            <w:vAlign w:val="center"/>
          </w:tcPr>
          <w:p w14:paraId="0F3CD597">
            <w:pPr>
              <w:autoSpaceDE w:val="0"/>
              <w:autoSpaceDN w:val="0"/>
              <w:jc w:val="center"/>
              <w:rPr>
                <w:kern w:val="0"/>
                <w:sz w:val="24"/>
                <w:highlight w:val="none"/>
              </w:rPr>
            </w:pPr>
          </w:p>
        </w:tc>
        <w:tc>
          <w:tcPr>
            <w:tcW w:w="1628" w:type="dxa"/>
            <w:tcBorders>
              <w:top w:val="single" w:color="auto" w:sz="8" w:space="0"/>
              <w:left w:val="single" w:color="auto" w:sz="8" w:space="0"/>
              <w:bottom w:val="single" w:color="auto" w:sz="8" w:space="0"/>
              <w:right w:val="single" w:color="auto" w:sz="8" w:space="0"/>
            </w:tcBorders>
            <w:noWrap w:val="0"/>
            <w:vAlign w:val="center"/>
          </w:tcPr>
          <w:p w14:paraId="6EBF18DF">
            <w:pPr>
              <w:autoSpaceDE w:val="0"/>
              <w:autoSpaceDN w:val="0"/>
              <w:jc w:val="center"/>
              <w:rPr>
                <w:kern w:val="0"/>
                <w:sz w:val="24"/>
                <w:highlight w:val="none"/>
              </w:rPr>
            </w:pPr>
          </w:p>
        </w:tc>
        <w:tc>
          <w:tcPr>
            <w:tcW w:w="1627" w:type="dxa"/>
            <w:tcBorders>
              <w:top w:val="single" w:color="auto" w:sz="8" w:space="0"/>
              <w:left w:val="single" w:color="auto" w:sz="8" w:space="0"/>
              <w:bottom w:val="single" w:color="auto" w:sz="8" w:space="0"/>
              <w:right w:val="single" w:color="auto" w:sz="8" w:space="0"/>
            </w:tcBorders>
            <w:noWrap w:val="0"/>
            <w:vAlign w:val="center"/>
          </w:tcPr>
          <w:p w14:paraId="7F58C679">
            <w:pPr>
              <w:autoSpaceDE w:val="0"/>
              <w:autoSpaceDN w:val="0"/>
              <w:jc w:val="center"/>
              <w:rPr>
                <w:kern w:val="0"/>
                <w:sz w:val="24"/>
                <w:highlight w:val="none"/>
              </w:rPr>
            </w:pPr>
          </w:p>
        </w:tc>
        <w:tc>
          <w:tcPr>
            <w:tcW w:w="1569" w:type="dxa"/>
            <w:tcBorders>
              <w:top w:val="single" w:color="auto" w:sz="8" w:space="0"/>
              <w:left w:val="single" w:color="auto" w:sz="8" w:space="0"/>
              <w:bottom w:val="single" w:color="auto" w:sz="8" w:space="0"/>
              <w:right w:val="single" w:color="auto" w:sz="12" w:space="0"/>
            </w:tcBorders>
            <w:noWrap w:val="0"/>
            <w:vAlign w:val="center"/>
          </w:tcPr>
          <w:p w14:paraId="4D993B41">
            <w:pPr>
              <w:autoSpaceDE w:val="0"/>
              <w:autoSpaceDN w:val="0"/>
              <w:jc w:val="center"/>
              <w:rPr>
                <w:kern w:val="0"/>
                <w:sz w:val="24"/>
                <w:highlight w:val="none"/>
              </w:rPr>
            </w:pPr>
          </w:p>
        </w:tc>
      </w:tr>
      <w:tr w14:paraId="388104C4">
        <w:tblPrEx>
          <w:tblCellMar>
            <w:top w:w="0" w:type="dxa"/>
            <w:left w:w="0" w:type="dxa"/>
            <w:bottom w:w="0" w:type="dxa"/>
            <w:right w:w="0" w:type="dxa"/>
          </w:tblCellMar>
        </w:tblPrEx>
        <w:trPr>
          <w:trHeight w:val="453" w:hRule="atLeast"/>
        </w:trPr>
        <w:tc>
          <w:tcPr>
            <w:tcW w:w="1130" w:type="dxa"/>
            <w:tcBorders>
              <w:top w:val="single" w:color="auto" w:sz="8" w:space="0"/>
              <w:left w:val="single" w:color="auto" w:sz="12" w:space="0"/>
              <w:bottom w:val="single" w:color="auto" w:sz="8" w:space="0"/>
              <w:right w:val="single" w:color="auto" w:sz="8" w:space="0"/>
            </w:tcBorders>
            <w:noWrap w:val="0"/>
            <w:vAlign w:val="center"/>
          </w:tcPr>
          <w:p w14:paraId="08EBF4C3">
            <w:pPr>
              <w:autoSpaceDE w:val="0"/>
              <w:autoSpaceDN w:val="0"/>
              <w:jc w:val="center"/>
              <w:rPr>
                <w:kern w:val="0"/>
                <w:sz w:val="24"/>
                <w:highlight w:val="none"/>
              </w:rPr>
            </w:pPr>
          </w:p>
        </w:tc>
        <w:tc>
          <w:tcPr>
            <w:tcW w:w="1627" w:type="dxa"/>
            <w:tcBorders>
              <w:top w:val="single" w:color="auto" w:sz="8" w:space="0"/>
              <w:left w:val="single" w:color="auto" w:sz="8" w:space="0"/>
              <w:bottom w:val="single" w:color="auto" w:sz="8" w:space="0"/>
              <w:right w:val="single" w:color="auto" w:sz="8" w:space="0"/>
            </w:tcBorders>
            <w:noWrap w:val="0"/>
            <w:vAlign w:val="center"/>
          </w:tcPr>
          <w:p w14:paraId="6B6A1F52">
            <w:pPr>
              <w:autoSpaceDE w:val="0"/>
              <w:autoSpaceDN w:val="0"/>
              <w:jc w:val="center"/>
              <w:rPr>
                <w:kern w:val="0"/>
                <w:sz w:val="24"/>
                <w:highlight w:val="none"/>
              </w:rPr>
            </w:pPr>
          </w:p>
        </w:tc>
        <w:tc>
          <w:tcPr>
            <w:tcW w:w="1627" w:type="dxa"/>
            <w:tcBorders>
              <w:top w:val="single" w:color="auto" w:sz="8" w:space="0"/>
              <w:left w:val="single" w:color="auto" w:sz="8" w:space="0"/>
              <w:bottom w:val="single" w:color="auto" w:sz="8" w:space="0"/>
              <w:right w:val="single" w:color="auto" w:sz="8" w:space="0"/>
            </w:tcBorders>
            <w:noWrap w:val="0"/>
            <w:vAlign w:val="center"/>
          </w:tcPr>
          <w:p w14:paraId="6ACE241C">
            <w:pPr>
              <w:autoSpaceDE w:val="0"/>
              <w:autoSpaceDN w:val="0"/>
              <w:jc w:val="center"/>
              <w:rPr>
                <w:kern w:val="0"/>
                <w:sz w:val="24"/>
                <w:highlight w:val="none"/>
              </w:rPr>
            </w:pPr>
          </w:p>
        </w:tc>
        <w:tc>
          <w:tcPr>
            <w:tcW w:w="1628" w:type="dxa"/>
            <w:tcBorders>
              <w:top w:val="single" w:color="auto" w:sz="8" w:space="0"/>
              <w:left w:val="single" w:color="auto" w:sz="8" w:space="0"/>
              <w:bottom w:val="single" w:color="auto" w:sz="8" w:space="0"/>
              <w:right w:val="single" w:color="auto" w:sz="8" w:space="0"/>
            </w:tcBorders>
            <w:noWrap w:val="0"/>
            <w:vAlign w:val="center"/>
          </w:tcPr>
          <w:p w14:paraId="2BBF058F">
            <w:pPr>
              <w:autoSpaceDE w:val="0"/>
              <w:autoSpaceDN w:val="0"/>
              <w:jc w:val="center"/>
              <w:rPr>
                <w:kern w:val="0"/>
                <w:sz w:val="24"/>
                <w:highlight w:val="none"/>
              </w:rPr>
            </w:pPr>
          </w:p>
        </w:tc>
        <w:tc>
          <w:tcPr>
            <w:tcW w:w="1627" w:type="dxa"/>
            <w:tcBorders>
              <w:top w:val="single" w:color="auto" w:sz="8" w:space="0"/>
              <w:left w:val="single" w:color="auto" w:sz="8" w:space="0"/>
              <w:bottom w:val="single" w:color="auto" w:sz="8" w:space="0"/>
              <w:right w:val="single" w:color="auto" w:sz="8" w:space="0"/>
            </w:tcBorders>
            <w:noWrap w:val="0"/>
            <w:vAlign w:val="center"/>
          </w:tcPr>
          <w:p w14:paraId="0D712A23">
            <w:pPr>
              <w:autoSpaceDE w:val="0"/>
              <w:autoSpaceDN w:val="0"/>
              <w:jc w:val="center"/>
              <w:rPr>
                <w:kern w:val="0"/>
                <w:sz w:val="24"/>
                <w:highlight w:val="none"/>
              </w:rPr>
            </w:pPr>
          </w:p>
        </w:tc>
        <w:tc>
          <w:tcPr>
            <w:tcW w:w="1569" w:type="dxa"/>
            <w:tcBorders>
              <w:top w:val="single" w:color="auto" w:sz="8" w:space="0"/>
              <w:left w:val="single" w:color="auto" w:sz="8" w:space="0"/>
              <w:bottom w:val="single" w:color="auto" w:sz="8" w:space="0"/>
              <w:right w:val="single" w:color="auto" w:sz="12" w:space="0"/>
            </w:tcBorders>
            <w:noWrap w:val="0"/>
            <w:vAlign w:val="center"/>
          </w:tcPr>
          <w:p w14:paraId="6175F1D6">
            <w:pPr>
              <w:autoSpaceDE w:val="0"/>
              <w:autoSpaceDN w:val="0"/>
              <w:jc w:val="center"/>
              <w:rPr>
                <w:kern w:val="0"/>
                <w:sz w:val="24"/>
                <w:highlight w:val="none"/>
              </w:rPr>
            </w:pPr>
          </w:p>
        </w:tc>
      </w:tr>
      <w:tr w14:paraId="15D7862E">
        <w:tblPrEx>
          <w:tblCellMar>
            <w:top w:w="0" w:type="dxa"/>
            <w:left w:w="0" w:type="dxa"/>
            <w:bottom w:w="0" w:type="dxa"/>
            <w:right w:w="0" w:type="dxa"/>
          </w:tblCellMar>
        </w:tblPrEx>
        <w:trPr>
          <w:trHeight w:val="453" w:hRule="atLeast"/>
        </w:trPr>
        <w:tc>
          <w:tcPr>
            <w:tcW w:w="1130" w:type="dxa"/>
            <w:tcBorders>
              <w:top w:val="single" w:color="auto" w:sz="8" w:space="0"/>
              <w:left w:val="single" w:color="auto" w:sz="12" w:space="0"/>
              <w:bottom w:val="single" w:color="auto" w:sz="8" w:space="0"/>
              <w:right w:val="single" w:color="auto" w:sz="8" w:space="0"/>
            </w:tcBorders>
            <w:noWrap w:val="0"/>
            <w:vAlign w:val="center"/>
          </w:tcPr>
          <w:p w14:paraId="23078761">
            <w:pPr>
              <w:autoSpaceDE w:val="0"/>
              <w:autoSpaceDN w:val="0"/>
              <w:jc w:val="center"/>
              <w:rPr>
                <w:kern w:val="0"/>
                <w:sz w:val="24"/>
                <w:highlight w:val="none"/>
              </w:rPr>
            </w:pPr>
          </w:p>
        </w:tc>
        <w:tc>
          <w:tcPr>
            <w:tcW w:w="1627" w:type="dxa"/>
            <w:tcBorders>
              <w:top w:val="single" w:color="auto" w:sz="8" w:space="0"/>
              <w:left w:val="single" w:color="auto" w:sz="8" w:space="0"/>
              <w:bottom w:val="single" w:color="auto" w:sz="8" w:space="0"/>
              <w:right w:val="single" w:color="auto" w:sz="8" w:space="0"/>
            </w:tcBorders>
            <w:noWrap w:val="0"/>
            <w:vAlign w:val="center"/>
          </w:tcPr>
          <w:p w14:paraId="095BEE8B">
            <w:pPr>
              <w:autoSpaceDE w:val="0"/>
              <w:autoSpaceDN w:val="0"/>
              <w:jc w:val="center"/>
              <w:rPr>
                <w:kern w:val="0"/>
                <w:sz w:val="24"/>
                <w:highlight w:val="none"/>
              </w:rPr>
            </w:pPr>
          </w:p>
        </w:tc>
        <w:tc>
          <w:tcPr>
            <w:tcW w:w="1627" w:type="dxa"/>
            <w:tcBorders>
              <w:top w:val="single" w:color="auto" w:sz="8" w:space="0"/>
              <w:left w:val="single" w:color="auto" w:sz="8" w:space="0"/>
              <w:bottom w:val="single" w:color="auto" w:sz="8" w:space="0"/>
              <w:right w:val="single" w:color="auto" w:sz="8" w:space="0"/>
            </w:tcBorders>
            <w:noWrap w:val="0"/>
            <w:vAlign w:val="center"/>
          </w:tcPr>
          <w:p w14:paraId="307422B6">
            <w:pPr>
              <w:autoSpaceDE w:val="0"/>
              <w:autoSpaceDN w:val="0"/>
              <w:jc w:val="center"/>
              <w:rPr>
                <w:kern w:val="0"/>
                <w:sz w:val="24"/>
                <w:highlight w:val="none"/>
              </w:rPr>
            </w:pPr>
          </w:p>
        </w:tc>
        <w:tc>
          <w:tcPr>
            <w:tcW w:w="1628" w:type="dxa"/>
            <w:tcBorders>
              <w:top w:val="single" w:color="auto" w:sz="8" w:space="0"/>
              <w:left w:val="single" w:color="auto" w:sz="8" w:space="0"/>
              <w:bottom w:val="single" w:color="auto" w:sz="8" w:space="0"/>
              <w:right w:val="single" w:color="auto" w:sz="8" w:space="0"/>
            </w:tcBorders>
            <w:noWrap w:val="0"/>
            <w:vAlign w:val="center"/>
          </w:tcPr>
          <w:p w14:paraId="2E147EEB">
            <w:pPr>
              <w:autoSpaceDE w:val="0"/>
              <w:autoSpaceDN w:val="0"/>
              <w:jc w:val="center"/>
              <w:rPr>
                <w:kern w:val="0"/>
                <w:sz w:val="24"/>
                <w:highlight w:val="none"/>
              </w:rPr>
            </w:pPr>
          </w:p>
        </w:tc>
        <w:tc>
          <w:tcPr>
            <w:tcW w:w="1627" w:type="dxa"/>
            <w:tcBorders>
              <w:top w:val="single" w:color="auto" w:sz="8" w:space="0"/>
              <w:left w:val="single" w:color="auto" w:sz="8" w:space="0"/>
              <w:bottom w:val="single" w:color="auto" w:sz="8" w:space="0"/>
              <w:right w:val="single" w:color="auto" w:sz="8" w:space="0"/>
            </w:tcBorders>
            <w:noWrap w:val="0"/>
            <w:vAlign w:val="center"/>
          </w:tcPr>
          <w:p w14:paraId="2FAE8A64">
            <w:pPr>
              <w:autoSpaceDE w:val="0"/>
              <w:autoSpaceDN w:val="0"/>
              <w:jc w:val="center"/>
              <w:rPr>
                <w:kern w:val="0"/>
                <w:sz w:val="24"/>
                <w:highlight w:val="none"/>
              </w:rPr>
            </w:pPr>
          </w:p>
        </w:tc>
        <w:tc>
          <w:tcPr>
            <w:tcW w:w="1569" w:type="dxa"/>
            <w:tcBorders>
              <w:top w:val="single" w:color="auto" w:sz="8" w:space="0"/>
              <w:left w:val="single" w:color="auto" w:sz="8" w:space="0"/>
              <w:bottom w:val="single" w:color="auto" w:sz="8" w:space="0"/>
              <w:right w:val="single" w:color="auto" w:sz="12" w:space="0"/>
            </w:tcBorders>
            <w:noWrap w:val="0"/>
            <w:vAlign w:val="center"/>
          </w:tcPr>
          <w:p w14:paraId="188A2AFD">
            <w:pPr>
              <w:autoSpaceDE w:val="0"/>
              <w:autoSpaceDN w:val="0"/>
              <w:jc w:val="center"/>
              <w:rPr>
                <w:kern w:val="0"/>
                <w:sz w:val="24"/>
                <w:highlight w:val="none"/>
              </w:rPr>
            </w:pPr>
          </w:p>
        </w:tc>
      </w:tr>
      <w:tr w14:paraId="0E25CF0A">
        <w:tblPrEx>
          <w:tblCellMar>
            <w:top w:w="0" w:type="dxa"/>
            <w:left w:w="0" w:type="dxa"/>
            <w:bottom w:w="0" w:type="dxa"/>
            <w:right w:w="0" w:type="dxa"/>
          </w:tblCellMar>
        </w:tblPrEx>
        <w:trPr>
          <w:trHeight w:val="453" w:hRule="atLeast"/>
        </w:trPr>
        <w:tc>
          <w:tcPr>
            <w:tcW w:w="1130" w:type="dxa"/>
            <w:tcBorders>
              <w:top w:val="single" w:color="auto" w:sz="8" w:space="0"/>
              <w:left w:val="single" w:color="auto" w:sz="12" w:space="0"/>
              <w:bottom w:val="single" w:color="auto" w:sz="8" w:space="0"/>
              <w:right w:val="single" w:color="auto" w:sz="8" w:space="0"/>
            </w:tcBorders>
            <w:noWrap w:val="0"/>
            <w:vAlign w:val="center"/>
          </w:tcPr>
          <w:p w14:paraId="7F71FAFC">
            <w:pPr>
              <w:autoSpaceDE w:val="0"/>
              <w:autoSpaceDN w:val="0"/>
              <w:jc w:val="center"/>
              <w:rPr>
                <w:kern w:val="0"/>
                <w:sz w:val="24"/>
                <w:highlight w:val="none"/>
              </w:rPr>
            </w:pPr>
          </w:p>
        </w:tc>
        <w:tc>
          <w:tcPr>
            <w:tcW w:w="1627" w:type="dxa"/>
            <w:tcBorders>
              <w:top w:val="single" w:color="auto" w:sz="8" w:space="0"/>
              <w:left w:val="single" w:color="auto" w:sz="8" w:space="0"/>
              <w:bottom w:val="single" w:color="auto" w:sz="8" w:space="0"/>
              <w:right w:val="single" w:color="auto" w:sz="8" w:space="0"/>
            </w:tcBorders>
            <w:noWrap w:val="0"/>
            <w:vAlign w:val="center"/>
          </w:tcPr>
          <w:p w14:paraId="27CC8DE0">
            <w:pPr>
              <w:autoSpaceDE w:val="0"/>
              <w:autoSpaceDN w:val="0"/>
              <w:jc w:val="center"/>
              <w:rPr>
                <w:kern w:val="0"/>
                <w:sz w:val="24"/>
                <w:highlight w:val="none"/>
              </w:rPr>
            </w:pPr>
          </w:p>
        </w:tc>
        <w:tc>
          <w:tcPr>
            <w:tcW w:w="1627" w:type="dxa"/>
            <w:tcBorders>
              <w:top w:val="single" w:color="auto" w:sz="8" w:space="0"/>
              <w:left w:val="single" w:color="auto" w:sz="8" w:space="0"/>
              <w:bottom w:val="single" w:color="auto" w:sz="8" w:space="0"/>
              <w:right w:val="single" w:color="auto" w:sz="8" w:space="0"/>
            </w:tcBorders>
            <w:noWrap w:val="0"/>
            <w:vAlign w:val="center"/>
          </w:tcPr>
          <w:p w14:paraId="2C785820">
            <w:pPr>
              <w:autoSpaceDE w:val="0"/>
              <w:autoSpaceDN w:val="0"/>
              <w:jc w:val="center"/>
              <w:rPr>
                <w:kern w:val="0"/>
                <w:sz w:val="24"/>
                <w:highlight w:val="none"/>
              </w:rPr>
            </w:pPr>
          </w:p>
        </w:tc>
        <w:tc>
          <w:tcPr>
            <w:tcW w:w="1628" w:type="dxa"/>
            <w:tcBorders>
              <w:top w:val="single" w:color="auto" w:sz="8" w:space="0"/>
              <w:left w:val="single" w:color="auto" w:sz="8" w:space="0"/>
              <w:bottom w:val="single" w:color="auto" w:sz="8" w:space="0"/>
              <w:right w:val="single" w:color="auto" w:sz="8" w:space="0"/>
            </w:tcBorders>
            <w:noWrap w:val="0"/>
            <w:vAlign w:val="center"/>
          </w:tcPr>
          <w:p w14:paraId="764B9083">
            <w:pPr>
              <w:autoSpaceDE w:val="0"/>
              <w:autoSpaceDN w:val="0"/>
              <w:jc w:val="center"/>
              <w:rPr>
                <w:kern w:val="0"/>
                <w:sz w:val="24"/>
                <w:highlight w:val="none"/>
              </w:rPr>
            </w:pPr>
          </w:p>
        </w:tc>
        <w:tc>
          <w:tcPr>
            <w:tcW w:w="1627" w:type="dxa"/>
            <w:tcBorders>
              <w:top w:val="single" w:color="auto" w:sz="8" w:space="0"/>
              <w:left w:val="single" w:color="auto" w:sz="8" w:space="0"/>
              <w:bottom w:val="single" w:color="auto" w:sz="8" w:space="0"/>
              <w:right w:val="single" w:color="auto" w:sz="8" w:space="0"/>
            </w:tcBorders>
            <w:noWrap w:val="0"/>
            <w:vAlign w:val="center"/>
          </w:tcPr>
          <w:p w14:paraId="3BBD41DE">
            <w:pPr>
              <w:autoSpaceDE w:val="0"/>
              <w:autoSpaceDN w:val="0"/>
              <w:jc w:val="center"/>
              <w:rPr>
                <w:kern w:val="0"/>
                <w:sz w:val="24"/>
                <w:highlight w:val="none"/>
              </w:rPr>
            </w:pPr>
          </w:p>
        </w:tc>
        <w:tc>
          <w:tcPr>
            <w:tcW w:w="1569" w:type="dxa"/>
            <w:tcBorders>
              <w:top w:val="single" w:color="auto" w:sz="8" w:space="0"/>
              <w:left w:val="single" w:color="auto" w:sz="8" w:space="0"/>
              <w:bottom w:val="single" w:color="auto" w:sz="8" w:space="0"/>
              <w:right w:val="single" w:color="auto" w:sz="12" w:space="0"/>
            </w:tcBorders>
            <w:noWrap w:val="0"/>
            <w:vAlign w:val="center"/>
          </w:tcPr>
          <w:p w14:paraId="035D417C">
            <w:pPr>
              <w:autoSpaceDE w:val="0"/>
              <w:autoSpaceDN w:val="0"/>
              <w:jc w:val="center"/>
              <w:rPr>
                <w:kern w:val="0"/>
                <w:sz w:val="24"/>
                <w:highlight w:val="none"/>
              </w:rPr>
            </w:pPr>
          </w:p>
        </w:tc>
      </w:tr>
      <w:tr w14:paraId="27AFBE48">
        <w:tblPrEx>
          <w:tblCellMar>
            <w:top w:w="0" w:type="dxa"/>
            <w:left w:w="0" w:type="dxa"/>
            <w:bottom w:w="0" w:type="dxa"/>
            <w:right w:w="0" w:type="dxa"/>
          </w:tblCellMar>
        </w:tblPrEx>
        <w:trPr>
          <w:trHeight w:val="446" w:hRule="atLeast"/>
        </w:trPr>
        <w:tc>
          <w:tcPr>
            <w:tcW w:w="1130" w:type="dxa"/>
            <w:tcBorders>
              <w:top w:val="single" w:color="auto" w:sz="8" w:space="0"/>
              <w:left w:val="single" w:color="auto" w:sz="12" w:space="0"/>
              <w:bottom w:val="single" w:color="auto" w:sz="8" w:space="0"/>
              <w:right w:val="single" w:color="auto" w:sz="8" w:space="0"/>
            </w:tcBorders>
            <w:noWrap w:val="0"/>
            <w:vAlign w:val="center"/>
          </w:tcPr>
          <w:p w14:paraId="766F1C5F">
            <w:pPr>
              <w:autoSpaceDE w:val="0"/>
              <w:autoSpaceDN w:val="0"/>
              <w:jc w:val="center"/>
              <w:rPr>
                <w:kern w:val="0"/>
                <w:sz w:val="24"/>
                <w:highlight w:val="none"/>
              </w:rPr>
            </w:pPr>
          </w:p>
        </w:tc>
        <w:tc>
          <w:tcPr>
            <w:tcW w:w="1627" w:type="dxa"/>
            <w:tcBorders>
              <w:top w:val="single" w:color="auto" w:sz="8" w:space="0"/>
              <w:left w:val="single" w:color="auto" w:sz="8" w:space="0"/>
              <w:bottom w:val="single" w:color="auto" w:sz="8" w:space="0"/>
              <w:right w:val="single" w:color="auto" w:sz="8" w:space="0"/>
            </w:tcBorders>
            <w:noWrap w:val="0"/>
            <w:vAlign w:val="center"/>
          </w:tcPr>
          <w:p w14:paraId="3D61472D">
            <w:pPr>
              <w:autoSpaceDE w:val="0"/>
              <w:autoSpaceDN w:val="0"/>
              <w:jc w:val="center"/>
              <w:rPr>
                <w:kern w:val="0"/>
                <w:sz w:val="24"/>
                <w:highlight w:val="none"/>
              </w:rPr>
            </w:pPr>
          </w:p>
        </w:tc>
        <w:tc>
          <w:tcPr>
            <w:tcW w:w="1627" w:type="dxa"/>
            <w:tcBorders>
              <w:top w:val="single" w:color="auto" w:sz="8" w:space="0"/>
              <w:left w:val="single" w:color="auto" w:sz="8" w:space="0"/>
              <w:bottom w:val="single" w:color="auto" w:sz="8" w:space="0"/>
              <w:right w:val="single" w:color="auto" w:sz="8" w:space="0"/>
            </w:tcBorders>
            <w:noWrap w:val="0"/>
            <w:vAlign w:val="center"/>
          </w:tcPr>
          <w:p w14:paraId="3A650283">
            <w:pPr>
              <w:autoSpaceDE w:val="0"/>
              <w:autoSpaceDN w:val="0"/>
              <w:jc w:val="center"/>
              <w:rPr>
                <w:rFonts w:ascii="宋体" w:cs="宋体"/>
                <w:kern w:val="0"/>
                <w:sz w:val="24"/>
                <w:highlight w:val="none"/>
              </w:rPr>
            </w:pPr>
            <w:r>
              <w:rPr>
                <w:rFonts w:ascii="宋体" w:cs="宋体"/>
                <w:kern w:val="0"/>
                <w:sz w:val="24"/>
                <w:highlight w:val="none"/>
              </w:rPr>
              <w:t xml:space="preserve">    </w:t>
            </w:r>
          </w:p>
        </w:tc>
        <w:tc>
          <w:tcPr>
            <w:tcW w:w="1628" w:type="dxa"/>
            <w:tcBorders>
              <w:top w:val="single" w:color="auto" w:sz="8" w:space="0"/>
              <w:left w:val="single" w:color="auto" w:sz="8" w:space="0"/>
              <w:bottom w:val="single" w:color="auto" w:sz="8" w:space="0"/>
              <w:right w:val="single" w:color="auto" w:sz="8" w:space="0"/>
            </w:tcBorders>
            <w:noWrap w:val="0"/>
            <w:vAlign w:val="center"/>
          </w:tcPr>
          <w:p w14:paraId="20B7184D">
            <w:pPr>
              <w:autoSpaceDE w:val="0"/>
              <w:autoSpaceDN w:val="0"/>
              <w:jc w:val="center"/>
              <w:rPr>
                <w:kern w:val="0"/>
                <w:sz w:val="24"/>
                <w:highlight w:val="none"/>
              </w:rPr>
            </w:pPr>
          </w:p>
        </w:tc>
        <w:tc>
          <w:tcPr>
            <w:tcW w:w="1627" w:type="dxa"/>
            <w:tcBorders>
              <w:top w:val="single" w:color="auto" w:sz="8" w:space="0"/>
              <w:left w:val="single" w:color="auto" w:sz="8" w:space="0"/>
              <w:bottom w:val="single" w:color="auto" w:sz="8" w:space="0"/>
              <w:right w:val="single" w:color="auto" w:sz="8" w:space="0"/>
            </w:tcBorders>
            <w:noWrap w:val="0"/>
            <w:vAlign w:val="center"/>
          </w:tcPr>
          <w:p w14:paraId="054D26FD">
            <w:pPr>
              <w:autoSpaceDE w:val="0"/>
              <w:autoSpaceDN w:val="0"/>
              <w:jc w:val="center"/>
              <w:rPr>
                <w:kern w:val="0"/>
                <w:sz w:val="24"/>
                <w:highlight w:val="none"/>
              </w:rPr>
            </w:pPr>
          </w:p>
        </w:tc>
        <w:tc>
          <w:tcPr>
            <w:tcW w:w="1569" w:type="dxa"/>
            <w:tcBorders>
              <w:top w:val="single" w:color="auto" w:sz="8" w:space="0"/>
              <w:left w:val="single" w:color="auto" w:sz="8" w:space="0"/>
              <w:bottom w:val="single" w:color="auto" w:sz="8" w:space="0"/>
              <w:right w:val="single" w:color="auto" w:sz="12" w:space="0"/>
            </w:tcBorders>
            <w:noWrap w:val="0"/>
            <w:vAlign w:val="center"/>
          </w:tcPr>
          <w:p w14:paraId="1C3BD26F">
            <w:pPr>
              <w:autoSpaceDE w:val="0"/>
              <w:autoSpaceDN w:val="0"/>
              <w:jc w:val="center"/>
              <w:rPr>
                <w:kern w:val="0"/>
                <w:sz w:val="24"/>
                <w:highlight w:val="none"/>
              </w:rPr>
            </w:pPr>
          </w:p>
        </w:tc>
      </w:tr>
      <w:tr w14:paraId="48BAD657">
        <w:tblPrEx>
          <w:tblCellMar>
            <w:top w:w="0" w:type="dxa"/>
            <w:left w:w="0" w:type="dxa"/>
            <w:bottom w:w="0" w:type="dxa"/>
            <w:right w:w="0" w:type="dxa"/>
          </w:tblCellMar>
        </w:tblPrEx>
        <w:trPr>
          <w:trHeight w:val="453" w:hRule="atLeast"/>
        </w:trPr>
        <w:tc>
          <w:tcPr>
            <w:tcW w:w="1130" w:type="dxa"/>
            <w:tcBorders>
              <w:top w:val="single" w:color="auto" w:sz="8" w:space="0"/>
              <w:left w:val="single" w:color="auto" w:sz="12" w:space="0"/>
              <w:bottom w:val="single" w:color="auto" w:sz="8" w:space="0"/>
              <w:right w:val="single" w:color="auto" w:sz="8" w:space="0"/>
            </w:tcBorders>
            <w:noWrap w:val="0"/>
            <w:vAlign w:val="center"/>
          </w:tcPr>
          <w:p w14:paraId="55B41749">
            <w:pPr>
              <w:autoSpaceDE w:val="0"/>
              <w:autoSpaceDN w:val="0"/>
              <w:jc w:val="center"/>
              <w:rPr>
                <w:kern w:val="0"/>
                <w:sz w:val="24"/>
                <w:highlight w:val="none"/>
              </w:rPr>
            </w:pPr>
          </w:p>
        </w:tc>
        <w:tc>
          <w:tcPr>
            <w:tcW w:w="1627" w:type="dxa"/>
            <w:tcBorders>
              <w:top w:val="single" w:color="auto" w:sz="8" w:space="0"/>
              <w:left w:val="single" w:color="auto" w:sz="8" w:space="0"/>
              <w:bottom w:val="single" w:color="auto" w:sz="8" w:space="0"/>
              <w:right w:val="single" w:color="auto" w:sz="8" w:space="0"/>
            </w:tcBorders>
            <w:noWrap w:val="0"/>
            <w:vAlign w:val="center"/>
          </w:tcPr>
          <w:p w14:paraId="13CDA8BE">
            <w:pPr>
              <w:autoSpaceDE w:val="0"/>
              <w:autoSpaceDN w:val="0"/>
              <w:jc w:val="center"/>
              <w:rPr>
                <w:kern w:val="0"/>
                <w:sz w:val="24"/>
                <w:highlight w:val="none"/>
              </w:rPr>
            </w:pPr>
          </w:p>
        </w:tc>
        <w:tc>
          <w:tcPr>
            <w:tcW w:w="1627" w:type="dxa"/>
            <w:tcBorders>
              <w:top w:val="single" w:color="auto" w:sz="8" w:space="0"/>
              <w:left w:val="single" w:color="auto" w:sz="8" w:space="0"/>
              <w:bottom w:val="single" w:color="auto" w:sz="8" w:space="0"/>
              <w:right w:val="single" w:color="auto" w:sz="8" w:space="0"/>
            </w:tcBorders>
            <w:noWrap w:val="0"/>
            <w:vAlign w:val="center"/>
          </w:tcPr>
          <w:p w14:paraId="768B309B">
            <w:pPr>
              <w:autoSpaceDE w:val="0"/>
              <w:autoSpaceDN w:val="0"/>
              <w:jc w:val="center"/>
              <w:rPr>
                <w:kern w:val="0"/>
                <w:sz w:val="24"/>
                <w:highlight w:val="none"/>
              </w:rPr>
            </w:pPr>
          </w:p>
        </w:tc>
        <w:tc>
          <w:tcPr>
            <w:tcW w:w="1628" w:type="dxa"/>
            <w:tcBorders>
              <w:top w:val="single" w:color="auto" w:sz="8" w:space="0"/>
              <w:left w:val="single" w:color="auto" w:sz="8" w:space="0"/>
              <w:bottom w:val="single" w:color="auto" w:sz="8" w:space="0"/>
              <w:right w:val="single" w:color="auto" w:sz="8" w:space="0"/>
            </w:tcBorders>
            <w:noWrap w:val="0"/>
            <w:vAlign w:val="center"/>
          </w:tcPr>
          <w:p w14:paraId="5C449788">
            <w:pPr>
              <w:autoSpaceDE w:val="0"/>
              <w:autoSpaceDN w:val="0"/>
              <w:jc w:val="center"/>
              <w:rPr>
                <w:kern w:val="0"/>
                <w:sz w:val="24"/>
                <w:highlight w:val="none"/>
              </w:rPr>
            </w:pPr>
          </w:p>
        </w:tc>
        <w:tc>
          <w:tcPr>
            <w:tcW w:w="1627" w:type="dxa"/>
            <w:tcBorders>
              <w:top w:val="single" w:color="auto" w:sz="8" w:space="0"/>
              <w:left w:val="single" w:color="auto" w:sz="8" w:space="0"/>
              <w:bottom w:val="single" w:color="auto" w:sz="8" w:space="0"/>
              <w:right w:val="single" w:color="auto" w:sz="8" w:space="0"/>
            </w:tcBorders>
            <w:noWrap w:val="0"/>
            <w:vAlign w:val="center"/>
          </w:tcPr>
          <w:p w14:paraId="43313805">
            <w:pPr>
              <w:autoSpaceDE w:val="0"/>
              <w:autoSpaceDN w:val="0"/>
              <w:jc w:val="center"/>
              <w:rPr>
                <w:kern w:val="0"/>
                <w:sz w:val="24"/>
                <w:highlight w:val="none"/>
              </w:rPr>
            </w:pPr>
          </w:p>
        </w:tc>
        <w:tc>
          <w:tcPr>
            <w:tcW w:w="1569" w:type="dxa"/>
            <w:tcBorders>
              <w:top w:val="single" w:color="auto" w:sz="8" w:space="0"/>
              <w:left w:val="single" w:color="auto" w:sz="8" w:space="0"/>
              <w:bottom w:val="single" w:color="auto" w:sz="8" w:space="0"/>
              <w:right w:val="single" w:color="auto" w:sz="12" w:space="0"/>
            </w:tcBorders>
            <w:noWrap w:val="0"/>
            <w:vAlign w:val="center"/>
          </w:tcPr>
          <w:p w14:paraId="42570DE3">
            <w:pPr>
              <w:autoSpaceDE w:val="0"/>
              <w:autoSpaceDN w:val="0"/>
              <w:jc w:val="center"/>
              <w:rPr>
                <w:kern w:val="0"/>
                <w:sz w:val="24"/>
                <w:highlight w:val="none"/>
              </w:rPr>
            </w:pPr>
          </w:p>
        </w:tc>
      </w:tr>
      <w:tr w14:paraId="23DDD9C9">
        <w:tblPrEx>
          <w:tblCellMar>
            <w:top w:w="0" w:type="dxa"/>
            <w:left w:w="0" w:type="dxa"/>
            <w:bottom w:w="0" w:type="dxa"/>
            <w:right w:w="0" w:type="dxa"/>
          </w:tblCellMar>
        </w:tblPrEx>
        <w:trPr>
          <w:trHeight w:val="453" w:hRule="atLeast"/>
        </w:trPr>
        <w:tc>
          <w:tcPr>
            <w:tcW w:w="1130" w:type="dxa"/>
            <w:tcBorders>
              <w:top w:val="single" w:color="auto" w:sz="8" w:space="0"/>
              <w:left w:val="single" w:color="auto" w:sz="12" w:space="0"/>
              <w:bottom w:val="single" w:color="auto" w:sz="8" w:space="0"/>
              <w:right w:val="single" w:color="auto" w:sz="8" w:space="0"/>
            </w:tcBorders>
            <w:noWrap w:val="0"/>
            <w:vAlign w:val="center"/>
          </w:tcPr>
          <w:p w14:paraId="6E45A9B6">
            <w:pPr>
              <w:autoSpaceDE w:val="0"/>
              <w:autoSpaceDN w:val="0"/>
              <w:jc w:val="center"/>
              <w:rPr>
                <w:kern w:val="0"/>
                <w:sz w:val="24"/>
                <w:highlight w:val="none"/>
              </w:rPr>
            </w:pPr>
          </w:p>
        </w:tc>
        <w:tc>
          <w:tcPr>
            <w:tcW w:w="1627" w:type="dxa"/>
            <w:tcBorders>
              <w:top w:val="single" w:color="auto" w:sz="8" w:space="0"/>
              <w:left w:val="single" w:color="auto" w:sz="8" w:space="0"/>
              <w:bottom w:val="single" w:color="auto" w:sz="8" w:space="0"/>
              <w:right w:val="single" w:color="auto" w:sz="8" w:space="0"/>
            </w:tcBorders>
            <w:noWrap w:val="0"/>
            <w:vAlign w:val="center"/>
          </w:tcPr>
          <w:p w14:paraId="5BA288A7">
            <w:pPr>
              <w:autoSpaceDE w:val="0"/>
              <w:autoSpaceDN w:val="0"/>
              <w:jc w:val="center"/>
              <w:rPr>
                <w:kern w:val="0"/>
                <w:sz w:val="24"/>
                <w:highlight w:val="none"/>
              </w:rPr>
            </w:pPr>
          </w:p>
        </w:tc>
        <w:tc>
          <w:tcPr>
            <w:tcW w:w="1627" w:type="dxa"/>
            <w:tcBorders>
              <w:top w:val="single" w:color="auto" w:sz="8" w:space="0"/>
              <w:left w:val="single" w:color="auto" w:sz="8" w:space="0"/>
              <w:bottom w:val="single" w:color="auto" w:sz="8" w:space="0"/>
              <w:right w:val="single" w:color="auto" w:sz="8" w:space="0"/>
            </w:tcBorders>
            <w:noWrap w:val="0"/>
            <w:vAlign w:val="center"/>
          </w:tcPr>
          <w:p w14:paraId="64A4875E">
            <w:pPr>
              <w:autoSpaceDE w:val="0"/>
              <w:autoSpaceDN w:val="0"/>
              <w:jc w:val="center"/>
              <w:rPr>
                <w:kern w:val="0"/>
                <w:sz w:val="24"/>
                <w:highlight w:val="none"/>
              </w:rPr>
            </w:pPr>
          </w:p>
        </w:tc>
        <w:tc>
          <w:tcPr>
            <w:tcW w:w="1628" w:type="dxa"/>
            <w:tcBorders>
              <w:top w:val="single" w:color="auto" w:sz="8" w:space="0"/>
              <w:left w:val="single" w:color="auto" w:sz="8" w:space="0"/>
              <w:bottom w:val="single" w:color="auto" w:sz="8" w:space="0"/>
              <w:right w:val="single" w:color="auto" w:sz="8" w:space="0"/>
            </w:tcBorders>
            <w:noWrap w:val="0"/>
            <w:vAlign w:val="center"/>
          </w:tcPr>
          <w:p w14:paraId="4F988A75">
            <w:pPr>
              <w:autoSpaceDE w:val="0"/>
              <w:autoSpaceDN w:val="0"/>
              <w:jc w:val="center"/>
              <w:rPr>
                <w:kern w:val="0"/>
                <w:sz w:val="24"/>
                <w:highlight w:val="none"/>
              </w:rPr>
            </w:pPr>
          </w:p>
        </w:tc>
        <w:tc>
          <w:tcPr>
            <w:tcW w:w="1627" w:type="dxa"/>
            <w:tcBorders>
              <w:top w:val="single" w:color="auto" w:sz="8" w:space="0"/>
              <w:left w:val="single" w:color="auto" w:sz="8" w:space="0"/>
              <w:bottom w:val="single" w:color="auto" w:sz="8" w:space="0"/>
              <w:right w:val="single" w:color="auto" w:sz="8" w:space="0"/>
            </w:tcBorders>
            <w:noWrap w:val="0"/>
            <w:vAlign w:val="center"/>
          </w:tcPr>
          <w:p w14:paraId="4E9AA57E">
            <w:pPr>
              <w:autoSpaceDE w:val="0"/>
              <w:autoSpaceDN w:val="0"/>
              <w:jc w:val="center"/>
              <w:rPr>
                <w:kern w:val="0"/>
                <w:sz w:val="24"/>
                <w:highlight w:val="none"/>
              </w:rPr>
            </w:pPr>
          </w:p>
        </w:tc>
        <w:tc>
          <w:tcPr>
            <w:tcW w:w="1569" w:type="dxa"/>
            <w:tcBorders>
              <w:top w:val="single" w:color="auto" w:sz="8" w:space="0"/>
              <w:left w:val="single" w:color="auto" w:sz="8" w:space="0"/>
              <w:bottom w:val="single" w:color="auto" w:sz="8" w:space="0"/>
              <w:right w:val="single" w:color="auto" w:sz="12" w:space="0"/>
            </w:tcBorders>
            <w:noWrap w:val="0"/>
            <w:vAlign w:val="center"/>
          </w:tcPr>
          <w:p w14:paraId="764E4FD1">
            <w:pPr>
              <w:autoSpaceDE w:val="0"/>
              <w:autoSpaceDN w:val="0"/>
              <w:jc w:val="center"/>
              <w:rPr>
                <w:kern w:val="0"/>
                <w:sz w:val="24"/>
                <w:highlight w:val="none"/>
              </w:rPr>
            </w:pPr>
          </w:p>
        </w:tc>
      </w:tr>
      <w:tr w14:paraId="37CA38C7">
        <w:tblPrEx>
          <w:tblCellMar>
            <w:top w:w="0" w:type="dxa"/>
            <w:left w:w="0" w:type="dxa"/>
            <w:bottom w:w="0" w:type="dxa"/>
            <w:right w:w="0" w:type="dxa"/>
          </w:tblCellMar>
        </w:tblPrEx>
        <w:trPr>
          <w:trHeight w:val="453" w:hRule="atLeast"/>
        </w:trPr>
        <w:tc>
          <w:tcPr>
            <w:tcW w:w="1130" w:type="dxa"/>
            <w:tcBorders>
              <w:top w:val="single" w:color="auto" w:sz="8" w:space="0"/>
              <w:left w:val="single" w:color="auto" w:sz="12" w:space="0"/>
              <w:bottom w:val="single" w:color="auto" w:sz="8" w:space="0"/>
              <w:right w:val="single" w:color="auto" w:sz="8" w:space="0"/>
            </w:tcBorders>
            <w:noWrap w:val="0"/>
            <w:vAlign w:val="center"/>
          </w:tcPr>
          <w:p w14:paraId="17DAAAA8">
            <w:pPr>
              <w:autoSpaceDE w:val="0"/>
              <w:autoSpaceDN w:val="0"/>
              <w:jc w:val="center"/>
              <w:rPr>
                <w:kern w:val="0"/>
                <w:sz w:val="24"/>
                <w:highlight w:val="none"/>
              </w:rPr>
            </w:pPr>
          </w:p>
        </w:tc>
        <w:tc>
          <w:tcPr>
            <w:tcW w:w="1627" w:type="dxa"/>
            <w:tcBorders>
              <w:top w:val="single" w:color="auto" w:sz="8" w:space="0"/>
              <w:left w:val="single" w:color="auto" w:sz="8" w:space="0"/>
              <w:bottom w:val="single" w:color="auto" w:sz="8" w:space="0"/>
              <w:right w:val="single" w:color="auto" w:sz="8" w:space="0"/>
            </w:tcBorders>
            <w:noWrap w:val="0"/>
            <w:vAlign w:val="center"/>
          </w:tcPr>
          <w:p w14:paraId="5E649B1D">
            <w:pPr>
              <w:autoSpaceDE w:val="0"/>
              <w:autoSpaceDN w:val="0"/>
              <w:jc w:val="center"/>
              <w:rPr>
                <w:kern w:val="0"/>
                <w:sz w:val="24"/>
                <w:highlight w:val="none"/>
              </w:rPr>
            </w:pPr>
          </w:p>
        </w:tc>
        <w:tc>
          <w:tcPr>
            <w:tcW w:w="1627" w:type="dxa"/>
            <w:tcBorders>
              <w:top w:val="single" w:color="auto" w:sz="8" w:space="0"/>
              <w:left w:val="single" w:color="auto" w:sz="8" w:space="0"/>
              <w:bottom w:val="single" w:color="auto" w:sz="8" w:space="0"/>
              <w:right w:val="single" w:color="auto" w:sz="8" w:space="0"/>
            </w:tcBorders>
            <w:noWrap w:val="0"/>
            <w:vAlign w:val="center"/>
          </w:tcPr>
          <w:p w14:paraId="1ECADC2B">
            <w:pPr>
              <w:autoSpaceDE w:val="0"/>
              <w:autoSpaceDN w:val="0"/>
              <w:jc w:val="center"/>
              <w:rPr>
                <w:kern w:val="0"/>
                <w:sz w:val="24"/>
                <w:highlight w:val="none"/>
              </w:rPr>
            </w:pPr>
          </w:p>
        </w:tc>
        <w:tc>
          <w:tcPr>
            <w:tcW w:w="1628" w:type="dxa"/>
            <w:tcBorders>
              <w:top w:val="single" w:color="auto" w:sz="8" w:space="0"/>
              <w:left w:val="single" w:color="auto" w:sz="8" w:space="0"/>
              <w:bottom w:val="single" w:color="auto" w:sz="8" w:space="0"/>
              <w:right w:val="single" w:color="auto" w:sz="8" w:space="0"/>
            </w:tcBorders>
            <w:noWrap w:val="0"/>
            <w:vAlign w:val="center"/>
          </w:tcPr>
          <w:p w14:paraId="0D6B3CEA">
            <w:pPr>
              <w:autoSpaceDE w:val="0"/>
              <w:autoSpaceDN w:val="0"/>
              <w:jc w:val="center"/>
              <w:rPr>
                <w:kern w:val="0"/>
                <w:sz w:val="24"/>
                <w:highlight w:val="none"/>
              </w:rPr>
            </w:pPr>
          </w:p>
        </w:tc>
        <w:tc>
          <w:tcPr>
            <w:tcW w:w="1627" w:type="dxa"/>
            <w:tcBorders>
              <w:top w:val="single" w:color="auto" w:sz="8" w:space="0"/>
              <w:left w:val="single" w:color="auto" w:sz="8" w:space="0"/>
              <w:bottom w:val="single" w:color="auto" w:sz="8" w:space="0"/>
              <w:right w:val="single" w:color="auto" w:sz="8" w:space="0"/>
            </w:tcBorders>
            <w:noWrap w:val="0"/>
            <w:vAlign w:val="center"/>
          </w:tcPr>
          <w:p w14:paraId="416037D6">
            <w:pPr>
              <w:autoSpaceDE w:val="0"/>
              <w:autoSpaceDN w:val="0"/>
              <w:jc w:val="center"/>
              <w:rPr>
                <w:kern w:val="0"/>
                <w:sz w:val="24"/>
                <w:highlight w:val="none"/>
              </w:rPr>
            </w:pPr>
          </w:p>
        </w:tc>
        <w:tc>
          <w:tcPr>
            <w:tcW w:w="1569" w:type="dxa"/>
            <w:tcBorders>
              <w:top w:val="single" w:color="auto" w:sz="8" w:space="0"/>
              <w:left w:val="single" w:color="auto" w:sz="8" w:space="0"/>
              <w:bottom w:val="single" w:color="auto" w:sz="8" w:space="0"/>
              <w:right w:val="single" w:color="auto" w:sz="12" w:space="0"/>
            </w:tcBorders>
            <w:noWrap w:val="0"/>
            <w:vAlign w:val="center"/>
          </w:tcPr>
          <w:p w14:paraId="04403D73">
            <w:pPr>
              <w:autoSpaceDE w:val="0"/>
              <w:autoSpaceDN w:val="0"/>
              <w:jc w:val="center"/>
              <w:rPr>
                <w:kern w:val="0"/>
                <w:sz w:val="24"/>
                <w:highlight w:val="none"/>
              </w:rPr>
            </w:pPr>
          </w:p>
        </w:tc>
      </w:tr>
      <w:tr w14:paraId="097BEA10">
        <w:tblPrEx>
          <w:tblCellMar>
            <w:top w:w="0" w:type="dxa"/>
            <w:left w:w="0" w:type="dxa"/>
            <w:bottom w:w="0" w:type="dxa"/>
            <w:right w:w="0" w:type="dxa"/>
          </w:tblCellMar>
        </w:tblPrEx>
        <w:trPr>
          <w:trHeight w:val="446" w:hRule="atLeast"/>
        </w:trPr>
        <w:tc>
          <w:tcPr>
            <w:tcW w:w="1130" w:type="dxa"/>
            <w:tcBorders>
              <w:top w:val="single" w:color="auto" w:sz="8" w:space="0"/>
              <w:left w:val="single" w:color="auto" w:sz="12" w:space="0"/>
              <w:bottom w:val="single" w:color="auto" w:sz="12" w:space="0"/>
              <w:right w:val="single" w:color="auto" w:sz="8" w:space="0"/>
            </w:tcBorders>
            <w:noWrap w:val="0"/>
            <w:vAlign w:val="center"/>
          </w:tcPr>
          <w:p w14:paraId="2F21CE85">
            <w:pPr>
              <w:autoSpaceDE w:val="0"/>
              <w:autoSpaceDN w:val="0"/>
              <w:jc w:val="center"/>
              <w:rPr>
                <w:kern w:val="0"/>
                <w:sz w:val="24"/>
                <w:highlight w:val="none"/>
              </w:rPr>
            </w:pPr>
          </w:p>
        </w:tc>
        <w:tc>
          <w:tcPr>
            <w:tcW w:w="1627" w:type="dxa"/>
            <w:tcBorders>
              <w:top w:val="single" w:color="auto" w:sz="8" w:space="0"/>
              <w:left w:val="single" w:color="auto" w:sz="8" w:space="0"/>
              <w:bottom w:val="single" w:color="auto" w:sz="12" w:space="0"/>
              <w:right w:val="single" w:color="auto" w:sz="8" w:space="0"/>
            </w:tcBorders>
            <w:noWrap w:val="0"/>
            <w:vAlign w:val="center"/>
          </w:tcPr>
          <w:p w14:paraId="5DDD82A3">
            <w:pPr>
              <w:autoSpaceDE w:val="0"/>
              <w:autoSpaceDN w:val="0"/>
              <w:jc w:val="center"/>
              <w:rPr>
                <w:kern w:val="0"/>
                <w:sz w:val="24"/>
                <w:highlight w:val="none"/>
              </w:rPr>
            </w:pPr>
          </w:p>
        </w:tc>
        <w:tc>
          <w:tcPr>
            <w:tcW w:w="1627" w:type="dxa"/>
            <w:tcBorders>
              <w:top w:val="single" w:color="auto" w:sz="8" w:space="0"/>
              <w:left w:val="single" w:color="auto" w:sz="8" w:space="0"/>
              <w:bottom w:val="single" w:color="auto" w:sz="12" w:space="0"/>
              <w:right w:val="single" w:color="auto" w:sz="8" w:space="0"/>
            </w:tcBorders>
            <w:noWrap w:val="0"/>
            <w:vAlign w:val="center"/>
          </w:tcPr>
          <w:p w14:paraId="7F600455">
            <w:pPr>
              <w:autoSpaceDE w:val="0"/>
              <w:autoSpaceDN w:val="0"/>
              <w:jc w:val="center"/>
              <w:rPr>
                <w:kern w:val="0"/>
                <w:sz w:val="24"/>
                <w:highlight w:val="none"/>
              </w:rPr>
            </w:pPr>
          </w:p>
        </w:tc>
        <w:tc>
          <w:tcPr>
            <w:tcW w:w="1628" w:type="dxa"/>
            <w:tcBorders>
              <w:top w:val="single" w:color="auto" w:sz="8" w:space="0"/>
              <w:left w:val="single" w:color="auto" w:sz="8" w:space="0"/>
              <w:bottom w:val="single" w:color="auto" w:sz="12" w:space="0"/>
              <w:right w:val="single" w:color="auto" w:sz="8" w:space="0"/>
            </w:tcBorders>
            <w:noWrap w:val="0"/>
            <w:vAlign w:val="center"/>
          </w:tcPr>
          <w:p w14:paraId="5ED7B9A2">
            <w:pPr>
              <w:autoSpaceDE w:val="0"/>
              <w:autoSpaceDN w:val="0"/>
              <w:jc w:val="center"/>
              <w:rPr>
                <w:kern w:val="0"/>
                <w:sz w:val="24"/>
                <w:highlight w:val="none"/>
              </w:rPr>
            </w:pPr>
          </w:p>
        </w:tc>
        <w:tc>
          <w:tcPr>
            <w:tcW w:w="1627" w:type="dxa"/>
            <w:tcBorders>
              <w:top w:val="single" w:color="auto" w:sz="8" w:space="0"/>
              <w:left w:val="single" w:color="auto" w:sz="8" w:space="0"/>
              <w:bottom w:val="single" w:color="auto" w:sz="12" w:space="0"/>
              <w:right w:val="single" w:color="auto" w:sz="8" w:space="0"/>
            </w:tcBorders>
            <w:noWrap w:val="0"/>
            <w:vAlign w:val="center"/>
          </w:tcPr>
          <w:p w14:paraId="5D2CD17A">
            <w:pPr>
              <w:autoSpaceDE w:val="0"/>
              <w:autoSpaceDN w:val="0"/>
              <w:jc w:val="center"/>
              <w:rPr>
                <w:kern w:val="0"/>
                <w:sz w:val="24"/>
                <w:highlight w:val="none"/>
              </w:rPr>
            </w:pPr>
          </w:p>
        </w:tc>
        <w:tc>
          <w:tcPr>
            <w:tcW w:w="1569" w:type="dxa"/>
            <w:tcBorders>
              <w:top w:val="single" w:color="auto" w:sz="8" w:space="0"/>
              <w:left w:val="single" w:color="auto" w:sz="8" w:space="0"/>
              <w:bottom w:val="single" w:color="auto" w:sz="12" w:space="0"/>
              <w:right w:val="single" w:color="auto" w:sz="12" w:space="0"/>
            </w:tcBorders>
            <w:noWrap w:val="0"/>
            <w:vAlign w:val="center"/>
          </w:tcPr>
          <w:p w14:paraId="584CD96C">
            <w:pPr>
              <w:autoSpaceDE w:val="0"/>
              <w:autoSpaceDN w:val="0"/>
              <w:jc w:val="center"/>
              <w:rPr>
                <w:kern w:val="0"/>
                <w:sz w:val="24"/>
                <w:highlight w:val="none"/>
              </w:rPr>
            </w:pPr>
          </w:p>
        </w:tc>
      </w:tr>
    </w:tbl>
    <w:p w14:paraId="4B5BDBFC">
      <w:pPr>
        <w:autoSpaceDE w:val="0"/>
        <w:autoSpaceDN w:val="0"/>
        <w:adjustRightInd w:val="0"/>
        <w:jc w:val="left"/>
        <w:rPr>
          <w:kern w:val="0"/>
          <w:sz w:val="24"/>
          <w:highlight w:val="none"/>
        </w:rPr>
      </w:pPr>
    </w:p>
    <w:p w14:paraId="32FB247A">
      <w:pPr>
        <w:rPr>
          <w:rFonts w:hint="eastAsia" w:ascii="宋体" w:hAnsi="宋体"/>
          <w:sz w:val="24"/>
          <w:highlight w:val="none"/>
        </w:rPr>
      </w:pPr>
    </w:p>
    <w:p w14:paraId="49A514EC">
      <w:pPr>
        <w:rPr>
          <w:rFonts w:hint="eastAsia" w:ascii="宋体" w:hAnsi="宋体"/>
          <w:sz w:val="24"/>
          <w:highlight w:val="none"/>
        </w:rPr>
      </w:pPr>
    </w:p>
    <w:p w14:paraId="251F4861">
      <w:pPr>
        <w:rPr>
          <w:rFonts w:hint="eastAsia" w:ascii="宋体" w:hAnsi="宋体"/>
          <w:sz w:val="24"/>
          <w:highlight w:val="none"/>
        </w:rPr>
      </w:pPr>
    </w:p>
    <w:p w14:paraId="6CE08C40">
      <w:pPr>
        <w:snapToGrid w:val="0"/>
        <w:spacing w:before="120" w:beforeLines="50" w:after="50"/>
        <w:jc w:val="center"/>
        <w:outlineLvl w:val="2"/>
        <w:rPr>
          <w:rFonts w:hint="eastAsia" w:ascii="宋体" w:hAnsi="宋体"/>
          <w:b/>
          <w:bCs/>
          <w:sz w:val="24"/>
          <w:highlight w:val="none"/>
        </w:rPr>
      </w:pPr>
      <w:r>
        <w:rPr>
          <w:rFonts w:hint="eastAsia" w:ascii="宋体" w:hAnsi="宋体"/>
          <w:sz w:val="24"/>
          <w:highlight w:val="none"/>
        </w:rPr>
        <w:br w:type="page"/>
      </w:r>
      <w:bookmarkStart w:id="75" w:name="_Toc212"/>
      <w:bookmarkStart w:id="76" w:name="_Toc11569"/>
      <w:bookmarkStart w:id="77" w:name="_Toc5907"/>
      <w:bookmarkStart w:id="78" w:name="_Toc12138"/>
      <w:r>
        <w:rPr>
          <w:rFonts w:hint="eastAsia" w:ascii="宋体" w:hAnsi="宋体"/>
          <w:b/>
          <w:bCs/>
          <w:sz w:val="24"/>
          <w:highlight w:val="none"/>
        </w:rPr>
        <w:t>（三）供应商信用及守法证明材料</w:t>
      </w:r>
      <w:bookmarkEnd w:id="75"/>
      <w:bookmarkEnd w:id="76"/>
      <w:bookmarkEnd w:id="77"/>
      <w:bookmarkEnd w:id="78"/>
    </w:p>
    <w:p w14:paraId="2D95F49D">
      <w:pPr>
        <w:snapToGrid w:val="0"/>
        <w:spacing w:before="120" w:beforeLines="50" w:after="50"/>
        <w:ind w:left="142"/>
        <w:jc w:val="left"/>
        <w:rPr>
          <w:rFonts w:hint="eastAsia" w:ascii="宋体" w:hAnsi="宋体"/>
          <w:b/>
          <w:sz w:val="24"/>
          <w:highlight w:val="none"/>
        </w:rPr>
      </w:pPr>
    </w:p>
    <w:p w14:paraId="6FF11DBD">
      <w:pPr>
        <w:jc w:val="center"/>
        <w:outlineLvl w:val="3"/>
        <w:rPr>
          <w:rFonts w:hint="eastAsia" w:ascii="黑体" w:hAnsi="宋体" w:eastAsia="黑体"/>
          <w:sz w:val="24"/>
          <w:highlight w:val="none"/>
        </w:rPr>
      </w:pPr>
      <w:r>
        <w:rPr>
          <w:rFonts w:hint="eastAsia" w:ascii="黑体" w:hAnsi="宋体" w:eastAsia="黑体"/>
          <w:sz w:val="24"/>
          <w:highlight w:val="none"/>
        </w:rPr>
        <w:t>根据采购文件规定提供。</w:t>
      </w:r>
    </w:p>
    <w:p w14:paraId="79C59C82">
      <w:pPr>
        <w:rPr>
          <w:rFonts w:hint="eastAsia" w:ascii="宋体" w:hAnsi="宋体"/>
          <w:sz w:val="24"/>
          <w:highlight w:val="none"/>
        </w:rPr>
      </w:pPr>
    </w:p>
    <w:p w14:paraId="09D143F7">
      <w:pPr>
        <w:rPr>
          <w:rFonts w:hint="eastAsia" w:ascii="宋体" w:hAnsi="宋体"/>
          <w:sz w:val="24"/>
          <w:highlight w:val="none"/>
        </w:rPr>
      </w:pPr>
    </w:p>
    <w:p w14:paraId="02B42BE4">
      <w:pPr>
        <w:snapToGrid w:val="0"/>
        <w:spacing w:before="120" w:beforeLines="50" w:after="50"/>
        <w:jc w:val="left"/>
        <w:rPr>
          <w:rFonts w:hint="eastAsia" w:ascii="宋体" w:hAnsi="宋体"/>
          <w:szCs w:val="21"/>
          <w:highlight w:val="none"/>
        </w:rPr>
      </w:pPr>
    </w:p>
    <w:p w14:paraId="55047DE7">
      <w:pPr>
        <w:snapToGrid w:val="0"/>
        <w:spacing w:before="120" w:beforeLines="50" w:after="50"/>
        <w:jc w:val="center"/>
        <w:outlineLvl w:val="2"/>
        <w:rPr>
          <w:rFonts w:hint="eastAsia" w:ascii="宋体" w:hAnsi="宋体"/>
          <w:b/>
          <w:bCs/>
          <w:sz w:val="24"/>
          <w:highlight w:val="none"/>
        </w:rPr>
      </w:pPr>
      <w:r>
        <w:rPr>
          <w:rFonts w:hint="eastAsia" w:ascii="宋体" w:hAnsi="宋体"/>
          <w:b/>
          <w:sz w:val="24"/>
          <w:highlight w:val="none"/>
        </w:rPr>
        <w:br w:type="page"/>
      </w:r>
      <w:bookmarkStart w:id="79" w:name="_Toc27275"/>
      <w:bookmarkStart w:id="80" w:name="_Toc5115"/>
      <w:r>
        <w:rPr>
          <w:rFonts w:hint="eastAsia" w:ascii="宋体" w:hAnsi="宋体"/>
          <w:b/>
          <w:bCs/>
          <w:sz w:val="24"/>
          <w:highlight w:val="none"/>
        </w:rPr>
        <w:t>（</w:t>
      </w:r>
      <w:r>
        <w:rPr>
          <w:rFonts w:hint="eastAsia" w:ascii="宋体" w:hAnsi="宋体"/>
          <w:b/>
          <w:bCs/>
          <w:sz w:val="24"/>
          <w:highlight w:val="none"/>
          <w:lang w:eastAsia="zh-CN"/>
        </w:rPr>
        <w:t>四</w:t>
      </w:r>
      <w:r>
        <w:rPr>
          <w:rFonts w:hint="eastAsia" w:ascii="宋体" w:hAnsi="宋体"/>
          <w:b/>
          <w:bCs/>
          <w:sz w:val="24"/>
          <w:highlight w:val="none"/>
        </w:rPr>
        <w:t>）</w:t>
      </w:r>
      <w:r>
        <w:rPr>
          <w:rFonts w:hint="eastAsia" w:ascii="宋体" w:hAnsi="宋体"/>
          <w:b/>
          <w:bCs/>
          <w:sz w:val="24"/>
          <w:highlight w:val="none"/>
          <w:lang w:eastAsia="zh-CN"/>
        </w:rPr>
        <w:t>拟投入的</w:t>
      </w:r>
      <w:r>
        <w:rPr>
          <w:rFonts w:hint="eastAsia" w:ascii="宋体" w:hAnsi="宋体"/>
          <w:b/>
          <w:bCs/>
          <w:sz w:val="24"/>
          <w:highlight w:val="none"/>
        </w:rPr>
        <w:t>主要人员表</w:t>
      </w:r>
      <w:bookmarkEnd w:id="79"/>
      <w:bookmarkEnd w:id="80"/>
    </w:p>
    <w:p w14:paraId="285EE9FA">
      <w:pPr>
        <w:snapToGrid w:val="0"/>
        <w:spacing w:before="120" w:beforeLines="50" w:after="50"/>
        <w:ind w:left="142"/>
        <w:jc w:val="left"/>
        <w:rPr>
          <w:rFonts w:hint="eastAsia" w:ascii="宋体" w:hAnsi="宋体"/>
          <w:b/>
          <w:sz w:val="24"/>
          <w:highlight w:val="none"/>
        </w:rPr>
      </w:pPr>
    </w:p>
    <w:p w14:paraId="5C42EB3E">
      <w:pPr>
        <w:jc w:val="center"/>
        <w:outlineLvl w:val="3"/>
        <w:rPr>
          <w:rFonts w:hint="eastAsia" w:ascii="黑体" w:hAnsi="宋体" w:eastAsia="黑体"/>
          <w:sz w:val="24"/>
          <w:highlight w:val="none"/>
        </w:rPr>
      </w:pPr>
      <w:r>
        <w:rPr>
          <w:rFonts w:hint="eastAsia" w:ascii="黑体" w:hAnsi="宋体" w:eastAsia="黑体"/>
          <w:sz w:val="24"/>
          <w:highlight w:val="none"/>
        </w:rPr>
        <w:t>1.</w:t>
      </w:r>
      <w:r>
        <w:rPr>
          <w:rFonts w:ascii="黑体" w:hAnsi="宋体" w:eastAsia="黑体"/>
          <w:sz w:val="24"/>
          <w:highlight w:val="none"/>
        </w:rPr>
        <w:t>主要人员汇总表</w:t>
      </w:r>
    </w:p>
    <w:p w14:paraId="0E47980C">
      <w:pPr>
        <w:jc w:val="center"/>
        <w:rPr>
          <w:rFonts w:hint="eastAsia" w:ascii="黑体" w:hAnsi="宋体" w:eastAsia="黑体"/>
          <w:sz w:val="24"/>
          <w:highlight w:val="none"/>
        </w:rPr>
      </w:pPr>
    </w:p>
    <w:tbl>
      <w:tblPr>
        <w:tblStyle w:val="25"/>
        <w:tblW w:w="9165" w:type="dxa"/>
        <w:tblInd w:w="15" w:type="dxa"/>
        <w:tblLayout w:type="fixed"/>
        <w:tblCellMar>
          <w:top w:w="0" w:type="dxa"/>
          <w:left w:w="0" w:type="dxa"/>
          <w:bottom w:w="0" w:type="dxa"/>
          <w:right w:w="0" w:type="dxa"/>
        </w:tblCellMar>
      </w:tblPr>
      <w:tblGrid>
        <w:gridCol w:w="712"/>
        <w:gridCol w:w="720"/>
        <w:gridCol w:w="1815"/>
        <w:gridCol w:w="1267"/>
        <w:gridCol w:w="1267"/>
        <w:gridCol w:w="1267"/>
        <w:gridCol w:w="2117"/>
      </w:tblGrid>
      <w:tr w14:paraId="28E5B602">
        <w:tblPrEx>
          <w:tblCellMar>
            <w:top w:w="0" w:type="dxa"/>
            <w:left w:w="0" w:type="dxa"/>
            <w:bottom w:w="0" w:type="dxa"/>
            <w:right w:w="0" w:type="dxa"/>
          </w:tblCellMar>
        </w:tblPrEx>
        <w:trPr>
          <w:trHeight w:val="900" w:hRule="atLeast"/>
        </w:trPr>
        <w:tc>
          <w:tcPr>
            <w:tcW w:w="712" w:type="dxa"/>
            <w:tcBorders>
              <w:top w:val="single" w:color="auto" w:sz="12" w:space="0"/>
              <w:left w:val="single" w:color="auto" w:sz="12" w:space="0"/>
              <w:bottom w:val="single" w:color="auto" w:sz="8" w:space="0"/>
              <w:right w:val="single" w:color="auto" w:sz="8" w:space="0"/>
            </w:tcBorders>
            <w:vAlign w:val="center"/>
          </w:tcPr>
          <w:p w14:paraId="6BA0B4C3">
            <w:pPr>
              <w:autoSpaceDE w:val="0"/>
              <w:autoSpaceDN w:val="0"/>
              <w:jc w:val="center"/>
              <w:rPr>
                <w:rFonts w:ascii="宋体" w:cs="宋体"/>
                <w:kern w:val="0"/>
                <w:sz w:val="24"/>
                <w:highlight w:val="none"/>
              </w:rPr>
            </w:pPr>
            <w:r>
              <w:rPr>
                <w:rFonts w:hint="eastAsia" w:ascii="宋体" w:cs="宋体"/>
                <w:kern w:val="0"/>
                <w:sz w:val="24"/>
                <w:highlight w:val="none"/>
              </w:rPr>
              <w:t>姓名</w:t>
            </w:r>
          </w:p>
        </w:tc>
        <w:tc>
          <w:tcPr>
            <w:tcW w:w="720" w:type="dxa"/>
            <w:tcBorders>
              <w:top w:val="single" w:color="auto" w:sz="12" w:space="0"/>
              <w:left w:val="single" w:color="auto" w:sz="8" w:space="0"/>
              <w:bottom w:val="single" w:color="auto" w:sz="8" w:space="0"/>
              <w:right w:val="single" w:color="auto" w:sz="8" w:space="0"/>
            </w:tcBorders>
            <w:vAlign w:val="center"/>
          </w:tcPr>
          <w:p w14:paraId="0F4383B8">
            <w:pPr>
              <w:autoSpaceDE w:val="0"/>
              <w:autoSpaceDN w:val="0"/>
              <w:jc w:val="center"/>
              <w:rPr>
                <w:rFonts w:ascii="宋体" w:cs="宋体"/>
                <w:kern w:val="0"/>
                <w:sz w:val="24"/>
                <w:highlight w:val="none"/>
              </w:rPr>
            </w:pPr>
            <w:r>
              <w:rPr>
                <w:rFonts w:hint="eastAsia" w:ascii="宋体" w:cs="宋体"/>
                <w:kern w:val="0"/>
                <w:sz w:val="24"/>
                <w:highlight w:val="none"/>
              </w:rPr>
              <w:t>年龄</w:t>
            </w:r>
          </w:p>
        </w:tc>
        <w:tc>
          <w:tcPr>
            <w:tcW w:w="1815" w:type="dxa"/>
            <w:tcBorders>
              <w:top w:val="single" w:color="auto" w:sz="12" w:space="0"/>
              <w:left w:val="single" w:color="auto" w:sz="8" w:space="0"/>
              <w:bottom w:val="single" w:color="auto" w:sz="8" w:space="0"/>
              <w:right w:val="single" w:color="auto" w:sz="8" w:space="0"/>
            </w:tcBorders>
            <w:vAlign w:val="center"/>
          </w:tcPr>
          <w:p w14:paraId="2C20EC75">
            <w:pPr>
              <w:autoSpaceDE w:val="0"/>
              <w:autoSpaceDN w:val="0"/>
              <w:jc w:val="center"/>
              <w:rPr>
                <w:rFonts w:ascii="宋体" w:cs="宋体"/>
                <w:kern w:val="0"/>
                <w:sz w:val="24"/>
                <w:highlight w:val="none"/>
              </w:rPr>
            </w:pPr>
            <w:r>
              <w:rPr>
                <w:rFonts w:hint="eastAsia" w:ascii="宋体" w:cs="宋体"/>
                <w:kern w:val="0"/>
                <w:sz w:val="24"/>
                <w:highlight w:val="none"/>
              </w:rPr>
              <w:t>拟在本项目中</w:t>
            </w:r>
          </w:p>
          <w:p w14:paraId="061C0A57">
            <w:pPr>
              <w:autoSpaceDE w:val="0"/>
              <w:autoSpaceDN w:val="0"/>
              <w:jc w:val="center"/>
              <w:rPr>
                <w:rFonts w:ascii="宋体" w:cs="宋体"/>
                <w:kern w:val="0"/>
                <w:sz w:val="24"/>
                <w:highlight w:val="none"/>
              </w:rPr>
            </w:pPr>
            <w:r>
              <w:rPr>
                <w:rFonts w:hint="eastAsia" w:ascii="宋体" w:cs="宋体"/>
                <w:kern w:val="0"/>
                <w:sz w:val="24"/>
                <w:highlight w:val="none"/>
              </w:rPr>
              <w:t>担任的职务</w:t>
            </w:r>
          </w:p>
        </w:tc>
        <w:tc>
          <w:tcPr>
            <w:tcW w:w="1267" w:type="dxa"/>
            <w:tcBorders>
              <w:top w:val="single" w:color="auto" w:sz="12" w:space="0"/>
              <w:left w:val="single" w:color="auto" w:sz="8" w:space="0"/>
              <w:bottom w:val="single" w:color="auto" w:sz="8" w:space="0"/>
              <w:right w:val="single" w:color="auto" w:sz="8" w:space="0"/>
            </w:tcBorders>
            <w:vAlign w:val="center"/>
          </w:tcPr>
          <w:p w14:paraId="7CC56A2B">
            <w:pPr>
              <w:autoSpaceDE w:val="0"/>
              <w:autoSpaceDN w:val="0"/>
              <w:jc w:val="center"/>
              <w:rPr>
                <w:rFonts w:ascii="宋体" w:cs="宋体"/>
                <w:kern w:val="0"/>
                <w:sz w:val="24"/>
                <w:highlight w:val="none"/>
              </w:rPr>
            </w:pPr>
            <w:r>
              <w:rPr>
                <w:rFonts w:hint="eastAsia" w:ascii="宋体" w:cs="宋体"/>
                <w:kern w:val="0"/>
                <w:sz w:val="24"/>
                <w:highlight w:val="none"/>
              </w:rPr>
              <w:t>技术职称</w:t>
            </w:r>
          </w:p>
        </w:tc>
        <w:tc>
          <w:tcPr>
            <w:tcW w:w="1267" w:type="dxa"/>
            <w:tcBorders>
              <w:top w:val="single" w:color="auto" w:sz="12" w:space="0"/>
              <w:left w:val="single" w:color="auto" w:sz="8" w:space="0"/>
              <w:bottom w:val="single" w:color="auto" w:sz="8" w:space="0"/>
              <w:right w:val="single" w:color="auto" w:sz="8" w:space="0"/>
            </w:tcBorders>
            <w:vAlign w:val="center"/>
          </w:tcPr>
          <w:p w14:paraId="3C86E729">
            <w:pPr>
              <w:autoSpaceDE w:val="0"/>
              <w:autoSpaceDN w:val="0"/>
              <w:jc w:val="center"/>
              <w:rPr>
                <w:rFonts w:ascii="宋体" w:cs="宋体"/>
                <w:kern w:val="0"/>
                <w:sz w:val="24"/>
                <w:highlight w:val="none"/>
              </w:rPr>
            </w:pPr>
            <w:r>
              <w:rPr>
                <w:rFonts w:hint="eastAsia" w:ascii="宋体" w:cs="宋体"/>
                <w:kern w:val="0"/>
                <w:sz w:val="24"/>
                <w:highlight w:val="none"/>
              </w:rPr>
              <w:t>从事专业</w:t>
            </w:r>
          </w:p>
        </w:tc>
        <w:tc>
          <w:tcPr>
            <w:tcW w:w="1267" w:type="dxa"/>
            <w:tcBorders>
              <w:top w:val="single" w:color="auto" w:sz="12" w:space="0"/>
              <w:left w:val="single" w:color="auto" w:sz="8" w:space="0"/>
              <w:bottom w:val="single" w:color="auto" w:sz="8" w:space="0"/>
              <w:right w:val="single" w:color="auto" w:sz="8" w:space="0"/>
            </w:tcBorders>
            <w:vAlign w:val="center"/>
          </w:tcPr>
          <w:p w14:paraId="1E5EED55">
            <w:pPr>
              <w:autoSpaceDE w:val="0"/>
              <w:autoSpaceDN w:val="0"/>
              <w:jc w:val="center"/>
              <w:rPr>
                <w:rFonts w:ascii="宋体" w:cs="宋体"/>
                <w:kern w:val="0"/>
                <w:sz w:val="24"/>
                <w:highlight w:val="none"/>
              </w:rPr>
            </w:pPr>
            <w:r>
              <w:rPr>
                <w:rFonts w:hint="eastAsia" w:ascii="宋体" w:cs="宋体"/>
                <w:kern w:val="0"/>
                <w:sz w:val="24"/>
                <w:highlight w:val="none"/>
              </w:rPr>
              <w:t>工作年限</w:t>
            </w:r>
          </w:p>
        </w:tc>
        <w:tc>
          <w:tcPr>
            <w:tcW w:w="2117" w:type="dxa"/>
            <w:tcBorders>
              <w:top w:val="single" w:color="auto" w:sz="12" w:space="0"/>
              <w:left w:val="single" w:color="auto" w:sz="8" w:space="0"/>
              <w:bottom w:val="single" w:color="auto" w:sz="8" w:space="0"/>
              <w:right w:val="single" w:color="auto" w:sz="12" w:space="0"/>
            </w:tcBorders>
            <w:vAlign w:val="center"/>
          </w:tcPr>
          <w:p w14:paraId="3AC39CC3">
            <w:pPr>
              <w:autoSpaceDE w:val="0"/>
              <w:autoSpaceDN w:val="0"/>
              <w:jc w:val="center"/>
              <w:rPr>
                <w:rFonts w:ascii="宋体" w:cs="宋体"/>
                <w:kern w:val="0"/>
                <w:sz w:val="24"/>
                <w:highlight w:val="none"/>
              </w:rPr>
            </w:pPr>
            <w:r>
              <w:rPr>
                <w:rFonts w:hint="eastAsia" w:ascii="宋体" w:cs="宋体"/>
                <w:kern w:val="0"/>
                <w:sz w:val="24"/>
                <w:highlight w:val="none"/>
              </w:rPr>
              <w:t>类似项目</w:t>
            </w:r>
          </w:p>
          <w:p w14:paraId="7D61B83B">
            <w:pPr>
              <w:autoSpaceDE w:val="0"/>
              <w:autoSpaceDN w:val="0"/>
              <w:jc w:val="center"/>
              <w:rPr>
                <w:rFonts w:ascii="宋体" w:cs="宋体"/>
                <w:kern w:val="0"/>
                <w:sz w:val="24"/>
                <w:highlight w:val="none"/>
              </w:rPr>
            </w:pPr>
            <w:r>
              <w:rPr>
                <w:rFonts w:hint="eastAsia" w:ascii="宋体" w:cs="宋体"/>
                <w:kern w:val="0"/>
                <w:sz w:val="24"/>
                <w:highlight w:val="none"/>
              </w:rPr>
              <w:t>经验年限</w:t>
            </w:r>
          </w:p>
        </w:tc>
      </w:tr>
      <w:tr w14:paraId="56330EC0">
        <w:tblPrEx>
          <w:tblCellMar>
            <w:top w:w="0" w:type="dxa"/>
            <w:left w:w="0" w:type="dxa"/>
            <w:bottom w:w="0" w:type="dxa"/>
            <w:right w:w="0" w:type="dxa"/>
          </w:tblCellMar>
        </w:tblPrEx>
        <w:trPr>
          <w:trHeight w:val="900" w:hRule="atLeast"/>
        </w:trPr>
        <w:tc>
          <w:tcPr>
            <w:tcW w:w="712" w:type="dxa"/>
            <w:tcBorders>
              <w:top w:val="single" w:color="auto" w:sz="8" w:space="0"/>
              <w:left w:val="single" w:color="auto" w:sz="12" w:space="0"/>
              <w:bottom w:val="single" w:color="auto" w:sz="8" w:space="0"/>
              <w:right w:val="single" w:color="auto" w:sz="8" w:space="0"/>
            </w:tcBorders>
            <w:vAlign w:val="center"/>
          </w:tcPr>
          <w:p w14:paraId="0F8426E6">
            <w:pPr>
              <w:autoSpaceDE w:val="0"/>
              <w:autoSpaceDN w:val="0"/>
              <w:jc w:val="center"/>
              <w:rPr>
                <w:kern w:val="0"/>
                <w:sz w:val="24"/>
                <w:highlight w:val="none"/>
              </w:rPr>
            </w:pPr>
          </w:p>
        </w:tc>
        <w:tc>
          <w:tcPr>
            <w:tcW w:w="720" w:type="dxa"/>
            <w:tcBorders>
              <w:top w:val="single" w:color="auto" w:sz="8" w:space="0"/>
              <w:left w:val="single" w:color="auto" w:sz="8" w:space="0"/>
              <w:bottom w:val="single" w:color="auto" w:sz="8" w:space="0"/>
              <w:right w:val="single" w:color="auto" w:sz="8" w:space="0"/>
            </w:tcBorders>
            <w:vAlign w:val="center"/>
          </w:tcPr>
          <w:p w14:paraId="5BD4F38F">
            <w:pPr>
              <w:autoSpaceDE w:val="0"/>
              <w:autoSpaceDN w:val="0"/>
              <w:jc w:val="center"/>
              <w:rPr>
                <w:kern w:val="0"/>
                <w:sz w:val="24"/>
                <w:highlight w:val="none"/>
              </w:rPr>
            </w:pPr>
          </w:p>
        </w:tc>
        <w:tc>
          <w:tcPr>
            <w:tcW w:w="1815" w:type="dxa"/>
            <w:tcBorders>
              <w:top w:val="single" w:color="auto" w:sz="8" w:space="0"/>
              <w:left w:val="single" w:color="auto" w:sz="8" w:space="0"/>
              <w:bottom w:val="single" w:color="auto" w:sz="8" w:space="0"/>
              <w:right w:val="single" w:color="auto" w:sz="8" w:space="0"/>
            </w:tcBorders>
            <w:vAlign w:val="center"/>
          </w:tcPr>
          <w:p w14:paraId="1390A306">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2ECACA23">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34B979F5">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4A886C4B">
            <w:pPr>
              <w:autoSpaceDE w:val="0"/>
              <w:autoSpaceDN w:val="0"/>
              <w:jc w:val="center"/>
              <w:rPr>
                <w:kern w:val="0"/>
                <w:sz w:val="24"/>
                <w:highlight w:val="none"/>
              </w:rPr>
            </w:pPr>
          </w:p>
        </w:tc>
        <w:tc>
          <w:tcPr>
            <w:tcW w:w="2117" w:type="dxa"/>
            <w:tcBorders>
              <w:top w:val="single" w:color="auto" w:sz="8" w:space="0"/>
              <w:left w:val="single" w:color="auto" w:sz="8" w:space="0"/>
              <w:bottom w:val="single" w:color="auto" w:sz="8" w:space="0"/>
              <w:right w:val="single" w:color="auto" w:sz="12" w:space="0"/>
            </w:tcBorders>
            <w:vAlign w:val="center"/>
          </w:tcPr>
          <w:p w14:paraId="6EAF4D3D">
            <w:pPr>
              <w:autoSpaceDE w:val="0"/>
              <w:autoSpaceDN w:val="0"/>
              <w:jc w:val="center"/>
              <w:rPr>
                <w:kern w:val="0"/>
                <w:sz w:val="24"/>
                <w:highlight w:val="none"/>
              </w:rPr>
            </w:pPr>
          </w:p>
        </w:tc>
      </w:tr>
      <w:tr w14:paraId="6532D48A">
        <w:tblPrEx>
          <w:tblCellMar>
            <w:top w:w="0" w:type="dxa"/>
            <w:left w:w="0" w:type="dxa"/>
            <w:bottom w:w="0" w:type="dxa"/>
            <w:right w:w="0" w:type="dxa"/>
          </w:tblCellMar>
        </w:tblPrEx>
        <w:trPr>
          <w:trHeight w:val="907" w:hRule="atLeast"/>
        </w:trPr>
        <w:tc>
          <w:tcPr>
            <w:tcW w:w="712" w:type="dxa"/>
            <w:tcBorders>
              <w:top w:val="single" w:color="auto" w:sz="8" w:space="0"/>
              <w:left w:val="single" w:color="auto" w:sz="12" w:space="0"/>
              <w:bottom w:val="single" w:color="auto" w:sz="8" w:space="0"/>
              <w:right w:val="single" w:color="auto" w:sz="8" w:space="0"/>
            </w:tcBorders>
            <w:vAlign w:val="center"/>
          </w:tcPr>
          <w:p w14:paraId="7FC9C3AC">
            <w:pPr>
              <w:autoSpaceDE w:val="0"/>
              <w:autoSpaceDN w:val="0"/>
              <w:jc w:val="center"/>
              <w:rPr>
                <w:kern w:val="0"/>
                <w:sz w:val="24"/>
                <w:highlight w:val="none"/>
              </w:rPr>
            </w:pPr>
          </w:p>
        </w:tc>
        <w:tc>
          <w:tcPr>
            <w:tcW w:w="720" w:type="dxa"/>
            <w:tcBorders>
              <w:top w:val="single" w:color="auto" w:sz="8" w:space="0"/>
              <w:left w:val="single" w:color="auto" w:sz="8" w:space="0"/>
              <w:bottom w:val="single" w:color="auto" w:sz="8" w:space="0"/>
              <w:right w:val="single" w:color="auto" w:sz="8" w:space="0"/>
            </w:tcBorders>
            <w:vAlign w:val="center"/>
          </w:tcPr>
          <w:p w14:paraId="7A649B36">
            <w:pPr>
              <w:autoSpaceDE w:val="0"/>
              <w:autoSpaceDN w:val="0"/>
              <w:jc w:val="center"/>
              <w:rPr>
                <w:kern w:val="0"/>
                <w:sz w:val="24"/>
                <w:highlight w:val="none"/>
              </w:rPr>
            </w:pPr>
          </w:p>
        </w:tc>
        <w:tc>
          <w:tcPr>
            <w:tcW w:w="1815" w:type="dxa"/>
            <w:tcBorders>
              <w:top w:val="single" w:color="auto" w:sz="8" w:space="0"/>
              <w:left w:val="single" w:color="auto" w:sz="8" w:space="0"/>
              <w:bottom w:val="single" w:color="auto" w:sz="8" w:space="0"/>
              <w:right w:val="single" w:color="auto" w:sz="8" w:space="0"/>
            </w:tcBorders>
            <w:vAlign w:val="center"/>
          </w:tcPr>
          <w:p w14:paraId="00A35F08">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1681657D">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7D1F2CFF">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300E2E02">
            <w:pPr>
              <w:autoSpaceDE w:val="0"/>
              <w:autoSpaceDN w:val="0"/>
              <w:jc w:val="center"/>
              <w:rPr>
                <w:kern w:val="0"/>
                <w:sz w:val="24"/>
                <w:highlight w:val="none"/>
              </w:rPr>
            </w:pPr>
          </w:p>
        </w:tc>
        <w:tc>
          <w:tcPr>
            <w:tcW w:w="2117" w:type="dxa"/>
            <w:tcBorders>
              <w:top w:val="single" w:color="auto" w:sz="8" w:space="0"/>
              <w:left w:val="single" w:color="auto" w:sz="8" w:space="0"/>
              <w:bottom w:val="single" w:color="auto" w:sz="8" w:space="0"/>
              <w:right w:val="single" w:color="auto" w:sz="12" w:space="0"/>
            </w:tcBorders>
            <w:vAlign w:val="center"/>
          </w:tcPr>
          <w:p w14:paraId="2B07CC3C">
            <w:pPr>
              <w:autoSpaceDE w:val="0"/>
              <w:autoSpaceDN w:val="0"/>
              <w:jc w:val="center"/>
              <w:rPr>
                <w:kern w:val="0"/>
                <w:sz w:val="24"/>
                <w:highlight w:val="none"/>
              </w:rPr>
            </w:pPr>
          </w:p>
        </w:tc>
      </w:tr>
      <w:tr w14:paraId="02B9FFD7">
        <w:tblPrEx>
          <w:tblCellMar>
            <w:top w:w="0" w:type="dxa"/>
            <w:left w:w="0" w:type="dxa"/>
            <w:bottom w:w="0" w:type="dxa"/>
            <w:right w:w="0" w:type="dxa"/>
          </w:tblCellMar>
        </w:tblPrEx>
        <w:trPr>
          <w:trHeight w:val="907" w:hRule="atLeast"/>
        </w:trPr>
        <w:tc>
          <w:tcPr>
            <w:tcW w:w="712" w:type="dxa"/>
            <w:tcBorders>
              <w:top w:val="single" w:color="auto" w:sz="8" w:space="0"/>
              <w:left w:val="single" w:color="auto" w:sz="12" w:space="0"/>
              <w:bottom w:val="single" w:color="auto" w:sz="8" w:space="0"/>
              <w:right w:val="single" w:color="auto" w:sz="8" w:space="0"/>
            </w:tcBorders>
            <w:vAlign w:val="center"/>
          </w:tcPr>
          <w:p w14:paraId="6A109B8E">
            <w:pPr>
              <w:autoSpaceDE w:val="0"/>
              <w:autoSpaceDN w:val="0"/>
              <w:jc w:val="center"/>
              <w:rPr>
                <w:kern w:val="0"/>
                <w:sz w:val="24"/>
                <w:highlight w:val="none"/>
              </w:rPr>
            </w:pPr>
          </w:p>
        </w:tc>
        <w:tc>
          <w:tcPr>
            <w:tcW w:w="720" w:type="dxa"/>
            <w:tcBorders>
              <w:top w:val="single" w:color="auto" w:sz="8" w:space="0"/>
              <w:left w:val="single" w:color="auto" w:sz="8" w:space="0"/>
              <w:bottom w:val="single" w:color="auto" w:sz="8" w:space="0"/>
              <w:right w:val="single" w:color="auto" w:sz="8" w:space="0"/>
            </w:tcBorders>
            <w:vAlign w:val="center"/>
          </w:tcPr>
          <w:p w14:paraId="1A2C863B">
            <w:pPr>
              <w:autoSpaceDE w:val="0"/>
              <w:autoSpaceDN w:val="0"/>
              <w:jc w:val="center"/>
              <w:rPr>
                <w:kern w:val="0"/>
                <w:sz w:val="24"/>
                <w:highlight w:val="none"/>
              </w:rPr>
            </w:pPr>
          </w:p>
        </w:tc>
        <w:tc>
          <w:tcPr>
            <w:tcW w:w="1815" w:type="dxa"/>
            <w:tcBorders>
              <w:top w:val="single" w:color="auto" w:sz="8" w:space="0"/>
              <w:left w:val="single" w:color="auto" w:sz="8" w:space="0"/>
              <w:bottom w:val="single" w:color="auto" w:sz="8" w:space="0"/>
              <w:right w:val="single" w:color="auto" w:sz="8" w:space="0"/>
            </w:tcBorders>
            <w:vAlign w:val="center"/>
          </w:tcPr>
          <w:p w14:paraId="392651A3">
            <w:pPr>
              <w:autoSpaceDE w:val="0"/>
              <w:autoSpaceDN w:val="0"/>
              <w:jc w:val="center"/>
              <w:rPr>
                <w:rFonts w:ascii="宋体" w:cs="宋体"/>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0E16A9A4">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1676C0BD">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64CCC310">
            <w:pPr>
              <w:autoSpaceDE w:val="0"/>
              <w:autoSpaceDN w:val="0"/>
              <w:jc w:val="center"/>
              <w:rPr>
                <w:kern w:val="0"/>
                <w:sz w:val="24"/>
                <w:highlight w:val="none"/>
              </w:rPr>
            </w:pPr>
          </w:p>
        </w:tc>
        <w:tc>
          <w:tcPr>
            <w:tcW w:w="2117" w:type="dxa"/>
            <w:tcBorders>
              <w:top w:val="single" w:color="auto" w:sz="8" w:space="0"/>
              <w:left w:val="single" w:color="auto" w:sz="8" w:space="0"/>
              <w:bottom w:val="single" w:color="auto" w:sz="8" w:space="0"/>
              <w:right w:val="single" w:color="auto" w:sz="12" w:space="0"/>
            </w:tcBorders>
            <w:vAlign w:val="center"/>
          </w:tcPr>
          <w:p w14:paraId="1E6423B1">
            <w:pPr>
              <w:autoSpaceDE w:val="0"/>
              <w:autoSpaceDN w:val="0"/>
              <w:jc w:val="center"/>
              <w:rPr>
                <w:kern w:val="0"/>
                <w:sz w:val="24"/>
                <w:highlight w:val="none"/>
              </w:rPr>
            </w:pPr>
          </w:p>
        </w:tc>
      </w:tr>
      <w:tr w14:paraId="49E4C338">
        <w:tblPrEx>
          <w:tblCellMar>
            <w:top w:w="0" w:type="dxa"/>
            <w:left w:w="0" w:type="dxa"/>
            <w:bottom w:w="0" w:type="dxa"/>
            <w:right w:w="0" w:type="dxa"/>
          </w:tblCellMar>
        </w:tblPrEx>
        <w:trPr>
          <w:trHeight w:val="900" w:hRule="atLeast"/>
        </w:trPr>
        <w:tc>
          <w:tcPr>
            <w:tcW w:w="712" w:type="dxa"/>
            <w:tcBorders>
              <w:top w:val="single" w:color="auto" w:sz="8" w:space="0"/>
              <w:left w:val="single" w:color="auto" w:sz="12" w:space="0"/>
              <w:bottom w:val="single" w:color="auto" w:sz="8" w:space="0"/>
              <w:right w:val="single" w:color="auto" w:sz="8" w:space="0"/>
            </w:tcBorders>
            <w:vAlign w:val="center"/>
          </w:tcPr>
          <w:p w14:paraId="349899F9">
            <w:pPr>
              <w:autoSpaceDE w:val="0"/>
              <w:autoSpaceDN w:val="0"/>
              <w:jc w:val="center"/>
              <w:rPr>
                <w:kern w:val="0"/>
                <w:sz w:val="24"/>
                <w:highlight w:val="none"/>
              </w:rPr>
            </w:pPr>
          </w:p>
        </w:tc>
        <w:tc>
          <w:tcPr>
            <w:tcW w:w="720" w:type="dxa"/>
            <w:tcBorders>
              <w:top w:val="single" w:color="auto" w:sz="8" w:space="0"/>
              <w:left w:val="single" w:color="auto" w:sz="8" w:space="0"/>
              <w:bottom w:val="single" w:color="auto" w:sz="8" w:space="0"/>
              <w:right w:val="single" w:color="auto" w:sz="8" w:space="0"/>
            </w:tcBorders>
            <w:vAlign w:val="center"/>
          </w:tcPr>
          <w:p w14:paraId="5D57A825">
            <w:pPr>
              <w:autoSpaceDE w:val="0"/>
              <w:autoSpaceDN w:val="0"/>
              <w:jc w:val="center"/>
              <w:rPr>
                <w:kern w:val="0"/>
                <w:sz w:val="24"/>
                <w:highlight w:val="none"/>
              </w:rPr>
            </w:pPr>
          </w:p>
        </w:tc>
        <w:tc>
          <w:tcPr>
            <w:tcW w:w="1815" w:type="dxa"/>
            <w:tcBorders>
              <w:top w:val="single" w:color="auto" w:sz="8" w:space="0"/>
              <w:left w:val="single" w:color="auto" w:sz="8" w:space="0"/>
              <w:bottom w:val="single" w:color="auto" w:sz="8" w:space="0"/>
              <w:right w:val="single" w:color="auto" w:sz="8" w:space="0"/>
            </w:tcBorders>
            <w:vAlign w:val="center"/>
          </w:tcPr>
          <w:p w14:paraId="06DA7740">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061D83A2">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354F85DD">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46CF48F9">
            <w:pPr>
              <w:autoSpaceDE w:val="0"/>
              <w:autoSpaceDN w:val="0"/>
              <w:jc w:val="center"/>
              <w:rPr>
                <w:kern w:val="0"/>
                <w:sz w:val="24"/>
                <w:highlight w:val="none"/>
              </w:rPr>
            </w:pPr>
          </w:p>
        </w:tc>
        <w:tc>
          <w:tcPr>
            <w:tcW w:w="2117" w:type="dxa"/>
            <w:tcBorders>
              <w:top w:val="single" w:color="auto" w:sz="8" w:space="0"/>
              <w:left w:val="single" w:color="auto" w:sz="8" w:space="0"/>
              <w:bottom w:val="single" w:color="auto" w:sz="8" w:space="0"/>
              <w:right w:val="single" w:color="auto" w:sz="12" w:space="0"/>
            </w:tcBorders>
            <w:vAlign w:val="center"/>
          </w:tcPr>
          <w:p w14:paraId="192F628F">
            <w:pPr>
              <w:autoSpaceDE w:val="0"/>
              <w:autoSpaceDN w:val="0"/>
              <w:jc w:val="center"/>
              <w:rPr>
                <w:kern w:val="0"/>
                <w:sz w:val="24"/>
                <w:highlight w:val="none"/>
              </w:rPr>
            </w:pPr>
          </w:p>
        </w:tc>
      </w:tr>
      <w:tr w14:paraId="26AAF6F3">
        <w:tblPrEx>
          <w:tblCellMar>
            <w:top w:w="0" w:type="dxa"/>
            <w:left w:w="0" w:type="dxa"/>
            <w:bottom w:w="0" w:type="dxa"/>
            <w:right w:w="0" w:type="dxa"/>
          </w:tblCellMar>
        </w:tblPrEx>
        <w:trPr>
          <w:trHeight w:val="907" w:hRule="atLeast"/>
        </w:trPr>
        <w:tc>
          <w:tcPr>
            <w:tcW w:w="712" w:type="dxa"/>
            <w:tcBorders>
              <w:top w:val="single" w:color="auto" w:sz="8" w:space="0"/>
              <w:left w:val="single" w:color="auto" w:sz="12" w:space="0"/>
              <w:bottom w:val="single" w:color="auto" w:sz="8" w:space="0"/>
              <w:right w:val="single" w:color="auto" w:sz="8" w:space="0"/>
            </w:tcBorders>
            <w:vAlign w:val="center"/>
          </w:tcPr>
          <w:p w14:paraId="682208D1">
            <w:pPr>
              <w:autoSpaceDE w:val="0"/>
              <w:autoSpaceDN w:val="0"/>
              <w:jc w:val="center"/>
              <w:rPr>
                <w:kern w:val="0"/>
                <w:sz w:val="24"/>
                <w:highlight w:val="none"/>
              </w:rPr>
            </w:pPr>
          </w:p>
        </w:tc>
        <w:tc>
          <w:tcPr>
            <w:tcW w:w="720" w:type="dxa"/>
            <w:tcBorders>
              <w:top w:val="single" w:color="auto" w:sz="8" w:space="0"/>
              <w:left w:val="single" w:color="auto" w:sz="8" w:space="0"/>
              <w:bottom w:val="single" w:color="auto" w:sz="8" w:space="0"/>
              <w:right w:val="single" w:color="auto" w:sz="8" w:space="0"/>
            </w:tcBorders>
            <w:vAlign w:val="center"/>
          </w:tcPr>
          <w:p w14:paraId="7CB93315">
            <w:pPr>
              <w:autoSpaceDE w:val="0"/>
              <w:autoSpaceDN w:val="0"/>
              <w:jc w:val="center"/>
              <w:rPr>
                <w:kern w:val="0"/>
                <w:sz w:val="24"/>
                <w:highlight w:val="none"/>
              </w:rPr>
            </w:pPr>
          </w:p>
        </w:tc>
        <w:tc>
          <w:tcPr>
            <w:tcW w:w="1815" w:type="dxa"/>
            <w:tcBorders>
              <w:top w:val="single" w:color="auto" w:sz="8" w:space="0"/>
              <w:left w:val="single" w:color="auto" w:sz="8" w:space="0"/>
              <w:bottom w:val="single" w:color="auto" w:sz="8" w:space="0"/>
              <w:right w:val="single" w:color="auto" w:sz="8" w:space="0"/>
            </w:tcBorders>
            <w:vAlign w:val="center"/>
          </w:tcPr>
          <w:p w14:paraId="67E9A1D1">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08F1AC11">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3A62B32F">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7780F5F3">
            <w:pPr>
              <w:autoSpaceDE w:val="0"/>
              <w:autoSpaceDN w:val="0"/>
              <w:jc w:val="center"/>
              <w:rPr>
                <w:kern w:val="0"/>
                <w:sz w:val="24"/>
                <w:highlight w:val="none"/>
              </w:rPr>
            </w:pPr>
          </w:p>
        </w:tc>
        <w:tc>
          <w:tcPr>
            <w:tcW w:w="2117" w:type="dxa"/>
            <w:tcBorders>
              <w:top w:val="single" w:color="auto" w:sz="8" w:space="0"/>
              <w:left w:val="single" w:color="auto" w:sz="8" w:space="0"/>
              <w:bottom w:val="single" w:color="auto" w:sz="8" w:space="0"/>
              <w:right w:val="single" w:color="auto" w:sz="12" w:space="0"/>
            </w:tcBorders>
            <w:vAlign w:val="center"/>
          </w:tcPr>
          <w:p w14:paraId="2968705A">
            <w:pPr>
              <w:autoSpaceDE w:val="0"/>
              <w:autoSpaceDN w:val="0"/>
              <w:jc w:val="center"/>
              <w:rPr>
                <w:kern w:val="0"/>
                <w:sz w:val="24"/>
                <w:highlight w:val="none"/>
              </w:rPr>
            </w:pPr>
          </w:p>
        </w:tc>
      </w:tr>
      <w:tr w14:paraId="1E43C2A3">
        <w:tblPrEx>
          <w:tblCellMar>
            <w:top w:w="0" w:type="dxa"/>
            <w:left w:w="0" w:type="dxa"/>
            <w:bottom w:w="0" w:type="dxa"/>
            <w:right w:w="0" w:type="dxa"/>
          </w:tblCellMar>
        </w:tblPrEx>
        <w:trPr>
          <w:trHeight w:val="900" w:hRule="atLeast"/>
        </w:trPr>
        <w:tc>
          <w:tcPr>
            <w:tcW w:w="712" w:type="dxa"/>
            <w:tcBorders>
              <w:top w:val="single" w:color="auto" w:sz="8" w:space="0"/>
              <w:left w:val="single" w:color="auto" w:sz="12" w:space="0"/>
              <w:bottom w:val="single" w:color="auto" w:sz="12" w:space="0"/>
              <w:right w:val="single" w:color="auto" w:sz="8" w:space="0"/>
            </w:tcBorders>
            <w:vAlign w:val="center"/>
          </w:tcPr>
          <w:p w14:paraId="07D0A258">
            <w:pPr>
              <w:autoSpaceDE w:val="0"/>
              <w:autoSpaceDN w:val="0"/>
              <w:jc w:val="center"/>
              <w:rPr>
                <w:kern w:val="0"/>
                <w:sz w:val="24"/>
                <w:highlight w:val="none"/>
              </w:rPr>
            </w:pPr>
          </w:p>
        </w:tc>
        <w:tc>
          <w:tcPr>
            <w:tcW w:w="720" w:type="dxa"/>
            <w:tcBorders>
              <w:top w:val="single" w:color="auto" w:sz="8" w:space="0"/>
              <w:left w:val="single" w:color="auto" w:sz="8" w:space="0"/>
              <w:bottom w:val="single" w:color="auto" w:sz="12" w:space="0"/>
              <w:right w:val="single" w:color="auto" w:sz="8" w:space="0"/>
            </w:tcBorders>
            <w:vAlign w:val="center"/>
          </w:tcPr>
          <w:p w14:paraId="69F0CA2E">
            <w:pPr>
              <w:autoSpaceDE w:val="0"/>
              <w:autoSpaceDN w:val="0"/>
              <w:jc w:val="center"/>
              <w:rPr>
                <w:kern w:val="0"/>
                <w:sz w:val="24"/>
                <w:highlight w:val="none"/>
              </w:rPr>
            </w:pPr>
          </w:p>
        </w:tc>
        <w:tc>
          <w:tcPr>
            <w:tcW w:w="1815" w:type="dxa"/>
            <w:tcBorders>
              <w:top w:val="single" w:color="auto" w:sz="8" w:space="0"/>
              <w:left w:val="single" w:color="auto" w:sz="8" w:space="0"/>
              <w:bottom w:val="single" w:color="auto" w:sz="12" w:space="0"/>
              <w:right w:val="single" w:color="auto" w:sz="8" w:space="0"/>
            </w:tcBorders>
            <w:vAlign w:val="center"/>
          </w:tcPr>
          <w:p w14:paraId="55893A19">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12" w:space="0"/>
              <w:right w:val="single" w:color="auto" w:sz="8" w:space="0"/>
            </w:tcBorders>
            <w:vAlign w:val="center"/>
          </w:tcPr>
          <w:p w14:paraId="0C86C6CC">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12" w:space="0"/>
              <w:right w:val="single" w:color="auto" w:sz="8" w:space="0"/>
            </w:tcBorders>
            <w:vAlign w:val="center"/>
          </w:tcPr>
          <w:p w14:paraId="2985414C">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12" w:space="0"/>
              <w:right w:val="single" w:color="auto" w:sz="8" w:space="0"/>
            </w:tcBorders>
            <w:vAlign w:val="center"/>
          </w:tcPr>
          <w:p w14:paraId="7826DB7F">
            <w:pPr>
              <w:autoSpaceDE w:val="0"/>
              <w:autoSpaceDN w:val="0"/>
              <w:jc w:val="center"/>
              <w:rPr>
                <w:kern w:val="0"/>
                <w:sz w:val="24"/>
                <w:highlight w:val="none"/>
              </w:rPr>
            </w:pPr>
          </w:p>
        </w:tc>
        <w:tc>
          <w:tcPr>
            <w:tcW w:w="2117" w:type="dxa"/>
            <w:tcBorders>
              <w:top w:val="single" w:color="auto" w:sz="8" w:space="0"/>
              <w:left w:val="single" w:color="auto" w:sz="8" w:space="0"/>
              <w:bottom w:val="single" w:color="auto" w:sz="12" w:space="0"/>
              <w:right w:val="single" w:color="auto" w:sz="12" w:space="0"/>
            </w:tcBorders>
            <w:vAlign w:val="center"/>
          </w:tcPr>
          <w:p w14:paraId="05BF7DA4">
            <w:pPr>
              <w:autoSpaceDE w:val="0"/>
              <w:autoSpaceDN w:val="0"/>
              <w:jc w:val="center"/>
              <w:rPr>
                <w:kern w:val="0"/>
                <w:sz w:val="24"/>
                <w:highlight w:val="none"/>
              </w:rPr>
            </w:pPr>
          </w:p>
        </w:tc>
      </w:tr>
    </w:tbl>
    <w:p w14:paraId="288EBAB0">
      <w:pPr>
        <w:snapToGrid w:val="0"/>
        <w:spacing w:before="50" w:after="50"/>
        <w:rPr>
          <w:rFonts w:hint="eastAsia" w:ascii="宋体" w:hAnsi="宋体"/>
          <w:szCs w:val="21"/>
          <w:highlight w:val="none"/>
        </w:rPr>
      </w:pPr>
    </w:p>
    <w:p w14:paraId="069CB2C1">
      <w:pPr>
        <w:pStyle w:val="5"/>
        <w:overflowPunct w:val="0"/>
        <w:spacing w:line="520" w:lineRule="exact"/>
        <w:ind w:firstLine="0"/>
        <w:jc w:val="center"/>
        <w:rPr>
          <w:sz w:val="24"/>
          <w:highlight w:val="none"/>
        </w:rPr>
      </w:pPr>
      <w:r>
        <w:rPr>
          <w:rFonts w:hint="eastAsia"/>
          <w:sz w:val="24"/>
          <w:highlight w:val="none"/>
        </w:rPr>
        <w:t>供应商名称：</w:t>
      </w:r>
      <w:r>
        <w:rPr>
          <w:rFonts w:hint="eastAsia"/>
          <w:sz w:val="24"/>
          <w:highlight w:val="none"/>
          <w:u w:val="single"/>
        </w:rPr>
        <w:t xml:space="preserve">                         </w:t>
      </w:r>
      <w:r>
        <w:rPr>
          <w:rFonts w:hint="eastAsia"/>
          <w:sz w:val="24"/>
          <w:highlight w:val="none"/>
        </w:rPr>
        <w:t>（盖单位公章）</w:t>
      </w:r>
    </w:p>
    <w:p w14:paraId="44824E29">
      <w:pPr>
        <w:pStyle w:val="5"/>
        <w:overflowPunct w:val="0"/>
        <w:spacing w:line="520" w:lineRule="exact"/>
        <w:ind w:firstLine="1478" w:firstLineChars="616"/>
        <w:rPr>
          <w:sz w:val="24"/>
          <w:highlight w:val="none"/>
        </w:rPr>
      </w:pPr>
      <w:r>
        <w:rPr>
          <w:rFonts w:hint="eastAsia"/>
          <w:sz w:val="24"/>
          <w:highlight w:val="none"/>
        </w:rPr>
        <w:t>法定代表人或其委托代理人：</w:t>
      </w:r>
      <w:r>
        <w:rPr>
          <w:rFonts w:hint="eastAsia"/>
          <w:sz w:val="24"/>
          <w:highlight w:val="none"/>
          <w:u w:val="single"/>
        </w:rPr>
        <w:t xml:space="preserve">           </w:t>
      </w:r>
      <w:r>
        <w:rPr>
          <w:rFonts w:hint="eastAsia"/>
          <w:sz w:val="24"/>
          <w:highlight w:val="none"/>
        </w:rPr>
        <w:t>（签字）</w:t>
      </w:r>
    </w:p>
    <w:p w14:paraId="55FD4FA3">
      <w:pPr>
        <w:pStyle w:val="5"/>
        <w:overflowPunct w:val="0"/>
        <w:spacing w:line="520" w:lineRule="exact"/>
        <w:ind w:firstLine="3998" w:firstLineChars="1666"/>
        <w:rPr>
          <w:sz w:val="24"/>
          <w:highlight w:val="none"/>
        </w:rPr>
      </w:pPr>
      <w:r>
        <w:rPr>
          <w:rFonts w:hint="eastAsia"/>
          <w:sz w:val="24"/>
          <w:highlight w:val="none"/>
          <w:u w:val="single"/>
        </w:rPr>
        <w:t xml:space="preserve">      </w:t>
      </w:r>
      <w:r>
        <w:rPr>
          <w:rFonts w:hint="eastAsia"/>
          <w:sz w:val="24"/>
          <w:highlight w:val="none"/>
        </w:rPr>
        <w:t>年</w:t>
      </w:r>
      <w:r>
        <w:rPr>
          <w:rFonts w:hint="eastAsia"/>
          <w:sz w:val="24"/>
          <w:highlight w:val="none"/>
          <w:u w:val="single"/>
        </w:rPr>
        <w:t xml:space="preserve">    </w:t>
      </w:r>
      <w:r>
        <w:rPr>
          <w:rFonts w:hint="eastAsia"/>
          <w:sz w:val="24"/>
          <w:highlight w:val="none"/>
        </w:rPr>
        <w:t>月</w:t>
      </w:r>
      <w:r>
        <w:rPr>
          <w:rFonts w:hint="eastAsia"/>
          <w:sz w:val="24"/>
          <w:highlight w:val="none"/>
          <w:u w:val="single"/>
        </w:rPr>
        <w:t xml:space="preserve">    </w:t>
      </w:r>
      <w:r>
        <w:rPr>
          <w:rFonts w:hint="eastAsia"/>
          <w:sz w:val="24"/>
          <w:highlight w:val="none"/>
        </w:rPr>
        <w:t>日</w:t>
      </w:r>
    </w:p>
    <w:p w14:paraId="71E50AC3">
      <w:pPr>
        <w:snapToGrid w:val="0"/>
        <w:spacing w:before="50" w:after="120" w:afterLines="50"/>
        <w:jc w:val="left"/>
        <w:rPr>
          <w:rFonts w:hint="eastAsia" w:ascii="宋体" w:hAnsi="宋体"/>
          <w:sz w:val="24"/>
          <w:szCs w:val="20"/>
          <w:highlight w:val="none"/>
        </w:rPr>
      </w:pPr>
    </w:p>
    <w:p w14:paraId="7ADABFEA">
      <w:pPr>
        <w:jc w:val="center"/>
        <w:outlineLvl w:val="3"/>
        <w:rPr>
          <w:rFonts w:hint="eastAsia" w:ascii="黑体" w:hAnsi="宋体" w:eastAsia="黑体"/>
          <w:b/>
          <w:sz w:val="24"/>
          <w:highlight w:val="none"/>
        </w:rPr>
      </w:pPr>
      <w:r>
        <w:rPr>
          <w:rFonts w:ascii="黑体" w:hAnsi="宋体" w:eastAsia="黑体"/>
          <w:b/>
          <w:sz w:val="24"/>
          <w:highlight w:val="none"/>
        </w:rPr>
        <w:br w:type="page"/>
      </w:r>
      <w:r>
        <w:rPr>
          <w:rFonts w:hint="eastAsia" w:ascii="黑体" w:hAnsi="宋体" w:eastAsia="黑体"/>
          <w:b/>
          <w:sz w:val="24"/>
          <w:highlight w:val="none"/>
        </w:rPr>
        <w:t>2.</w:t>
      </w:r>
      <w:r>
        <w:rPr>
          <w:rFonts w:ascii="黑体" w:hAnsi="宋体" w:eastAsia="黑体"/>
          <w:b/>
          <w:sz w:val="24"/>
          <w:highlight w:val="none"/>
        </w:rPr>
        <w:t>主要人员</w:t>
      </w:r>
      <w:r>
        <w:rPr>
          <w:rFonts w:hint="eastAsia" w:ascii="黑体" w:hAnsi="宋体" w:eastAsia="黑体"/>
          <w:b/>
          <w:sz w:val="24"/>
          <w:highlight w:val="none"/>
        </w:rPr>
        <w:t>简历</w:t>
      </w:r>
      <w:r>
        <w:rPr>
          <w:rFonts w:ascii="黑体" w:hAnsi="宋体" w:eastAsia="黑体"/>
          <w:b/>
          <w:sz w:val="24"/>
          <w:highlight w:val="none"/>
        </w:rPr>
        <w:t>表</w:t>
      </w:r>
    </w:p>
    <w:p w14:paraId="3501758F">
      <w:pPr>
        <w:jc w:val="center"/>
        <w:rPr>
          <w:rFonts w:hint="eastAsia" w:ascii="黑体" w:hAnsi="宋体" w:eastAsia="黑体"/>
          <w:sz w:val="24"/>
          <w:highlight w:val="none"/>
        </w:rPr>
      </w:pPr>
    </w:p>
    <w:tbl>
      <w:tblPr>
        <w:tblStyle w:val="25"/>
        <w:tblW w:w="5000" w:type="pct"/>
        <w:jc w:val="center"/>
        <w:tblLayout w:type="autofit"/>
        <w:tblCellMar>
          <w:top w:w="0" w:type="dxa"/>
          <w:left w:w="108" w:type="dxa"/>
          <w:bottom w:w="0" w:type="dxa"/>
          <w:right w:w="108" w:type="dxa"/>
        </w:tblCellMar>
      </w:tblPr>
      <w:tblGrid>
        <w:gridCol w:w="1170"/>
        <w:gridCol w:w="864"/>
        <w:gridCol w:w="1018"/>
        <w:gridCol w:w="1013"/>
        <w:gridCol w:w="1024"/>
        <w:gridCol w:w="803"/>
        <w:gridCol w:w="1231"/>
        <w:gridCol w:w="55"/>
        <w:gridCol w:w="1994"/>
      </w:tblGrid>
      <w:tr w14:paraId="76F8E012">
        <w:tblPrEx>
          <w:tblCellMar>
            <w:top w:w="0" w:type="dxa"/>
            <w:left w:w="108" w:type="dxa"/>
            <w:bottom w:w="0" w:type="dxa"/>
            <w:right w:w="108" w:type="dxa"/>
          </w:tblCellMar>
        </w:tblPrEx>
        <w:trPr>
          <w:trHeight w:val="360" w:hRule="atLeast"/>
          <w:jc w:val="center"/>
        </w:trPr>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407CB0A">
            <w:pPr>
              <w:widowControl/>
              <w:jc w:val="center"/>
              <w:textAlignment w:val="top"/>
              <w:rPr>
                <w:rFonts w:hint="eastAsia" w:ascii="宋体" w:hAnsi="宋体" w:eastAsia="宋体" w:cs="宋体"/>
                <w:sz w:val="20"/>
                <w:szCs w:val="20"/>
                <w:highlight w:val="none"/>
              </w:rPr>
            </w:pPr>
            <w:r>
              <w:rPr>
                <w:rFonts w:hint="eastAsia" w:ascii="宋体" w:hAnsi="宋体" w:eastAsia="宋体" w:cs="宋体"/>
                <w:kern w:val="0"/>
                <w:sz w:val="20"/>
                <w:szCs w:val="20"/>
                <w:highlight w:val="none"/>
                <w:lang w:bidi="ar"/>
              </w:rPr>
              <w:t>姓</w:t>
            </w:r>
            <w:r>
              <w:rPr>
                <w:rStyle w:val="36"/>
                <w:rFonts w:hint="eastAsia" w:ascii="宋体" w:hAnsi="宋体" w:eastAsia="宋体" w:cs="宋体"/>
                <w:color w:val="auto"/>
                <w:highlight w:val="none"/>
                <w:lang w:bidi="ar"/>
              </w:rPr>
              <w:t xml:space="preserve"> 名</w:t>
            </w:r>
          </w:p>
        </w:tc>
        <w:tc>
          <w:tcPr>
            <w:tcW w:w="10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0A04FB2E">
            <w:pPr>
              <w:jc w:val="center"/>
              <w:rPr>
                <w:rFonts w:hint="eastAsia" w:ascii="宋体" w:hAnsi="宋体" w:eastAsia="宋体" w:cs="宋体"/>
                <w:sz w:val="20"/>
                <w:szCs w:val="20"/>
                <w:highlight w:val="none"/>
              </w:rPr>
            </w:pPr>
          </w:p>
        </w:tc>
        <w:tc>
          <w:tcPr>
            <w:tcW w:w="55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C24BE31">
            <w:pPr>
              <w:widowControl/>
              <w:jc w:val="center"/>
              <w:textAlignment w:val="top"/>
              <w:rPr>
                <w:rFonts w:hint="eastAsia" w:ascii="宋体" w:hAnsi="宋体" w:eastAsia="宋体" w:cs="宋体"/>
                <w:sz w:val="20"/>
                <w:szCs w:val="20"/>
                <w:highlight w:val="none"/>
              </w:rPr>
            </w:pPr>
            <w:r>
              <w:rPr>
                <w:rFonts w:hint="eastAsia" w:ascii="宋体" w:hAnsi="宋体" w:eastAsia="宋体" w:cs="宋体"/>
                <w:kern w:val="0"/>
                <w:sz w:val="20"/>
                <w:szCs w:val="20"/>
                <w:highlight w:val="none"/>
                <w:lang w:bidi="ar"/>
              </w:rPr>
              <w:t>年龄</w:t>
            </w:r>
          </w:p>
        </w:tc>
        <w:tc>
          <w:tcPr>
            <w:tcW w:w="5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8A15DA1">
            <w:pPr>
              <w:jc w:val="center"/>
              <w:rPr>
                <w:rFonts w:hint="eastAsia" w:ascii="宋体" w:hAnsi="宋体" w:eastAsia="宋体" w:cs="宋体"/>
                <w:sz w:val="20"/>
                <w:szCs w:val="20"/>
                <w:highlight w:val="none"/>
              </w:rPr>
            </w:pPr>
          </w:p>
        </w:tc>
        <w:tc>
          <w:tcPr>
            <w:tcW w:w="1139" w:type="pct"/>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5191BED5">
            <w:pPr>
              <w:widowControl/>
              <w:jc w:val="left"/>
              <w:textAlignment w:val="top"/>
              <w:rPr>
                <w:rFonts w:hint="eastAsia" w:ascii="宋体" w:hAnsi="宋体" w:eastAsia="宋体" w:cs="宋体"/>
                <w:kern w:val="0"/>
                <w:sz w:val="20"/>
                <w:szCs w:val="20"/>
                <w:highlight w:val="none"/>
                <w:lang w:bidi="ar"/>
              </w:rPr>
            </w:pPr>
            <w:r>
              <w:rPr>
                <w:rFonts w:hint="eastAsia" w:ascii="宋体" w:hAnsi="宋体" w:eastAsia="宋体" w:cs="宋体"/>
                <w:kern w:val="0"/>
                <w:sz w:val="20"/>
                <w:szCs w:val="20"/>
                <w:highlight w:val="none"/>
                <w:lang w:bidi="ar"/>
              </w:rPr>
              <w:t>执业资格证书</w:t>
            </w:r>
          </w:p>
          <w:p w14:paraId="5F52C6F2">
            <w:pPr>
              <w:widowControl/>
              <w:jc w:val="left"/>
              <w:textAlignment w:val="top"/>
              <w:rPr>
                <w:rFonts w:hint="eastAsia" w:ascii="宋体" w:hAnsi="宋体" w:eastAsia="宋体" w:cs="宋体"/>
                <w:sz w:val="20"/>
                <w:szCs w:val="20"/>
                <w:highlight w:val="none"/>
              </w:rPr>
            </w:pPr>
            <w:r>
              <w:rPr>
                <w:rFonts w:hint="eastAsia" w:ascii="宋体" w:hAnsi="宋体" w:eastAsia="宋体" w:cs="宋体"/>
                <w:kern w:val="0"/>
                <w:sz w:val="20"/>
                <w:szCs w:val="20"/>
                <w:highlight w:val="none"/>
                <w:lang w:bidi="ar"/>
              </w:rPr>
              <w:t>（或上岗证书）名称</w:t>
            </w:r>
          </w:p>
        </w:tc>
        <w:tc>
          <w:tcPr>
            <w:tcW w:w="108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5A71C64">
            <w:pPr>
              <w:jc w:val="center"/>
              <w:rPr>
                <w:rFonts w:hint="eastAsia" w:ascii="宋体" w:hAnsi="宋体" w:eastAsia="宋体" w:cs="宋体"/>
                <w:sz w:val="20"/>
                <w:szCs w:val="20"/>
                <w:highlight w:val="none"/>
              </w:rPr>
            </w:pPr>
          </w:p>
        </w:tc>
      </w:tr>
      <w:tr w14:paraId="4C128AD4">
        <w:tblPrEx>
          <w:tblCellMar>
            <w:top w:w="0" w:type="dxa"/>
            <w:left w:w="108" w:type="dxa"/>
            <w:bottom w:w="0" w:type="dxa"/>
            <w:right w:w="108" w:type="dxa"/>
          </w:tblCellMar>
        </w:tblPrEx>
        <w:trPr>
          <w:trHeight w:val="665" w:hRule="atLeast"/>
          <w:jc w:val="center"/>
        </w:trPr>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4B91823">
            <w:pPr>
              <w:widowControl/>
              <w:jc w:val="center"/>
              <w:textAlignment w:val="top"/>
              <w:rPr>
                <w:rFonts w:hint="eastAsia" w:ascii="宋体" w:hAnsi="宋体" w:eastAsia="宋体" w:cs="宋体"/>
                <w:sz w:val="20"/>
                <w:szCs w:val="20"/>
                <w:highlight w:val="none"/>
              </w:rPr>
            </w:pPr>
            <w:r>
              <w:rPr>
                <w:rFonts w:hint="eastAsia" w:ascii="宋体" w:hAnsi="宋体" w:eastAsia="宋体" w:cs="宋体"/>
                <w:kern w:val="0"/>
                <w:sz w:val="20"/>
                <w:szCs w:val="20"/>
                <w:highlight w:val="none"/>
                <w:lang w:bidi="ar"/>
              </w:rPr>
              <w:t>职</w:t>
            </w:r>
            <w:r>
              <w:rPr>
                <w:rStyle w:val="36"/>
                <w:rFonts w:hint="eastAsia" w:ascii="宋体" w:hAnsi="宋体" w:eastAsia="宋体" w:cs="宋体"/>
                <w:color w:val="auto"/>
                <w:highlight w:val="none"/>
                <w:lang w:bidi="ar"/>
              </w:rPr>
              <w:t xml:space="preserve"> 称</w:t>
            </w:r>
          </w:p>
        </w:tc>
        <w:tc>
          <w:tcPr>
            <w:tcW w:w="10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0BDFCB76">
            <w:pPr>
              <w:jc w:val="center"/>
              <w:rPr>
                <w:rFonts w:hint="eastAsia" w:ascii="宋体" w:hAnsi="宋体" w:eastAsia="宋体" w:cs="宋体"/>
                <w:sz w:val="20"/>
                <w:szCs w:val="20"/>
                <w:highlight w:val="none"/>
              </w:rPr>
            </w:pPr>
          </w:p>
        </w:tc>
        <w:tc>
          <w:tcPr>
            <w:tcW w:w="55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38D320E">
            <w:pPr>
              <w:widowControl/>
              <w:jc w:val="center"/>
              <w:textAlignment w:val="top"/>
              <w:rPr>
                <w:rFonts w:hint="eastAsia" w:ascii="宋体" w:hAnsi="宋体" w:eastAsia="宋体" w:cs="宋体"/>
                <w:sz w:val="20"/>
                <w:szCs w:val="20"/>
                <w:highlight w:val="none"/>
              </w:rPr>
            </w:pPr>
            <w:r>
              <w:rPr>
                <w:rFonts w:hint="eastAsia" w:ascii="宋体" w:hAnsi="宋体" w:eastAsia="宋体" w:cs="宋体"/>
                <w:kern w:val="0"/>
                <w:sz w:val="20"/>
                <w:szCs w:val="20"/>
                <w:highlight w:val="none"/>
                <w:lang w:bidi="ar"/>
              </w:rPr>
              <w:t>学历</w:t>
            </w:r>
          </w:p>
        </w:tc>
        <w:tc>
          <w:tcPr>
            <w:tcW w:w="5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AC601CC">
            <w:pPr>
              <w:jc w:val="center"/>
              <w:rPr>
                <w:rFonts w:hint="eastAsia" w:ascii="宋体" w:hAnsi="宋体" w:eastAsia="宋体" w:cs="宋体"/>
                <w:sz w:val="20"/>
                <w:szCs w:val="20"/>
                <w:highlight w:val="none"/>
              </w:rPr>
            </w:pPr>
          </w:p>
        </w:tc>
        <w:tc>
          <w:tcPr>
            <w:tcW w:w="1139" w:type="pct"/>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193FF097">
            <w:pPr>
              <w:widowControl/>
              <w:jc w:val="left"/>
              <w:textAlignment w:val="top"/>
              <w:rPr>
                <w:rFonts w:hint="eastAsia" w:ascii="宋体" w:hAnsi="宋体" w:eastAsia="宋体" w:cs="宋体"/>
                <w:sz w:val="20"/>
                <w:szCs w:val="20"/>
                <w:highlight w:val="none"/>
              </w:rPr>
            </w:pPr>
            <w:r>
              <w:rPr>
                <w:rFonts w:hint="eastAsia" w:ascii="宋体" w:hAnsi="宋体" w:eastAsia="宋体" w:cs="宋体"/>
                <w:kern w:val="0"/>
                <w:sz w:val="20"/>
                <w:szCs w:val="20"/>
                <w:highlight w:val="none"/>
                <w:lang w:bidi="ar"/>
              </w:rPr>
              <w:t>拟在本项目任职</w:t>
            </w:r>
          </w:p>
        </w:tc>
        <w:tc>
          <w:tcPr>
            <w:tcW w:w="108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4FD7F89">
            <w:pPr>
              <w:jc w:val="center"/>
              <w:rPr>
                <w:rFonts w:hint="eastAsia" w:ascii="宋体" w:hAnsi="宋体" w:eastAsia="宋体" w:cs="宋体"/>
                <w:sz w:val="20"/>
                <w:szCs w:val="20"/>
                <w:highlight w:val="none"/>
              </w:rPr>
            </w:pPr>
          </w:p>
        </w:tc>
      </w:tr>
      <w:tr w14:paraId="1B15DA9C">
        <w:tblPrEx>
          <w:tblCellMar>
            <w:top w:w="0" w:type="dxa"/>
            <w:left w:w="108" w:type="dxa"/>
            <w:bottom w:w="0" w:type="dxa"/>
            <w:right w:w="108" w:type="dxa"/>
          </w:tblCellMar>
        </w:tblPrEx>
        <w:trPr>
          <w:trHeight w:val="360" w:hRule="atLeast"/>
          <w:jc w:val="center"/>
        </w:trPr>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E64BB9B">
            <w:pPr>
              <w:widowControl/>
              <w:jc w:val="center"/>
              <w:textAlignment w:val="top"/>
              <w:rPr>
                <w:rFonts w:hint="eastAsia" w:ascii="宋体" w:hAnsi="宋体" w:eastAsia="宋体" w:cs="宋体"/>
                <w:sz w:val="20"/>
                <w:szCs w:val="20"/>
                <w:highlight w:val="none"/>
              </w:rPr>
            </w:pPr>
            <w:r>
              <w:rPr>
                <w:rFonts w:hint="eastAsia" w:ascii="宋体" w:hAnsi="宋体" w:eastAsia="宋体" w:cs="宋体"/>
                <w:kern w:val="0"/>
                <w:sz w:val="20"/>
                <w:szCs w:val="20"/>
                <w:highlight w:val="none"/>
                <w:lang w:bidi="ar"/>
              </w:rPr>
              <w:t>工作年限</w:t>
            </w:r>
          </w:p>
        </w:tc>
        <w:tc>
          <w:tcPr>
            <w:tcW w:w="2136" w:type="pct"/>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797E2C48">
            <w:pPr>
              <w:jc w:val="center"/>
              <w:rPr>
                <w:rFonts w:hint="eastAsia" w:ascii="宋体" w:hAnsi="宋体" w:eastAsia="宋体" w:cs="宋体"/>
                <w:sz w:val="20"/>
                <w:szCs w:val="20"/>
                <w:highlight w:val="none"/>
              </w:rPr>
            </w:pPr>
          </w:p>
        </w:tc>
        <w:tc>
          <w:tcPr>
            <w:tcW w:w="1139" w:type="pct"/>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7875B379">
            <w:pPr>
              <w:widowControl/>
              <w:jc w:val="left"/>
              <w:textAlignment w:val="top"/>
              <w:rPr>
                <w:rFonts w:hint="eastAsia" w:ascii="宋体" w:hAnsi="宋体" w:eastAsia="宋体" w:cs="宋体"/>
                <w:sz w:val="20"/>
                <w:szCs w:val="20"/>
                <w:highlight w:val="none"/>
              </w:rPr>
            </w:pPr>
            <w:r>
              <w:rPr>
                <w:rFonts w:hint="eastAsia" w:ascii="宋体" w:hAnsi="宋体" w:eastAsia="宋体" w:cs="宋体"/>
                <w:kern w:val="0"/>
                <w:sz w:val="20"/>
                <w:szCs w:val="20"/>
                <w:highlight w:val="none"/>
                <w:lang w:bidi="ar"/>
              </w:rPr>
              <w:t>从事相关工作年限</w:t>
            </w:r>
          </w:p>
        </w:tc>
        <w:tc>
          <w:tcPr>
            <w:tcW w:w="108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67329C2">
            <w:pPr>
              <w:jc w:val="center"/>
              <w:rPr>
                <w:rFonts w:hint="eastAsia" w:ascii="宋体" w:hAnsi="宋体" w:eastAsia="宋体" w:cs="宋体"/>
                <w:sz w:val="20"/>
                <w:szCs w:val="20"/>
                <w:highlight w:val="none"/>
              </w:rPr>
            </w:pPr>
          </w:p>
        </w:tc>
      </w:tr>
      <w:tr w14:paraId="53DB7353">
        <w:tblPrEx>
          <w:tblCellMar>
            <w:top w:w="0" w:type="dxa"/>
            <w:left w:w="108" w:type="dxa"/>
            <w:bottom w:w="0" w:type="dxa"/>
            <w:right w:w="108" w:type="dxa"/>
          </w:tblCellMar>
        </w:tblPrEx>
        <w:trPr>
          <w:trHeight w:val="710" w:hRule="atLeast"/>
          <w:jc w:val="center"/>
        </w:trPr>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0705210">
            <w:pPr>
              <w:widowControl/>
              <w:jc w:val="center"/>
              <w:textAlignment w:val="top"/>
              <w:rPr>
                <w:rFonts w:hint="eastAsia" w:ascii="宋体" w:hAnsi="宋体" w:eastAsia="宋体" w:cs="宋体"/>
                <w:sz w:val="20"/>
                <w:szCs w:val="20"/>
                <w:highlight w:val="none"/>
              </w:rPr>
            </w:pPr>
            <w:r>
              <w:rPr>
                <w:rFonts w:hint="eastAsia" w:ascii="宋体" w:hAnsi="宋体" w:eastAsia="宋体" w:cs="宋体"/>
                <w:kern w:val="0"/>
                <w:sz w:val="20"/>
                <w:szCs w:val="20"/>
                <w:highlight w:val="none"/>
                <w:lang w:bidi="ar"/>
              </w:rPr>
              <w:t>毕业学校</w:t>
            </w:r>
          </w:p>
        </w:tc>
        <w:tc>
          <w:tcPr>
            <w:tcW w:w="4361" w:type="pct"/>
            <w:gridSpan w:val="8"/>
            <w:tcBorders>
              <w:top w:val="single" w:color="000000" w:sz="4" w:space="0"/>
              <w:left w:val="single" w:color="000000" w:sz="4" w:space="0"/>
              <w:bottom w:val="single" w:color="000000" w:sz="4" w:space="0"/>
              <w:right w:val="single" w:color="000000" w:sz="4" w:space="0"/>
            </w:tcBorders>
            <w:shd w:val="clear" w:color="auto" w:fill="FFFFFF"/>
            <w:vAlign w:val="center"/>
          </w:tcPr>
          <w:p w14:paraId="6008FCE9">
            <w:pPr>
              <w:widowControl/>
              <w:jc w:val="center"/>
              <w:textAlignment w:val="top"/>
              <w:rPr>
                <w:rFonts w:hint="eastAsia" w:ascii="宋体" w:hAnsi="宋体" w:eastAsia="宋体" w:cs="宋体"/>
                <w:sz w:val="20"/>
                <w:szCs w:val="20"/>
                <w:highlight w:val="none"/>
              </w:rPr>
            </w:pPr>
            <w:r>
              <w:rPr>
                <w:rFonts w:hint="eastAsia" w:ascii="宋体" w:hAnsi="宋体" w:eastAsia="宋体" w:cs="宋体"/>
                <w:kern w:val="0"/>
                <w:sz w:val="20"/>
                <w:szCs w:val="20"/>
                <w:highlight w:val="none"/>
                <w:lang w:bidi="ar"/>
              </w:rPr>
              <w:t>年毕业于</w:t>
            </w:r>
            <w:r>
              <w:rPr>
                <w:rStyle w:val="36"/>
                <w:rFonts w:hint="eastAsia" w:ascii="宋体" w:hAnsi="宋体" w:eastAsia="宋体" w:cs="宋体"/>
                <w:color w:val="auto"/>
                <w:highlight w:val="none"/>
                <w:lang w:bidi="ar"/>
              </w:rPr>
              <w:t xml:space="preserve">          学校       专业</w:t>
            </w:r>
          </w:p>
        </w:tc>
      </w:tr>
      <w:tr w14:paraId="5DDCA164">
        <w:tblPrEx>
          <w:tblCellMar>
            <w:top w:w="0" w:type="dxa"/>
            <w:left w:w="108" w:type="dxa"/>
            <w:bottom w:w="0" w:type="dxa"/>
            <w:right w:w="108" w:type="dxa"/>
          </w:tblCellMar>
        </w:tblPrEx>
        <w:trPr>
          <w:trHeight w:val="590" w:hRule="atLeast"/>
          <w:jc w:val="center"/>
        </w:trPr>
        <w:tc>
          <w:tcPr>
            <w:tcW w:w="5000" w:type="pct"/>
            <w:gridSpan w:val="9"/>
            <w:tcBorders>
              <w:top w:val="single" w:color="000000" w:sz="4" w:space="0"/>
              <w:left w:val="single" w:color="000000" w:sz="4" w:space="0"/>
              <w:bottom w:val="single" w:color="000000" w:sz="4" w:space="0"/>
              <w:right w:val="single" w:color="000000" w:sz="4" w:space="0"/>
            </w:tcBorders>
            <w:shd w:val="clear" w:color="auto" w:fill="FFFFFF"/>
            <w:vAlign w:val="center"/>
          </w:tcPr>
          <w:p w14:paraId="24E41A96">
            <w:pPr>
              <w:widowControl/>
              <w:jc w:val="center"/>
              <w:textAlignment w:val="top"/>
              <w:rPr>
                <w:rFonts w:hint="eastAsia" w:ascii="宋体" w:hAnsi="宋体" w:eastAsia="宋体" w:cs="宋体"/>
                <w:sz w:val="20"/>
                <w:szCs w:val="20"/>
                <w:highlight w:val="none"/>
              </w:rPr>
            </w:pPr>
            <w:r>
              <w:rPr>
                <w:rFonts w:hint="eastAsia" w:ascii="宋体" w:hAnsi="宋体" w:eastAsia="宋体" w:cs="宋体"/>
                <w:kern w:val="0"/>
                <w:sz w:val="20"/>
                <w:szCs w:val="20"/>
                <w:highlight w:val="none"/>
                <w:lang w:bidi="ar"/>
              </w:rPr>
              <w:t>主要工作经历</w:t>
            </w:r>
          </w:p>
        </w:tc>
      </w:tr>
      <w:tr w14:paraId="5A3D24D2">
        <w:tblPrEx>
          <w:tblCellMar>
            <w:top w:w="0" w:type="dxa"/>
            <w:left w:w="108" w:type="dxa"/>
            <w:bottom w:w="0" w:type="dxa"/>
            <w:right w:w="108" w:type="dxa"/>
          </w:tblCellMar>
        </w:tblPrEx>
        <w:trPr>
          <w:trHeight w:val="360" w:hRule="atLeast"/>
          <w:jc w:val="center"/>
        </w:trPr>
        <w:tc>
          <w:tcPr>
            <w:tcW w:w="1109"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74285C4E">
            <w:pPr>
              <w:widowControl/>
              <w:jc w:val="center"/>
              <w:textAlignment w:val="top"/>
              <w:rPr>
                <w:rFonts w:hint="eastAsia" w:ascii="宋体" w:hAnsi="宋体" w:eastAsia="宋体" w:cs="宋体"/>
                <w:sz w:val="20"/>
                <w:szCs w:val="20"/>
                <w:highlight w:val="none"/>
              </w:rPr>
            </w:pPr>
            <w:r>
              <w:rPr>
                <w:rFonts w:hint="eastAsia" w:ascii="宋体" w:hAnsi="宋体" w:eastAsia="宋体" w:cs="宋体"/>
                <w:kern w:val="0"/>
                <w:sz w:val="20"/>
                <w:szCs w:val="20"/>
                <w:highlight w:val="none"/>
                <w:lang w:bidi="ar"/>
              </w:rPr>
              <w:t>时</w:t>
            </w:r>
            <w:r>
              <w:rPr>
                <w:rStyle w:val="36"/>
                <w:rFonts w:hint="eastAsia" w:ascii="宋体" w:hAnsi="宋体" w:eastAsia="宋体" w:cs="宋体"/>
                <w:color w:val="auto"/>
                <w:highlight w:val="none"/>
                <w:lang w:bidi="ar"/>
              </w:rPr>
              <w:t xml:space="preserve"> 间</w:t>
            </w:r>
          </w:p>
        </w:tc>
        <w:tc>
          <w:tcPr>
            <w:tcW w:w="2103" w:type="pct"/>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4B6A1A84">
            <w:pPr>
              <w:widowControl/>
              <w:jc w:val="center"/>
              <w:textAlignment w:val="top"/>
              <w:rPr>
                <w:rFonts w:hint="eastAsia" w:ascii="宋体" w:hAnsi="宋体" w:eastAsia="宋体" w:cs="宋体"/>
                <w:sz w:val="20"/>
                <w:szCs w:val="20"/>
                <w:highlight w:val="none"/>
              </w:rPr>
            </w:pPr>
            <w:r>
              <w:rPr>
                <w:rFonts w:hint="eastAsia" w:ascii="宋体" w:hAnsi="宋体" w:eastAsia="宋体" w:cs="宋体"/>
                <w:kern w:val="0"/>
                <w:sz w:val="20"/>
                <w:szCs w:val="20"/>
                <w:highlight w:val="none"/>
                <w:lang w:bidi="ar"/>
              </w:rPr>
              <w:t>参加过的类似项目</w:t>
            </w:r>
          </w:p>
        </w:tc>
        <w:tc>
          <w:tcPr>
            <w:tcW w:w="67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0880F4C">
            <w:pPr>
              <w:widowControl/>
              <w:jc w:val="center"/>
              <w:textAlignment w:val="top"/>
              <w:rPr>
                <w:rFonts w:hint="eastAsia" w:ascii="宋体" w:hAnsi="宋体" w:eastAsia="宋体" w:cs="宋体"/>
                <w:sz w:val="20"/>
                <w:szCs w:val="20"/>
                <w:highlight w:val="none"/>
              </w:rPr>
            </w:pPr>
            <w:r>
              <w:rPr>
                <w:rFonts w:hint="eastAsia" w:ascii="宋体" w:hAnsi="宋体" w:eastAsia="宋体" w:cs="宋体"/>
                <w:kern w:val="0"/>
                <w:sz w:val="20"/>
                <w:szCs w:val="20"/>
                <w:highlight w:val="none"/>
                <w:lang w:bidi="ar"/>
              </w:rPr>
              <w:t>担任职务</w:t>
            </w:r>
          </w:p>
        </w:tc>
        <w:tc>
          <w:tcPr>
            <w:tcW w:w="111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3EBFAC2E">
            <w:pPr>
              <w:widowControl/>
              <w:jc w:val="center"/>
              <w:textAlignment w:val="top"/>
              <w:rPr>
                <w:rFonts w:hint="eastAsia" w:ascii="宋体" w:hAnsi="宋体" w:eastAsia="宋体" w:cs="宋体"/>
                <w:sz w:val="20"/>
                <w:szCs w:val="20"/>
                <w:highlight w:val="none"/>
              </w:rPr>
            </w:pPr>
            <w:r>
              <w:rPr>
                <w:rFonts w:hint="eastAsia" w:ascii="宋体" w:hAnsi="宋体" w:eastAsia="宋体" w:cs="宋体"/>
                <w:kern w:val="0"/>
                <w:sz w:val="20"/>
                <w:szCs w:val="20"/>
                <w:highlight w:val="none"/>
                <w:lang w:bidi="ar"/>
              </w:rPr>
              <w:t>发包人及联系电话</w:t>
            </w:r>
          </w:p>
        </w:tc>
      </w:tr>
      <w:tr w14:paraId="624F5490">
        <w:tblPrEx>
          <w:tblCellMar>
            <w:top w:w="0" w:type="dxa"/>
            <w:left w:w="108" w:type="dxa"/>
            <w:bottom w:w="0" w:type="dxa"/>
            <w:right w:w="108" w:type="dxa"/>
          </w:tblCellMar>
        </w:tblPrEx>
        <w:trPr>
          <w:trHeight w:val="360" w:hRule="atLeast"/>
          <w:jc w:val="center"/>
        </w:trPr>
        <w:tc>
          <w:tcPr>
            <w:tcW w:w="1109"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76BA6A65">
            <w:pPr>
              <w:jc w:val="center"/>
              <w:rPr>
                <w:rFonts w:hint="eastAsia" w:ascii="宋体" w:hAnsi="宋体" w:eastAsia="宋体" w:cs="宋体"/>
                <w:sz w:val="20"/>
                <w:szCs w:val="20"/>
                <w:highlight w:val="none"/>
              </w:rPr>
            </w:pPr>
          </w:p>
        </w:tc>
        <w:tc>
          <w:tcPr>
            <w:tcW w:w="2103" w:type="pct"/>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6890AA49">
            <w:pPr>
              <w:jc w:val="center"/>
              <w:rPr>
                <w:rFonts w:hint="eastAsia" w:ascii="宋体" w:hAnsi="宋体" w:eastAsia="宋体" w:cs="宋体"/>
                <w:sz w:val="20"/>
                <w:szCs w:val="20"/>
                <w:highlight w:val="none"/>
              </w:rPr>
            </w:pPr>
          </w:p>
        </w:tc>
        <w:tc>
          <w:tcPr>
            <w:tcW w:w="67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0E1ADA1">
            <w:pPr>
              <w:jc w:val="center"/>
              <w:rPr>
                <w:rFonts w:hint="eastAsia" w:ascii="宋体" w:hAnsi="宋体" w:eastAsia="宋体" w:cs="宋体"/>
                <w:sz w:val="20"/>
                <w:szCs w:val="20"/>
                <w:highlight w:val="none"/>
              </w:rPr>
            </w:pPr>
          </w:p>
        </w:tc>
        <w:tc>
          <w:tcPr>
            <w:tcW w:w="111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3CCEBDAC">
            <w:pPr>
              <w:jc w:val="center"/>
              <w:rPr>
                <w:rFonts w:hint="eastAsia" w:ascii="宋体" w:hAnsi="宋体" w:eastAsia="宋体" w:cs="宋体"/>
                <w:sz w:val="20"/>
                <w:szCs w:val="20"/>
                <w:highlight w:val="none"/>
              </w:rPr>
            </w:pPr>
          </w:p>
        </w:tc>
      </w:tr>
      <w:tr w14:paraId="6FF10D45">
        <w:tblPrEx>
          <w:tblCellMar>
            <w:top w:w="0" w:type="dxa"/>
            <w:left w:w="108" w:type="dxa"/>
            <w:bottom w:w="0" w:type="dxa"/>
            <w:right w:w="108" w:type="dxa"/>
          </w:tblCellMar>
        </w:tblPrEx>
        <w:trPr>
          <w:trHeight w:val="360" w:hRule="atLeast"/>
          <w:jc w:val="center"/>
        </w:trPr>
        <w:tc>
          <w:tcPr>
            <w:tcW w:w="1109"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186BF36E">
            <w:pPr>
              <w:jc w:val="center"/>
              <w:rPr>
                <w:rFonts w:hint="eastAsia" w:ascii="宋体" w:hAnsi="宋体" w:eastAsia="宋体" w:cs="宋体"/>
                <w:sz w:val="20"/>
                <w:szCs w:val="20"/>
                <w:highlight w:val="none"/>
              </w:rPr>
            </w:pPr>
          </w:p>
        </w:tc>
        <w:tc>
          <w:tcPr>
            <w:tcW w:w="2103" w:type="pct"/>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006671A5">
            <w:pPr>
              <w:jc w:val="center"/>
              <w:rPr>
                <w:rFonts w:hint="eastAsia" w:ascii="宋体" w:hAnsi="宋体" w:eastAsia="宋体" w:cs="宋体"/>
                <w:sz w:val="20"/>
                <w:szCs w:val="20"/>
                <w:highlight w:val="none"/>
              </w:rPr>
            </w:pPr>
          </w:p>
        </w:tc>
        <w:tc>
          <w:tcPr>
            <w:tcW w:w="67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52280A2">
            <w:pPr>
              <w:jc w:val="center"/>
              <w:rPr>
                <w:rFonts w:hint="eastAsia" w:ascii="宋体" w:hAnsi="宋体" w:eastAsia="宋体" w:cs="宋体"/>
                <w:sz w:val="20"/>
                <w:szCs w:val="20"/>
                <w:highlight w:val="none"/>
              </w:rPr>
            </w:pPr>
          </w:p>
        </w:tc>
        <w:tc>
          <w:tcPr>
            <w:tcW w:w="111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47ADC1CF">
            <w:pPr>
              <w:jc w:val="center"/>
              <w:rPr>
                <w:rFonts w:hint="eastAsia" w:ascii="宋体" w:hAnsi="宋体" w:eastAsia="宋体" w:cs="宋体"/>
                <w:sz w:val="20"/>
                <w:szCs w:val="20"/>
                <w:highlight w:val="none"/>
              </w:rPr>
            </w:pPr>
          </w:p>
        </w:tc>
      </w:tr>
      <w:tr w14:paraId="5D3E7E8F">
        <w:tblPrEx>
          <w:tblCellMar>
            <w:top w:w="0" w:type="dxa"/>
            <w:left w:w="108" w:type="dxa"/>
            <w:bottom w:w="0" w:type="dxa"/>
            <w:right w:w="108" w:type="dxa"/>
          </w:tblCellMar>
        </w:tblPrEx>
        <w:trPr>
          <w:trHeight w:val="360" w:hRule="atLeast"/>
          <w:jc w:val="center"/>
        </w:trPr>
        <w:tc>
          <w:tcPr>
            <w:tcW w:w="1109"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0D96FF90">
            <w:pPr>
              <w:jc w:val="center"/>
              <w:rPr>
                <w:rFonts w:hint="eastAsia" w:ascii="宋体" w:hAnsi="宋体" w:eastAsia="宋体" w:cs="宋体"/>
                <w:sz w:val="20"/>
                <w:szCs w:val="20"/>
                <w:highlight w:val="none"/>
              </w:rPr>
            </w:pPr>
          </w:p>
        </w:tc>
        <w:tc>
          <w:tcPr>
            <w:tcW w:w="2103" w:type="pct"/>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74D6F593">
            <w:pPr>
              <w:jc w:val="center"/>
              <w:rPr>
                <w:rFonts w:hint="eastAsia" w:ascii="宋体" w:hAnsi="宋体" w:eastAsia="宋体" w:cs="宋体"/>
                <w:sz w:val="20"/>
                <w:szCs w:val="20"/>
                <w:highlight w:val="none"/>
              </w:rPr>
            </w:pPr>
          </w:p>
        </w:tc>
        <w:tc>
          <w:tcPr>
            <w:tcW w:w="67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598066E">
            <w:pPr>
              <w:jc w:val="center"/>
              <w:rPr>
                <w:rFonts w:hint="eastAsia" w:ascii="宋体" w:hAnsi="宋体" w:eastAsia="宋体" w:cs="宋体"/>
                <w:sz w:val="20"/>
                <w:szCs w:val="20"/>
                <w:highlight w:val="none"/>
              </w:rPr>
            </w:pPr>
          </w:p>
        </w:tc>
        <w:tc>
          <w:tcPr>
            <w:tcW w:w="111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643B97E1">
            <w:pPr>
              <w:jc w:val="center"/>
              <w:rPr>
                <w:rFonts w:hint="eastAsia" w:ascii="宋体" w:hAnsi="宋体" w:eastAsia="宋体" w:cs="宋体"/>
                <w:sz w:val="20"/>
                <w:szCs w:val="20"/>
                <w:highlight w:val="none"/>
              </w:rPr>
            </w:pPr>
          </w:p>
        </w:tc>
      </w:tr>
      <w:tr w14:paraId="4859E3A4">
        <w:tblPrEx>
          <w:tblCellMar>
            <w:top w:w="0" w:type="dxa"/>
            <w:left w:w="108" w:type="dxa"/>
            <w:bottom w:w="0" w:type="dxa"/>
            <w:right w:w="108" w:type="dxa"/>
          </w:tblCellMar>
        </w:tblPrEx>
        <w:trPr>
          <w:trHeight w:val="330" w:hRule="atLeast"/>
          <w:jc w:val="center"/>
        </w:trPr>
        <w:tc>
          <w:tcPr>
            <w:tcW w:w="1109"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418A1C66">
            <w:pPr>
              <w:jc w:val="center"/>
              <w:rPr>
                <w:rFonts w:hint="eastAsia" w:ascii="宋体" w:hAnsi="宋体" w:eastAsia="宋体" w:cs="宋体"/>
                <w:sz w:val="20"/>
                <w:szCs w:val="20"/>
                <w:highlight w:val="none"/>
              </w:rPr>
            </w:pPr>
          </w:p>
        </w:tc>
        <w:tc>
          <w:tcPr>
            <w:tcW w:w="2103" w:type="pct"/>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6A7056D5">
            <w:pPr>
              <w:jc w:val="center"/>
              <w:rPr>
                <w:rFonts w:hint="eastAsia" w:ascii="宋体" w:hAnsi="宋体" w:eastAsia="宋体" w:cs="宋体"/>
                <w:sz w:val="20"/>
                <w:szCs w:val="20"/>
                <w:highlight w:val="none"/>
              </w:rPr>
            </w:pPr>
          </w:p>
        </w:tc>
        <w:tc>
          <w:tcPr>
            <w:tcW w:w="67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2C02B27">
            <w:pPr>
              <w:jc w:val="center"/>
              <w:rPr>
                <w:rFonts w:hint="eastAsia" w:ascii="宋体" w:hAnsi="宋体" w:eastAsia="宋体" w:cs="宋体"/>
                <w:sz w:val="20"/>
                <w:szCs w:val="20"/>
                <w:highlight w:val="none"/>
              </w:rPr>
            </w:pPr>
          </w:p>
        </w:tc>
        <w:tc>
          <w:tcPr>
            <w:tcW w:w="111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51446816">
            <w:pPr>
              <w:jc w:val="center"/>
              <w:rPr>
                <w:rFonts w:hint="eastAsia" w:ascii="宋体" w:hAnsi="宋体" w:eastAsia="宋体" w:cs="宋体"/>
                <w:sz w:val="20"/>
                <w:szCs w:val="20"/>
                <w:highlight w:val="none"/>
              </w:rPr>
            </w:pPr>
          </w:p>
        </w:tc>
      </w:tr>
      <w:tr w14:paraId="28B803EC">
        <w:tblPrEx>
          <w:tblCellMar>
            <w:top w:w="0" w:type="dxa"/>
            <w:left w:w="108" w:type="dxa"/>
            <w:bottom w:w="0" w:type="dxa"/>
            <w:right w:w="108" w:type="dxa"/>
          </w:tblCellMar>
        </w:tblPrEx>
        <w:trPr>
          <w:trHeight w:val="330" w:hRule="atLeast"/>
          <w:jc w:val="center"/>
        </w:trPr>
        <w:tc>
          <w:tcPr>
            <w:tcW w:w="1109"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3B7EE7A4">
            <w:pPr>
              <w:jc w:val="center"/>
              <w:rPr>
                <w:rFonts w:hint="eastAsia" w:ascii="宋体" w:hAnsi="宋体" w:eastAsia="宋体" w:cs="宋体"/>
                <w:sz w:val="20"/>
                <w:szCs w:val="20"/>
                <w:highlight w:val="none"/>
              </w:rPr>
            </w:pPr>
          </w:p>
        </w:tc>
        <w:tc>
          <w:tcPr>
            <w:tcW w:w="2103" w:type="pct"/>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0E8948FC">
            <w:pPr>
              <w:jc w:val="center"/>
              <w:rPr>
                <w:rFonts w:hint="eastAsia" w:ascii="宋体" w:hAnsi="宋体" w:eastAsia="宋体" w:cs="宋体"/>
                <w:sz w:val="20"/>
                <w:szCs w:val="20"/>
                <w:highlight w:val="none"/>
              </w:rPr>
            </w:pPr>
          </w:p>
        </w:tc>
        <w:tc>
          <w:tcPr>
            <w:tcW w:w="67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3C1AD2F">
            <w:pPr>
              <w:jc w:val="center"/>
              <w:rPr>
                <w:rFonts w:hint="eastAsia" w:ascii="宋体" w:hAnsi="宋体" w:eastAsia="宋体" w:cs="宋体"/>
                <w:sz w:val="20"/>
                <w:szCs w:val="20"/>
                <w:highlight w:val="none"/>
              </w:rPr>
            </w:pPr>
          </w:p>
        </w:tc>
        <w:tc>
          <w:tcPr>
            <w:tcW w:w="111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781DC268">
            <w:pPr>
              <w:jc w:val="center"/>
              <w:rPr>
                <w:rFonts w:hint="eastAsia" w:ascii="宋体" w:hAnsi="宋体" w:eastAsia="宋体" w:cs="宋体"/>
                <w:sz w:val="20"/>
                <w:szCs w:val="20"/>
                <w:highlight w:val="none"/>
              </w:rPr>
            </w:pPr>
          </w:p>
        </w:tc>
      </w:tr>
      <w:tr w14:paraId="19B96C1B">
        <w:tblPrEx>
          <w:tblCellMar>
            <w:top w:w="0" w:type="dxa"/>
            <w:left w:w="108" w:type="dxa"/>
            <w:bottom w:w="0" w:type="dxa"/>
            <w:right w:w="108" w:type="dxa"/>
          </w:tblCellMar>
        </w:tblPrEx>
        <w:trPr>
          <w:trHeight w:val="330" w:hRule="atLeast"/>
          <w:jc w:val="center"/>
        </w:trPr>
        <w:tc>
          <w:tcPr>
            <w:tcW w:w="1109"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367B3D31">
            <w:pPr>
              <w:jc w:val="center"/>
              <w:rPr>
                <w:rFonts w:hint="eastAsia" w:ascii="宋体" w:hAnsi="宋体" w:eastAsia="宋体" w:cs="宋体"/>
                <w:sz w:val="20"/>
                <w:szCs w:val="20"/>
                <w:highlight w:val="none"/>
              </w:rPr>
            </w:pPr>
          </w:p>
        </w:tc>
        <w:tc>
          <w:tcPr>
            <w:tcW w:w="2103" w:type="pct"/>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30E74D14">
            <w:pPr>
              <w:jc w:val="center"/>
              <w:rPr>
                <w:rFonts w:hint="eastAsia" w:ascii="宋体" w:hAnsi="宋体" w:eastAsia="宋体" w:cs="宋体"/>
                <w:sz w:val="20"/>
                <w:szCs w:val="20"/>
                <w:highlight w:val="none"/>
              </w:rPr>
            </w:pPr>
          </w:p>
        </w:tc>
        <w:tc>
          <w:tcPr>
            <w:tcW w:w="67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484CEA9">
            <w:pPr>
              <w:jc w:val="center"/>
              <w:rPr>
                <w:rFonts w:hint="eastAsia" w:ascii="宋体" w:hAnsi="宋体" w:eastAsia="宋体" w:cs="宋体"/>
                <w:sz w:val="20"/>
                <w:szCs w:val="20"/>
                <w:highlight w:val="none"/>
              </w:rPr>
            </w:pPr>
          </w:p>
        </w:tc>
        <w:tc>
          <w:tcPr>
            <w:tcW w:w="111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65F8ED6D">
            <w:pPr>
              <w:jc w:val="center"/>
              <w:rPr>
                <w:rFonts w:hint="eastAsia" w:ascii="宋体" w:hAnsi="宋体" w:eastAsia="宋体" w:cs="宋体"/>
                <w:sz w:val="20"/>
                <w:szCs w:val="20"/>
                <w:highlight w:val="none"/>
              </w:rPr>
            </w:pPr>
          </w:p>
        </w:tc>
      </w:tr>
      <w:tr w14:paraId="77A1160C">
        <w:tblPrEx>
          <w:tblCellMar>
            <w:top w:w="0" w:type="dxa"/>
            <w:left w:w="108" w:type="dxa"/>
            <w:bottom w:w="0" w:type="dxa"/>
            <w:right w:w="108" w:type="dxa"/>
          </w:tblCellMar>
        </w:tblPrEx>
        <w:trPr>
          <w:trHeight w:val="330" w:hRule="atLeast"/>
          <w:jc w:val="center"/>
        </w:trPr>
        <w:tc>
          <w:tcPr>
            <w:tcW w:w="1109"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797504CC">
            <w:pPr>
              <w:jc w:val="center"/>
              <w:rPr>
                <w:rFonts w:hint="eastAsia" w:ascii="宋体" w:hAnsi="宋体" w:eastAsia="宋体" w:cs="宋体"/>
                <w:sz w:val="20"/>
                <w:szCs w:val="20"/>
                <w:highlight w:val="none"/>
              </w:rPr>
            </w:pPr>
          </w:p>
        </w:tc>
        <w:tc>
          <w:tcPr>
            <w:tcW w:w="2103" w:type="pct"/>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194600C5">
            <w:pPr>
              <w:jc w:val="center"/>
              <w:rPr>
                <w:rFonts w:hint="eastAsia" w:ascii="宋体" w:hAnsi="宋体" w:eastAsia="宋体" w:cs="宋体"/>
                <w:sz w:val="20"/>
                <w:szCs w:val="20"/>
                <w:highlight w:val="none"/>
              </w:rPr>
            </w:pPr>
          </w:p>
        </w:tc>
        <w:tc>
          <w:tcPr>
            <w:tcW w:w="67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D984661">
            <w:pPr>
              <w:jc w:val="center"/>
              <w:rPr>
                <w:rFonts w:hint="eastAsia" w:ascii="宋体" w:hAnsi="宋体" w:eastAsia="宋体" w:cs="宋体"/>
                <w:sz w:val="20"/>
                <w:szCs w:val="20"/>
                <w:highlight w:val="none"/>
              </w:rPr>
            </w:pPr>
          </w:p>
        </w:tc>
        <w:tc>
          <w:tcPr>
            <w:tcW w:w="111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D0D5A6">
            <w:pPr>
              <w:jc w:val="center"/>
              <w:rPr>
                <w:rFonts w:hint="eastAsia" w:ascii="宋体" w:hAnsi="宋体" w:cs="宋体"/>
                <w:sz w:val="22"/>
                <w:szCs w:val="22"/>
                <w:highlight w:val="none"/>
              </w:rPr>
            </w:pPr>
          </w:p>
        </w:tc>
      </w:tr>
    </w:tbl>
    <w:p w14:paraId="79D7B4E7">
      <w:pPr>
        <w:autoSpaceDE w:val="0"/>
        <w:autoSpaceDN w:val="0"/>
        <w:adjustRightInd w:val="0"/>
        <w:spacing w:line="120" w:lineRule="exact"/>
        <w:jc w:val="left"/>
        <w:rPr>
          <w:kern w:val="0"/>
          <w:sz w:val="24"/>
          <w:highlight w:val="none"/>
        </w:rPr>
      </w:pPr>
    </w:p>
    <w:p w14:paraId="63440D82">
      <w:pPr>
        <w:pStyle w:val="32"/>
        <w:rPr>
          <w:highlight w:val="none"/>
        </w:rPr>
      </w:pPr>
    </w:p>
    <w:p w14:paraId="44C71D5A">
      <w:pPr>
        <w:spacing w:line="360" w:lineRule="auto"/>
        <w:rPr>
          <w:rFonts w:hint="eastAsia" w:hAnsi="宋体" w:cs="仿宋"/>
          <w:szCs w:val="21"/>
          <w:highlight w:val="none"/>
        </w:rPr>
      </w:pPr>
      <w:r>
        <w:rPr>
          <w:rFonts w:hint="eastAsia" w:hAnsi="宋体" w:cs="仿宋"/>
          <w:szCs w:val="21"/>
          <w:highlight w:val="none"/>
        </w:rPr>
        <w:t>注：①项目负责人及各专业负责人均应填写；</w:t>
      </w:r>
    </w:p>
    <w:p w14:paraId="5F598582">
      <w:pPr>
        <w:spacing w:line="360" w:lineRule="auto"/>
        <w:ind w:firstLine="420" w:firstLineChars="200"/>
        <w:rPr>
          <w:rFonts w:hint="eastAsia" w:hAnsi="宋体" w:cs="仿宋"/>
          <w:szCs w:val="21"/>
          <w:highlight w:val="none"/>
        </w:rPr>
      </w:pPr>
      <w:r>
        <w:rPr>
          <w:rFonts w:hAnsi="宋体" w:cs="仿宋"/>
          <w:szCs w:val="21"/>
          <w:highlight w:val="none"/>
        </w:rPr>
        <w:t>②本表人员应与参加本项目的主要人员汇总表中所列人员相一致，附主要人员的</w:t>
      </w:r>
      <w:r>
        <w:rPr>
          <w:rFonts w:hAnsi="宋体" w:cs="仿宋"/>
          <w:b/>
          <w:szCs w:val="21"/>
          <w:highlight w:val="none"/>
        </w:rPr>
        <w:t>身份证、毕业证、职称证、执业资格证书</w:t>
      </w:r>
      <w:r>
        <w:rPr>
          <w:rFonts w:hint="eastAsia" w:hAnsi="宋体" w:cs="仿宋"/>
          <w:b/>
          <w:szCs w:val="21"/>
          <w:highlight w:val="none"/>
          <w:lang w:eastAsia="zh-CN"/>
        </w:rPr>
        <w:t>（如有）</w:t>
      </w:r>
      <w:r>
        <w:rPr>
          <w:rFonts w:hAnsi="宋体" w:cs="仿宋"/>
          <w:szCs w:val="21"/>
          <w:highlight w:val="none"/>
        </w:rPr>
        <w:t>以及资格审查条件所要求的其他相关证书的</w:t>
      </w:r>
      <w:r>
        <w:rPr>
          <w:rFonts w:hint="eastAsia" w:hAnsi="宋体" w:cs="仿宋"/>
          <w:szCs w:val="21"/>
          <w:highlight w:val="none"/>
        </w:rPr>
        <w:t>原件扫描</w:t>
      </w:r>
      <w:r>
        <w:rPr>
          <w:rFonts w:hAnsi="宋体" w:cs="仿宋"/>
          <w:szCs w:val="21"/>
          <w:highlight w:val="none"/>
        </w:rPr>
        <w:t>件。</w:t>
      </w:r>
    </w:p>
    <w:p w14:paraId="01AAB83D">
      <w:pPr>
        <w:spacing w:line="360" w:lineRule="auto"/>
        <w:ind w:firstLine="420" w:firstLineChars="200"/>
        <w:rPr>
          <w:rFonts w:hAnsi="宋体" w:cs="仿宋"/>
          <w:szCs w:val="21"/>
          <w:highlight w:val="none"/>
        </w:rPr>
      </w:pPr>
      <w:r>
        <w:rPr>
          <w:rFonts w:hint="eastAsia" w:hAnsi="宋体" w:cs="仿宋"/>
          <w:szCs w:val="21"/>
          <w:highlight w:val="none"/>
        </w:rPr>
        <w:t>供应商拟安排参与本工程的人员必须是在供应商处进行岗位登记[要求出具2024年7月-2024年12月的社保缴费证明或参加社保的有效证明材料]。</w:t>
      </w:r>
    </w:p>
    <w:p w14:paraId="1A76EDBE">
      <w:pPr>
        <w:spacing w:line="360" w:lineRule="auto"/>
        <w:ind w:firstLine="420" w:firstLineChars="200"/>
        <w:rPr>
          <w:rFonts w:hAnsi="宋体" w:cs="仿宋"/>
          <w:szCs w:val="21"/>
          <w:highlight w:val="none"/>
        </w:rPr>
      </w:pPr>
      <w:r>
        <w:rPr>
          <w:rFonts w:hint="eastAsia" w:ascii="微软雅黑" w:hAnsi="微软雅黑" w:eastAsia="微软雅黑" w:cs="微软雅黑"/>
          <w:szCs w:val="21"/>
          <w:highlight w:val="none"/>
        </w:rPr>
        <w:t>③</w:t>
      </w:r>
      <w:r>
        <w:rPr>
          <w:rFonts w:hint="eastAsia" w:hAnsi="宋体" w:cs="仿宋"/>
          <w:szCs w:val="21"/>
          <w:highlight w:val="none"/>
        </w:rPr>
        <w:t>须附有效证明材料，如成果文件签名页面等，有效证明材料具体要求见</w:t>
      </w:r>
      <w:r>
        <w:rPr>
          <w:rFonts w:hint="eastAsia" w:hAnsi="宋体" w:cs="仿宋"/>
          <w:highlight w:val="none"/>
        </w:rPr>
        <w:t>第四章评审办法</w:t>
      </w:r>
      <w:r>
        <w:rPr>
          <w:rFonts w:hint="eastAsia" w:hAnsi="宋体" w:cs="仿宋"/>
          <w:szCs w:val="21"/>
          <w:highlight w:val="none"/>
        </w:rPr>
        <w:t>。</w:t>
      </w:r>
    </w:p>
    <w:p w14:paraId="7F4C86EA">
      <w:pPr>
        <w:pStyle w:val="10"/>
        <w:rPr>
          <w:highlight w:val="none"/>
        </w:rPr>
      </w:pPr>
    </w:p>
    <w:p w14:paraId="35E0B34C">
      <w:pPr>
        <w:rPr>
          <w:highlight w:val="none"/>
        </w:rPr>
      </w:pPr>
      <w:r>
        <w:rPr>
          <w:highlight w:val="none"/>
        </w:rPr>
        <w:br w:type="page"/>
      </w:r>
    </w:p>
    <w:p w14:paraId="084B40DB">
      <w:pPr>
        <w:pStyle w:val="10"/>
        <w:rPr>
          <w:highlight w:val="none"/>
        </w:rPr>
      </w:pPr>
    </w:p>
    <w:p w14:paraId="4A03C7A8">
      <w:pPr>
        <w:snapToGrid w:val="0"/>
        <w:spacing w:line="360" w:lineRule="auto"/>
        <w:jc w:val="center"/>
        <w:outlineLvl w:val="1"/>
        <w:rPr>
          <w:rFonts w:hint="eastAsia" w:ascii="黑体" w:hAnsi="黑体" w:eastAsia="黑体" w:cs="黑体"/>
          <w:sz w:val="36"/>
          <w:szCs w:val="36"/>
          <w:highlight w:val="none"/>
        </w:rPr>
      </w:pPr>
      <w:bookmarkStart w:id="81" w:name="_Toc11791"/>
      <w:bookmarkStart w:id="82" w:name="_Toc18160"/>
      <w:bookmarkStart w:id="83" w:name="_Toc19324"/>
      <w:r>
        <w:rPr>
          <w:rFonts w:hint="eastAsia" w:ascii="黑体" w:hAnsi="黑体" w:eastAsia="黑体" w:cs="黑体"/>
          <w:sz w:val="36"/>
          <w:szCs w:val="36"/>
          <w:highlight w:val="none"/>
        </w:rPr>
        <w:t>五、</w:t>
      </w:r>
      <w:r>
        <w:rPr>
          <w:rFonts w:hint="eastAsia" w:ascii="黑体" w:hAnsi="黑体" w:eastAsia="黑体" w:cs="黑体"/>
          <w:sz w:val="36"/>
          <w:szCs w:val="36"/>
          <w:highlight w:val="none"/>
          <w:lang w:eastAsia="zh-CN"/>
        </w:rPr>
        <w:t>工程可行性研究</w:t>
      </w:r>
      <w:r>
        <w:rPr>
          <w:rFonts w:hint="eastAsia" w:ascii="黑体" w:hAnsi="黑体" w:eastAsia="黑体" w:cs="黑体"/>
          <w:sz w:val="36"/>
          <w:szCs w:val="36"/>
          <w:highlight w:val="none"/>
        </w:rPr>
        <w:t>方案</w:t>
      </w:r>
      <w:bookmarkEnd w:id="81"/>
      <w:bookmarkEnd w:id="82"/>
      <w:bookmarkEnd w:id="83"/>
      <w:r>
        <w:rPr>
          <w:rFonts w:hint="eastAsia" w:ascii="黑体" w:hAnsi="黑体" w:eastAsia="黑体" w:cs="黑体"/>
          <w:sz w:val="36"/>
          <w:szCs w:val="36"/>
          <w:highlight w:val="none"/>
        </w:rPr>
        <w:t xml:space="preserve"> </w:t>
      </w:r>
    </w:p>
    <w:p w14:paraId="43777672">
      <w:pPr>
        <w:spacing w:line="520" w:lineRule="exact"/>
        <w:ind w:firstLine="480" w:firstLineChars="200"/>
        <w:jc w:val="left"/>
        <w:rPr>
          <w:rFonts w:hint="eastAsia" w:ascii="宋体" w:hAnsi="宋体" w:cs="宋体"/>
          <w:bCs/>
          <w:kern w:val="0"/>
          <w:sz w:val="24"/>
          <w:highlight w:val="none"/>
        </w:rPr>
      </w:pPr>
      <w:r>
        <w:rPr>
          <w:rFonts w:hint="eastAsia" w:ascii="宋体" w:hAnsi="宋体" w:cs="宋体"/>
          <w:bCs/>
          <w:kern w:val="0"/>
          <w:sz w:val="24"/>
          <w:highlight w:val="none"/>
        </w:rPr>
        <w:t>工程可行性研究方案应包括(但不限于)下列内容</w:t>
      </w:r>
      <w:r>
        <w:rPr>
          <w:rFonts w:hint="eastAsia" w:ascii="宋体" w:hAnsi="宋体" w:cs="宋体"/>
          <w:bCs/>
          <w:kern w:val="0"/>
          <w:sz w:val="24"/>
          <w:highlight w:val="none"/>
          <w:lang w:eastAsia="zh-CN"/>
        </w:rPr>
        <w:t>：</w:t>
      </w:r>
    </w:p>
    <w:p w14:paraId="2DA6C533">
      <w:pPr>
        <w:spacing w:line="520" w:lineRule="exact"/>
        <w:ind w:firstLine="480" w:firstLineChars="200"/>
        <w:jc w:val="left"/>
        <w:rPr>
          <w:rFonts w:hint="eastAsia" w:ascii="宋体" w:hAnsi="宋体" w:cs="宋体"/>
          <w:bCs/>
          <w:kern w:val="0"/>
          <w:sz w:val="24"/>
          <w:highlight w:val="none"/>
        </w:rPr>
      </w:pPr>
      <w:r>
        <w:rPr>
          <w:rFonts w:hint="eastAsia" w:ascii="宋体" w:hAnsi="宋体" w:cs="宋体"/>
          <w:bCs/>
          <w:kern w:val="0"/>
          <w:sz w:val="24"/>
          <w:highlight w:val="none"/>
        </w:rPr>
        <w:t>一、工程概况；</w:t>
      </w:r>
    </w:p>
    <w:p w14:paraId="7B89F79B">
      <w:pPr>
        <w:spacing w:line="520" w:lineRule="exact"/>
        <w:ind w:firstLine="480" w:firstLineChars="200"/>
        <w:jc w:val="left"/>
        <w:rPr>
          <w:rFonts w:hint="eastAsia" w:ascii="宋体" w:hAnsi="宋体" w:cs="宋体"/>
          <w:bCs/>
          <w:kern w:val="0"/>
          <w:sz w:val="24"/>
          <w:highlight w:val="none"/>
        </w:rPr>
      </w:pPr>
      <w:r>
        <w:rPr>
          <w:rFonts w:hint="eastAsia" w:ascii="宋体" w:hAnsi="宋体" w:cs="宋体"/>
          <w:bCs/>
          <w:kern w:val="0"/>
          <w:sz w:val="24"/>
          <w:highlight w:val="none"/>
        </w:rPr>
        <w:t>二、研究范围和内容；</w:t>
      </w:r>
    </w:p>
    <w:p w14:paraId="5CD853A8">
      <w:pPr>
        <w:spacing w:line="520" w:lineRule="exact"/>
        <w:ind w:firstLine="480" w:firstLineChars="200"/>
        <w:jc w:val="left"/>
        <w:rPr>
          <w:rFonts w:hint="eastAsia" w:ascii="宋体" w:hAnsi="宋体" w:cs="宋体"/>
          <w:bCs/>
          <w:kern w:val="0"/>
          <w:sz w:val="24"/>
          <w:highlight w:val="none"/>
        </w:rPr>
      </w:pPr>
      <w:r>
        <w:rPr>
          <w:rFonts w:hint="eastAsia" w:ascii="宋体" w:hAnsi="宋体" w:cs="宋体"/>
          <w:bCs/>
          <w:kern w:val="0"/>
          <w:sz w:val="24"/>
          <w:highlight w:val="none"/>
        </w:rPr>
        <w:t>三、研究依据</w:t>
      </w:r>
      <w:r>
        <w:rPr>
          <w:rFonts w:hint="eastAsia" w:ascii="宋体" w:hAnsi="宋体" w:cs="宋体"/>
          <w:bCs/>
          <w:kern w:val="0"/>
          <w:sz w:val="24"/>
          <w:highlight w:val="none"/>
          <w:lang w:eastAsia="zh-CN"/>
        </w:rPr>
        <w:t>、</w:t>
      </w:r>
      <w:r>
        <w:rPr>
          <w:rFonts w:hint="eastAsia" w:ascii="宋体" w:hAnsi="宋体" w:cs="宋体"/>
          <w:bCs/>
          <w:kern w:val="0"/>
          <w:sz w:val="24"/>
          <w:highlight w:val="none"/>
        </w:rPr>
        <w:t>工作目标</w:t>
      </w:r>
      <w:r>
        <w:rPr>
          <w:rFonts w:hint="eastAsia" w:ascii="宋体" w:hAnsi="宋体" w:cs="宋体"/>
          <w:bCs/>
          <w:kern w:val="0"/>
          <w:sz w:val="24"/>
          <w:highlight w:val="none"/>
          <w:lang w:eastAsia="zh-CN"/>
        </w:rPr>
        <w:t>和进度计划</w:t>
      </w:r>
      <w:r>
        <w:rPr>
          <w:rFonts w:hint="eastAsia" w:ascii="宋体" w:hAnsi="宋体" w:cs="宋体"/>
          <w:bCs/>
          <w:kern w:val="0"/>
          <w:sz w:val="24"/>
          <w:highlight w:val="none"/>
        </w:rPr>
        <w:t>；</w:t>
      </w:r>
    </w:p>
    <w:p w14:paraId="4197180D">
      <w:pPr>
        <w:spacing w:line="520" w:lineRule="exact"/>
        <w:ind w:firstLine="480" w:firstLineChars="200"/>
        <w:jc w:val="left"/>
        <w:rPr>
          <w:rFonts w:hint="eastAsia" w:ascii="宋体" w:hAnsi="宋体" w:cs="宋体"/>
          <w:bCs/>
          <w:kern w:val="0"/>
          <w:sz w:val="24"/>
          <w:highlight w:val="none"/>
        </w:rPr>
      </w:pPr>
      <w:r>
        <w:rPr>
          <w:rFonts w:hint="eastAsia" w:ascii="宋体" w:hAnsi="宋体" w:cs="宋体"/>
          <w:bCs/>
          <w:kern w:val="0"/>
          <w:sz w:val="24"/>
          <w:highlight w:val="none"/>
        </w:rPr>
        <w:t>四、机构设置(框图)、岗位职责；</w:t>
      </w:r>
    </w:p>
    <w:p w14:paraId="59D26447">
      <w:pPr>
        <w:spacing w:line="520" w:lineRule="exact"/>
        <w:ind w:firstLine="480" w:firstLineChars="200"/>
        <w:jc w:val="left"/>
        <w:rPr>
          <w:rFonts w:hint="eastAsia" w:ascii="宋体" w:hAnsi="宋体" w:cs="宋体"/>
          <w:bCs/>
          <w:kern w:val="0"/>
          <w:sz w:val="24"/>
          <w:highlight w:val="none"/>
        </w:rPr>
      </w:pPr>
      <w:r>
        <w:rPr>
          <w:rFonts w:hint="eastAsia" w:ascii="宋体" w:hAnsi="宋体" w:cs="宋体"/>
          <w:bCs/>
          <w:kern w:val="0"/>
          <w:sz w:val="24"/>
          <w:highlight w:val="none"/>
          <w:lang w:eastAsia="zh-CN"/>
        </w:rPr>
        <w:t>五</w:t>
      </w:r>
      <w:r>
        <w:rPr>
          <w:rFonts w:hint="eastAsia" w:ascii="宋体" w:hAnsi="宋体" w:cs="宋体"/>
          <w:bCs/>
          <w:kern w:val="0"/>
          <w:sz w:val="24"/>
          <w:highlight w:val="none"/>
        </w:rPr>
        <w:t>、拟投入的人员；</w:t>
      </w:r>
    </w:p>
    <w:p w14:paraId="26CF4FD1">
      <w:pPr>
        <w:spacing w:line="520" w:lineRule="exact"/>
        <w:ind w:firstLine="480" w:firstLineChars="200"/>
        <w:jc w:val="left"/>
        <w:rPr>
          <w:rFonts w:hint="eastAsia" w:ascii="宋体" w:hAnsi="宋体" w:cs="宋体"/>
          <w:bCs/>
          <w:kern w:val="0"/>
          <w:sz w:val="24"/>
          <w:highlight w:val="none"/>
        </w:rPr>
      </w:pPr>
      <w:r>
        <w:rPr>
          <w:rFonts w:hint="eastAsia" w:ascii="宋体" w:hAnsi="宋体" w:cs="宋体"/>
          <w:bCs/>
          <w:kern w:val="0"/>
          <w:sz w:val="24"/>
          <w:highlight w:val="none"/>
          <w:lang w:eastAsia="zh-CN"/>
        </w:rPr>
        <w:t>六</w:t>
      </w:r>
      <w:r>
        <w:rPr>
          <w:rFonts w:hint="eastAsia" w:ascii="宋体" w:hAnsi="宋体" w:cs="宋体"/>
          <w:bCs/>
          <w:kern w:val="0"/>
          <w:sz w:val="24"/>
          <w:highlight w:val="none"/>
        </w:rPr>
        <w:t>、工作重点、难点分析；</w:t>
      </w:r>
    </w:p>
    <w:p w14:paraId="7FB1D2D4">
      <w:pPr>
        <w:spacing w:line="520" w:lineRule="exact"/>
        <w:ind w:firstLine="480" w:firstLineChars="200"/>
        <w:jc w:val="left"/>
        <w:rPr>
          <w:rFonts w:hint="eastAsia" w:ascii="宋体" w:hAnsi="宋体" w:cs="宋体"/>
          <w:bCs/>
          <w:kern w:val="0"/>
          <w:sz w:val="24"/>
          <w:highlight w:val="none"/>
        </w:rPr>
      </w:pPr>
      <w:r>
        <w:rPr>
          <w:rFonts w:hint="eastAsia" w:ascii="宋体" w:hAnsi="宋体" w:cs="宋体"/>
          <w:bCs/>
          <w:kern w:val="0"/>
          <w:sz w:val="24"/>
          <w:highlight w:val="none"/>
          <w:lang w:eastAsia="zh-CN"/>
        </w:rPr>
        <w:t>七</w:t>
      </w:r>
      <w:r>
        <w:rPr>
          <w:rFonts w:hint="eastAsia" w:ascii="宋体" w:hAnsi="宋体" w:cs="宋体"/>
          <w:bCs/>
          <w:kern w:val="0"/>
          <w:sz w:val="24"/>
          <w:highlight w:val="none"/>
        </w:rPr>
        <w:t>、</w:t>
      </w:r>
      <w:r>
        <w:rPr>
          <w:rFonts w:hint="eastAsia" w:ascii="宋体" w:hAnsi="宋体" w:cs="宋体"/>
          <w:bCs/>
          <w:kern w:val="0"/>
          <w:sz w:val="24"/>
          <w:highlight w:val="none"/>
          <w:lang w:eastAsia="zh-CN"/>
        </w:rPr>
        <w:t>工程</w:t>
      </w:r>
      <w:r>
        <w:rPr>
          <w:rFonts w:hint="eastAsia" w:ascii="宋体" w:hAnsi="宋体" w:cs="宋体"/>
          <w:bCs/>
          <w:kern w:val="0"/>
          <w:sz w:val="24"/>
          <w:highlight w:val="none"/>
        </w:rPr>
        <w:t>建设方案及说明；</w:t>
      </w:r>
    </w:p>
    <w:p w14:paraId="2274F61F">
      <w:pPr>
        <w:spacing w:line="520" w:lineRule="exact"/>
        <w:ind w:firstLine="480" w:firstLineChars="200"/>
        <w:jc w:val="left"/>
        <w:rPr>
          <w:rFonts w:hint="eastAsia" w:ascii="宋体" w:hAnsi="宋体" w:cs="宋体"/>
          <w:bCs/>
          <w:kern w:val="0"/>
          <w:sz w:val="24"/>
          <w:highlight w:val="none"/>
        </w:rPr>
      </w:pPr>
      <w:r>
        <w:rPr>
          <w:rFonts w:hint="eastAsia" w:ascii="宋体" w:hAnsi="宋体" w:cs="宋体"/>
          <w:bCs/>
          <w:kern w:val="0"/>
          <w:sz w:val="24"/>
          <w:highlight w:val="none"/>
        </w:rPr>
        <w:t>八、工作质量、进度、保密等保证措施；</w:t>
      </w:r>
    </w:p>
    <w:p w14:paraId="604F89E2">
      <w:pPr>
        <w:spacing w:line="520" w:lineRule="exact"/>
        <w:ind w:firstLine="480" w:firstLineChars="200"/>
        <w:jc w:val="left"/>
        <w:rPr>
          <w:rFonts w:hint="eastAsia" w:ascii="宋体" w:hAnsi="宋体" w:cs="宋体"/>
          <w:bCs/>
          <w:kern w:val="0"/>
          <w:sz w:val="24"/>
          <w:highlight w:val="none"/>
        </w:rPr>
      </w:pPr>
      <w:r>
        <w:rPr>
          <w:rFonts w:hint="eastAsia" w:ascii="宋体" w:hAnsi="宋体" w:cs="宋体"/>
          <w:bCs/>
          <w:kern w:val="0"/>
          <w:sz w:val="24"/>
          <w:highlight w:val="none"/>
        </w:rPr>
        <w:t>九、安全保证措施；</w:t>
      </w:r>
    </w:p>
    <w:p w14:paraId="0E0F576B">
      <w:pPr>
        <w:spacing w:line="520" w:lineRule="exact"/>
        <w:ind w:firstLine="480" w:firstLineChars="200"/>
        <w:jc w:val="left"/>
        <w:rPr>
          <w:rFonts w:hint="eastAsia" w:ascii="宋体" w:hAnsi="宋体" w:eastAsia="宋体" w:cs="宋体"/>
          <w:bCs/>
          <w:kern w:val="0"/>
          <w:sz w:val="24"/>
          <w:szCs w:val="24"/>
          <w:highlight w:val="none"/>
        </w:rPr>
      </w:pPr>
      <w:r>
        <w:rPr>
          <w:rFonts w:hint="eastAsia" w:ascii="宋体" w:hAnsi="宋体" w:cs="宋体"/>
          <w:bCs/>
          <w:kern w:val="0"/>
          <w:sz w:val="24"/>
          <w:highlight w:val="none"/>
        </w:rPr>
        <w:t>十、对本工程的合理化建议。</w:t>
      </w:r>
    </w:p>
    <w:p w14:paraId="7D99601C">
      <w:pPr>
        <w:pStyle w:val="10"/>
        <w:rPr>
          <w:highlight w:val="none"/>
        </w:rPr>
      </w:pPr>
    </w:p>
    <w:p w14:paraId="42E7622D">
      <w:pPr>
        <w:rPr>
          <w:highlight w:val="none"/>
        </w:rPr>
      </w:pPr>
      <w:r>
        <w:rPr>
          <w:highlight w:val="none"/>
        </w:rPr>
        <w:br w:type="page"/>
      </w:r>
    </w:p>
    <w:p w14:paraId="5423FD76">
      <w:pPr>
        <w:pStyle w:val="10"/>
        <w:rPr>
          <w:highlight w:val="none"/>
        </w:rPr>
      </w:pPr>
    </w:p>
    <w:p w14:paraId="03BF7156">
      <w:pPr>
        <w:snapToGrid w:val="0"/>
        <w:spacing w:line="360" w:lineRule="auto"/>
        <w:jc w:val="center"/>
        <w:outlineLvl w:val="1"/>
        <w:rPr>
          <w:rFonts w:hint="eastAsia" w:ascii="黑体" w:hAnsi="黑体" w:eastAsia="黑体" w:cs="黑体"/>
          <w:sz w:val="36"/>
          <w:szCs w:val="36"/>
          <w:highlight w:val="none"/>
        </w:rPr>
      </w:pPr>
      <w:bookmarkStart w:id="84" w:name="_Toc21629"/>
      <w:bookmarkStart w:id="85" w:name="_Toc24713"/>
      <w:bookmarkStart w:id="86" w:name="_Toc7160"/>
      <w:r>
        <w:rPr>
          <w:rFonts w:hint="eastAsia" w:ascii="黑体" w:hAnsi="黑体" w:eastAsia="黑体" w:cs="黑体"/>
          <w:sz w:val="36"/>
          <w:szCs w:val="36"/>
          <w:highlight w:val="none"/>
        </w:rPr>
        <w:t>六、其他资料</w:t>
      </w:r>
      <w:bookmarkEnd w:id="84"/>
      <w:bookmarkEnd w:id="85"/>
      <w:bookmarkEnd w:id="86"/>
    </w:p>
    <w:p w14:paraId="626B9F12">
      <w:pPr>
        <w:pStyle w:val="10"/>
        <w:rPr>
          <w:rFonts w:hint="eastAsia" w:eastAsia="宋体"/>
          <w:highlight w:val="none"/>
          <w:lang w:eastAsia="zh-CN"/>
        </w:rPr>
      </w:pPr>
      <w:r>
        <w:rPr>
          <w:rFonts w:hint="eastAsia"/>
          <w:highlight w:val="none"/>
          <w:lang w:eastAsia="zh-CN"/>
        </w:rPr>
        <w:t>供应商认为需提供的其他资料。</w:t>
      </w:r>
    </w:p>
    <w:p w14:paraId="55C26388">
      <w:pPr>
        <w:pStyle w:val="10"/>
        <w:rPr>
          <w:highlight w:val="none"/>
        </w:rPr>
      </w:pPr>
    </w:p>
    <w:p w14:paraId="1D714B20">
      <w:pPr>
        <w:autoSpaceDE w:val="0"/>
        <w:autoSpaceDN w:val="0"/>
        <w:spacing w:line="360" w:lineRule="auto"/>
        <w:ind w:firstLine="4080" w:firstLineChars="1700"/>
        <w:rPr>
          <w:rFonts w:hint="eastAsia" w:ascii="宋体" w:hAnsi="宋体" w:cs="宋体"/>
          <w:kern w:val="0"/>
          <w:sz w:val="24"/>
          <w:highlight w:val="none"/>
          <w:lang w:val="zh-CN"/>
        </w:rPr>
        <w:sectPr>
          <w:pgSz w:w="11910" w:h="16840"/>
          <w:pgMar w:top="1340" w:right="1446" w:bottom="1185" w:left="1508" w:header="720" w:footer="720" w:gutter="0"/>
          <w:cols w:space="720" w:num="1"/>
        </w:sectPr>
      </w:pPr>
    </w:p>
    <w:p w14:paraId="320AED5D">
      <w:pPr>
        <w:pStyle w:val="2"/>
        <w:jc w:val="center"/>
        <w:rPr>
          <w:rFonts w:hint="eastAsia"/>
          <w:highlight w:val="none"/>
        </w:rPr>
      </w:pPr>
      <w:bookmarkStart w:id="87" w:name="_Toc10231"/>
      <w:bookmarkStart w:id="88" w:name="_Toc7406"/>
      <w:bookmarkStart w:id="89" w:name="_Toc28124"/>
      <w:bookmarkStart w:id="90" w:name="_Toc10311"/>
      <w:bookmarkStart w:id="91" w:name="_Toc12521"/>
      <w:bookmarkStart w:id="92" w:name="_Toc19259"/>
      <w:bookmarkStart w:id="93" w:name="_Toc5554"/>
      <w:bookmarkStart w:id="94" w:name="_Toc10947"/>
      <w:r>
        <w:rPr>
          <w:rFonts w:hint="eastAsia"/>
          <w:highlight w:val="none"/>
        </w:rPr>
        <w:t>第六章 合同条款</w:t>
      </w:r>
      <w:bookmarkEnd w:id="87"/>
      <w:bookmarkEnd w:id="88"/>
      <w:bookmarkEnd w:id="89"/>
      <w:bookmarkEnd w:id="90"/>
      <w:bookmarkEnd w:id="91"/>
      <w:bookmarkEnd w:id="92"/>
    </w:p>
    <w:p w14:paraId="2ABAAACB">
      <w:pPr>
        <w:spacing w:before="156" w:beforeLines="50" w:after="156" w:afterLines="50" w:line="360" w:lineRule="auto"/>
        <w:jc w:val="center"/>
        <w:outlineLvl w:val="1"/>
        <w:rPr>
          <w:rFonts w:ascii="黑体" w:hAnsi="宋体" w:eastAsia="黑体"/>
          <w:sz w:val="32"/>
          <w:szCs w:val="32"/>
          <w:highlight w:val="none"/>
        </w:rPr>
      </w:pPr>
      <w:bookmarkStart w:id="95" w:name="_Toc4827"/>
      <w:bookmarkStart w:id="96" w:name="_Toc26106"/>
      <w:bookmarkStart w:id="97" w:name="_Toc25321"/>
      <w:bookmarkStart w:id="98" w:name="_Toc21039"/>
      <w:bookmarkStart w:id="99" w:name="_Toc6445"/>
      <w:bookmarkStart w:id="100" w:name="_Toc22523"/>
      <w:r>
        <w:rPr>
          <w:rFonts w:hint="eastAsia" w:ascii="黑体" w:hAnsi="宋体" w:eastAsia="黑体"/>
          <w:sz w:val="32"/>
          <w:szCs w:val="32"/>
          <w:highlight w:val="none"/>
        </w:rPr>
        <w:t>第一节  通用合同条款</w:t>
      </w:r>
      <w:bookmarkEnd w:id="95"/>
      <w:bookmarkEnd w:id="96"/>
      <w:bookmarkEnd w:id="97"/>
      <w:bookmarkEnd w:id="98"/>
      <w:bookmarkEnd w:id="99"/>
      <w:bookmarkEnd w:id="100"/>
    </w:p>
    <w:p w14:paraId="4B2EFFAF">
      <w:pPr>
        <w:spacing w:line="200" w:lineRule="exact"/>
        <w:jc w:val="center"/>
        <w:rPr>
          <w:rFonts w:hint="eastAsia" w:ascii="黑体" w:hAnsi="宋体" w:eastAsia="黑体"/>
          <w:sz w:val="24"/>
          <w:highlight w:val="none"/>
        </w:rPr>
      </w:pPr>
    </w:p>
    <w:p w14:paraId="5F458F32">
      <w:pPr>
        <w:pStyle w:val="34"/>
        <w:spacing w:before="480" w:beforeLines="0" w:after="240" w:afterLines="0"/>
        <w:outlineLvl w:val="2"/>
        <w:rPr>
          <w:rFonts w:hAnsi="宋体"/>
          <w:b/>
          <w:color w:val="auto"/>
          <w:highlight w:val="none"/>
        </w:rPr>
      </w:pPr>
      <w:bookmarkStart w:id="101" w:name="_Toc19009"/>
      <w:bookmarkStart w:id="102" w:name="_Toc7010"/>
      <w:bookmarkStart w:id="103" w:name="_Toc18810"/>
      <w:bookmarkStart w:id="104" w:name="_Toc446919468"/>
      <w:bookmarkStart w:id="105" w:name="_Toc89866133"/>
      <w:bookmarkStart w:id="106" w:name="_Toc346269488"/>
      <w:bookmarkStart w:id="107" w:name="_Toc23533"/>
      <w:bookmarkStart w:id="108" w:name="_Toc335660845"/>
      <w:bookmarkStart w:id="109" w:name="_Toc326241901"/>
      <w:bookmarkStart w:id="110" w:name="_Toc1433"/>
      <w:bookmarkStart w:id="111" w:name="_Toc4811"/>
      <w:bookmarkStart w:id="112" w:name="_Toc335721986"/>
      <w:bookmarkStart w:id="113" w:name="_Toc21888"/>
      <w:bookmarkStart w:id="114" w:name="_Toc10539"/>
      <w:bookmarkStart w:id="115" w:name="_Toc346269068"/>
      <w:r>
        <w:rPr>
          <w:rFonts w:hAnsi="宋体"/>
          <w:b/>
          <w:color w:val="auto"/>
          <w:highlight w:val="none"/>
        </w:rPr>
        <w:t>1. 定义和解释</w:t>
      </w:r>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p>
    <w:p w14:paraId="7D5DC95A">
      <w:pPr>
        <w:spacing w:line="460" w:lineRule="exact"/>
        <w:ind w:firstLine="420" w:firstLineChars="200"/>
        <w:rPr>
          <w:rFonts w:hint="eastAsia"/>
          <w:highlight w:val="none"/>
        </w:rPr>
      </w:pPr>
      <w:r>
        <w:rPr>
          <w:rFonts w:hint="eastAsia"/>
          <w:highlight w:val="none"/>
        </w:rPr>
        <w:t>通用合同条款、专用合同条款中的下列词语应具有本条所赋予的含义。</w:t>
      </w:r>
    </w:p>
    <w:p w14:paraId="5977D0CB">
      <w:pPr>
        <w:spacing w:line="460" w:lineRule="exact"/>
        <w:ind w:firstLine="420" w:firstLineChars="200"/>
        <w:rPr>
          <w:rFonts w:hint="eastAsia"/>
          <w:highlight w:val="none"/>
        </w:rPr>
      </w:pPr>
      <w:r>
        <w:rPr>
          <w:rFonts w:hint="eastAsia"/>
          <w:highlight w:val="none"/>
        </w:rPr>
        <w:t>1.1 本项目：指专用合同条款中指明进行的勘察咨询服务采购的项目。</w:t>
      </w:r>
    </w:p>
    <w:p w14:paraId="54D64281">
      <w:pPr>
        <w:spacing w:line="460" w:lineRule="exact"/>
        <w:ind w:firstLine="420" w:firstLineChars="200"/>
        <w:rPr>
          <w:rFonts w:hint="eastAsia"/>
          <w:highlight w:val="none"/>
        </w:rPr>
      </w:pPr>
      <w:r>
        <w:rPr>
          <w:rFonts w:hint="eastAsia"/>
          <w:highlight w:val="none"/>
        </w:rPr>
        <w:t>1.2 发包人：即合同协议书中的甲方，指专用合同条款中指明的执行建设项目投资计划的单位，或其指定的负责管理建设项目的代表机构，以及取得该当事人资格的合法继承人。本合同的发包人在合同专用条款中指明。</w:t>
      </w:r>
    </w:p>
    <w:p w14:paraId="3AB1E733">
      <w:pPr>
        <w:spacing w:line="460" w:lineRule="exact"/>
        <w:ind w:firstLine="420" w:firstLineChars="200"/>
        <w:rPr>
          <w:rFonts w:hint="eastAsia"/>
          <w:highlight w:val="none"/>
        </w:rPr>
      </w:pPr>
      <w:r>
        <w:rPr>
          <w:rFonts w:hint="eastAsia"/>
          <w:highlight w:val="none"/>
        </w:rPr>
        <w:t>1.3 承包人：即合同协议书中的乙方，指其响应文件已为发包人所接受，并与发包人签订了合同协议书承担本项目勘察咨询服务的机构，以及取得该当事机构资格的合法继承人。</w:t>
      </w:r>
    </w:p>
    <w:p w14:paraId="3206AFDE">
      <w:pPr>
        <w:spacing w:line="460" w:lineRule="exact"/>
        <w:ind w:firstLine="420" w:firstLineChars="200"/>
        <w:rPr>
          <w:rFonts w:hint="eastAsia"/>
          <w:highlight w:val="none"/>
        </w:rPr>
      </w:pPr>
      <w:r>
        <w:rPr>
          <w:rFonts w:hint="eastAsia"/>
          <w:highlight w:val="none"/>
        </w:rPr>
        <w:t>1.4 分包人：指从承包人处分包合同中某一部分项目，并与其签订分包合同的单位。</w:t>
      </w:r>
    </w:p>
    <w:p w14:paraId="26A95947">
      <w:pPr>
        <w:spacing w:line="460" w:lineRule="exact"/>
        <w:ind w:firstLine="420" w:firstLineChars="200"/>
        <w:rPr>
          <w:rFonts w:hint="eastAsia"/>
          <w:highlight w:val="none"/>
        </w:rPr>
      </w:pPr>
      <w:r>
        <w:rPr>
          <w:rFonts w:hint="eastAsia"/>
          <w:highlight w:val="none"/>
        </w:rPr>
        <w:t>1.5 咨询单位：指受发包人或主管部门委托对本项目勘察咨询服务成果进行审查或提供咨询意见的咨询机构。</w:t>
      </w:r>
    </w:p>
    <w:p w14:paraId="56F30CDA">
      <w:pPr>
        <w:spacing w:line="460" w:lineRule="exact"/>
        <w:ind w:firstLine="420" w:firstLineChars="200"/>
        <w:rPr>
          <w:rFonts w:hint="eastAsia"/>
          <w:highlight w:val="none"/>
        </w:rPr>
      </w:pPr>
      <w:r>
        <w:rPr>
          <w:rFonts w:hint="eastAsia"/>
          <w:highlight w:val="none"/>
        </w:rPr>
        <w:t>1.6项目负责人：指由承包人书面委任的负责本项目勘察咨询服务的组织管理者。</w:t>
      </w:r>
    </w:p>
    <w:p w14:paraId="0CE82985">
      <w:pPr>
        <w:spacing w:line="460" w:lineRule="exact"/>
        <w:ind w:firstLine="420" w:firstLineChars="200"/>
        <w:rPr>
          <w:rFonts w:hint="eastAsia"/>
          <w:highlight w:val="none"/>
        </w:rPr>
      </w:pPr>
      <w:r>
        <w:rPr>
          <w:rFonts w:hint="eastAsia"/>
          <w:highlight w:val="none"/>
        </w:rPr>
        <w:t>1.7 分项负责人：指由承包人批准的、并经发包人认可的各专业负责人。</w:t>
      </w:r>
    </w:p>
    <w:p w14:paraId="6593D06E">
      <w:pPr>
        <w:spacing w:line="460" w:lineRule="exact"/>
        <w:ind w:firstLine="420" w:firstLineChars="200"/>
        <w:rPr>
          <w:rFonts w:hint="eastAsia"/>
          <w:highlight w:val="none"/>
        </w:rPr>
      </w:pPr>
      <w:r>
        <w:rPr>
          <w:rFonts w:hint="eastAsia"/>
          <w:highlight w:val="none"/>
        </w:rPr>
        <w:t>1.8 合同：指合同协议书、成交通知书、响应函、专用合同条款、通用合同条款、项目需求及要求、报价清单，以及构成合同组成部分的其他文件。</w:t>
      </w:r>
    </w:p>
    <w:p w14:paraId="38A1622D">
      <w:pPr>
        <w:spacing w:line="460" w:lineRule="exact"/>
        <w:ind w:firstLine="420" w:firstLineChars="200"/>
        <w:rPr>
          <w:rFonts w:hint="eastAsia"/>
          <w:highlight w:val="none"/>
        </w:rPr>
      </w:pPr>
      <w:r>
        <w:rPr>
          <w:rFonts w:hint="eastAsia"/>
          <w:highlight w:val="none"/>
        </w:rPr>
        <w:t>1.9项目需求及要求:是勘察咨询服务工作的依据，指国家和行业相关标准以及发包人有关勘察咨询工作的其他书面要求。</w:t>
      </w:r>
    </w:p>
    <w:p w14:paraId="02D75561">
      <w:pPr>
        <w:spacing w:line="460" w:lineRule="exact"/>
        <w:ind w:firstLine="420" w:firstLineChars="200"/>
        <w:rPr>
          <w:rFonts w:hint="eastAsia"/>
          <w:highlight w:val="none"/>
        </w:rPr>
      </w:pPr>
      <w:r>
        <w:rPr>
          <w:rFonts w:hint="eastAsia"/>
          <w:highlight w:val="none"/>
        </w:rPr>
        <w:t>1.10 勘察咨询服务:指承包人按合同的规定进行的工程测量、岩土工程与工程地质勘察、必要的科学研究试验等勘察服务和可行性研究、环境影响评价等工程设计前咨询服务。本合同包括的具体勘察咨询服务内容在专用合同条款中约定。</w:t>
      </w:r>
    </w:p>
    <w:p w14:paraId="0C644091">
      <w:pPr>
        <w:spacing w:line="460" w:lineRule="exact"/>
        <w:ind w:firstLine="420" w:firstLineChars="200"/>
        <w:rPr>
          <w:rFonts w:hint="eastAsia"/>
          <w:highlight w:val="none"/>
        </w:rPr>
      </w:pPr>
      <w:r>
        <w:rPr>
          <w:rFonts w:hint="eastAsia"/>
          <w:highlight w:val="none"/>
        </w:rPr>
        <w:t>1.11 勘察文件：指承包人按国家和行业相关标准提交的勘察报告等成果文件及过程文件。本合同包括的具体勘察文件内容在专用合同条款中约定。</w:t>
      </w:r>
    </w:p>
    <w:p w14:paraId="229FADAF">
      <w:pPr>
        <w:spacing w:line="460" w:lineRule="exact"/>
        <w:ind w:firstLine="420" w:firstLineChars="200"/>
        <w:rPr>
          <w:rFonts w:hint="eastAsia"/>
          <w:highlight w:val="none"/>
        </w:rPr>
      </w:pPr>
      <w:r>
        <w:rPr>
          <w:rFonts w:hint="eastAsia"/>
          <w:highlight w:val="none"/>
        </w:rPr>
        <w:t>1.12 咨询文件:指承包人按国家和行业相关标准提交的工程可行性研究报告和有关专题报告等成果文件及过程文件，本合同包括的具体咨询文件在专用合同条款中约定。</w:t>
      </w:r>
    </w:p>
    <w:p w14:paraId="426D80C4">
      <w:pPr>
        <w:spacing w:line="460" w:lineRule="exact"/>
        <w:ind w:firstLine="420" w:firstLineChars="200"/>
        <w:rPr>
          <w:rFonts w:hint="eastAsia"/>
          <w:highlight w:val="none"/>
        </w:rPr>
      </w:pPr>
      <w:r>
        <w:rPr>
          <w:rFonts w:hint="eastAsia"/>
          <w:highlight w:val="none"/>
        </w:rPr>
        <w:t>1.13 合同价格</w:t>
      </w:r>
    </w:p>
    <w:p w14:paraId="37E0074E">
      <w:pPr>
        <w:spacing w:line="460" w:lineRule="exact"/>
        <w:ind w:firstLine="420" w:firstLineChars="200"/>
        <w:rPr>
          <w:rFonts w:hint="eastAsia"/>
          <w:highlight w:val="none"/>
        </w:rPr>
      </w:pPr>
      <w:r>
        <w:rPr>
          <w:rFonts w:hint="eastAsia"/>
          <w:highlight w:val="none"/>
        </w:rPr>
        <w:t>1.13.1 签约合同价：指签订合同时合同协议书中写明的勘察咨询费用总金额。</w:t>
      </w:r>
    </w:p>
    <w:p w14:paraId="0244E12C">
      <w:pPr>
        <w:spacing w:line="460" w:lineRule="exact"/>
        <w:ind w:firstLine="420" w:firstLineChars="200"/>
        <w:rPr>
          <w:rFonts w:hint="eastAsia"/>
          <w:highlight w:val="none"/>
        </w:rPr>
      </w:pPr>
      <w:r>
        <w:rPr>
          <w:rFonts w:hint="eastAsia"/>
          <w:highlight w:val="none"/>
        </w:rPr>
        <w:t>1.13.2 合同价格：指承包人按合同约定完成所要求的勘察服务和可行性研究（含各专题研究）等工程设计前咨询服务工作，发包人应付给承包人报酬的金额，包括在履行合同过程中按合同约定进行的变更和调整。</w:t>
      </w:r>
    </w:p>
    <w:p w14:paraId="6666C9B1">
      <w:pPr>
        <w:spacing w:line="460" w:lineRule="exact"/>
        <w:ind w:firstLine="420" w:firstLineChars="200"/>
        <w:rPr>
          <w:rFonts w:hint="eastAsia"/>
          <w:highlight w:val="none"/>
        </w:rPr>
      </w:pPr>
      <w:r>
        <w:rPr>
          <w:rFonts w:hint="eastAsia"/>
          <w:highlight w:val="none"/>
        </w:rPr>
        <w:t>1.14 暂列金额：指暂时未定的，包含在合同中，并在报价中以此名称表明的金额，用于进行本项目可能发生的额外勘察服务和工程设计前咨询服务或作为不可预见费用。</w:t>
      </w:r>
    </w:p>
    <w:p w14:paraId="37BBCAF6">
      <w:pPr>
        <w:spacing w:line="460" w:lineRule="exact"/>
        <w:ind w:firstLine="420" w:firstLineChars="200"/>
        <w:rPr>
          <w:rFonts w:hint="eastAsia"/>
          <w:highlight w:val="none"/>
        </w:rPr>
      </w:pPr>
      <w:r>
        <w:rPr>
          <w:rFonts w:hint="eastAsia"/>
          <w:highlight w:val="none"/>
        </w:rPr>
        <w:t>1.15工作质量事故：指由于承包人的责任过失使工程在施工过程中和设计使用年限内遭受损毁或产生不可弥补的本质缺陷，而需要对工程或设施、设备进行更新、补强、返工修复的事故。</w:t>
      </w:r>
    </w:p>
    <w:p w14:paraId="13CA69A2">
      <w:pPr>
        <w:spacing w:line="460" w:lineRule="exact"/>
        <w:ind w:firstLine="420" w:firstLineChars="200"/>
        <w:rPr>
          <w:rFonts w:hint="eastAsia"/>
          <w:highlight w:val="none"/>
        </w:rPr>
      </w:pPr>
      <w:r>
        <w:rPr>
          <w:rFonts w:hint="eastAsia"/>
          <w:highlight w:val="none"/>
        </w:rPr>
        <w:t>1.16 不可抗力：指发包人与承包人不能预见、或不能采取措施避免并不能克服的自然灾害或社会政治因素等。</w:t>
      </w:r>
    </w:p>
    <w:p w14:paraId="64924462">
      <w:pPr>
        <w:spacing w:line="460" w:lineRule="exact"/>
        <w:ind w:firstLine="420" w:firstLineChars="200"/>
        <w:rPr>
          <w:highlight w:val="none"/>
        </w:rPr>
      </w:pPr>
      <w:r>
        <w:rPr>
          <w:rFonts w:hint="eastAsia"/>
          <w:highlight w:val="none"/>
        </w:rPr>
        <w:t>1.17 天或日：除特别指明外，指日历天。</w:t>
      </w:r>
    </w:p>
    <w:p w14:paraId="3D033228">
      <w:pPr>
        <w:pStyle w:val="34"/>
        <w:spacing w:before="480" w:beforeLines="0" w:after="240" w:afterLines="0"/>
        <w:outlineLvl w:val="2"/>
        <w:rPr>
          <w:rFonts w:hint="eastAsia" w:hAnsi="宋体"/>
          <w:b/>
          <w:color w:val="auto"/>
          <w:highlight w:val="none"/>
        </w:rPr>
      </w:pPr>
      <w:bookmarkStart w:id="116" w:name="_Toc326241902"/>
      <w:bookmarkStart w:id="117" w:name="_Toc89866134"/>
      <w:bookmarkStart w:id="118" w:name="_Toc5372"/>
      <w:bookmarkStart w:id="119" w:name="_Toc12919"/>
      <w:bookmarkStart w:id="120" w:name="_Toc346269069"/>
      <w:bookmarkStart w:id="121" w:name="_Toc21624"/>
      <w:bookmarkStart w:id="122" w:name="_Toc23620"/>
      <w:bookmarkStart w:id="123" w:name="_Toc346269489"/>
      <w:bookmarkStart w:id="124" w:name="_Toc4429"/>
      <w:bookmarkStart w:id="125" w:name="_Toc13355"/>
      <w:bookmarkStart w:id="126" w:name="_Toc335721987"/>
      <w:bookmarkStart w:id="127" w:name="_Toc446919469"/>
      <w:bookmarkStart w:id="128" w:name="_Toc3366"/>
      <w:bookmarkStart w:id="129" w:name="_Toc5738"/>
      <w:bookmarkStart w:id="130" w:name="_Toc335660863"/>
      <w:r>
        <w:rPr>
          <w:rFonts w:hAnsi="宋体"/>
          <w:b/>
          <w:color w:val="auto"/>
          <w:highlight w:val="none"/>
        </w:rPr>
        <w:t>2. 发包人的责任</w:t>
      </w:r>
      <w:bookmarkEnd w:id="116"/>
      <w:r>
        <w:rPr>
          <w:rFonts w:hint="eastAsia" w:hAnsi="宋体"/>
          <w:b/>
          <w:color w:val="auto"/>
          <w:highlight w:val="none"/>
        </w:rPr>
        <w:t>与义务</w:t>
      </w:r>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p>
    <w:p w14:paraId="4E1034BE">
      <w:pPr>
        <w:spacing w:line="460" w:lineRule="exact"/>
        <w:ind w:firstLine="420" w:firstLineChars="200"/>
        <w:rPr>
          <w:rFonts w:hint="eastAsia" w:ascii="宋体" w:hAnsi="宋体" w:cs="宋体"/>
          <w:highlight w:val="none"/>
        </w:rPr>
      </w:pPr>
      <w:r>
        <w:rPr>
          <w:rFonts w:hint="eastAsia" w:ascii="宋体" w:hAnsi="宋体" w:cs="宋体"/>
          <w:highlight w:val="none"/>
        </w:rPr>
        <w:t>2.1 发包人应根据本项目的具体情况和技术要求，确定合理的勘察咨询工作量及合理的工作服务周期，并按本合同有关规定及时支付合同价款。发包人不应随意压缩合同规定的成果文件交付时间。</w:t>
      </w:r>
    </w:p>
    <w:p w14:paraId="345CC100">
      <w:pPr>
        <w:spacing w:line="460" w:lineRule="exact"/>
        <w:ind w:firstLine="420" w:firstLineChars="200"/>
        <w:rPr>
          <w:rFonts w:hint="eastAsia" w:ascii="宋体" w:hAnsi="宋体" w:cs="宋体"/>
          <w:highlight w:val="none"/>
        </w:rPr>
      </w:pPr>
      <w:r>
        <w:rPr>
          <w:rFonts w:hint="eastAsia" w:ascii="宋体" w:hAnsi="宋体" w:cs="宋体"/>
          <w:highlight w:val="none"/>
        </w:rPr>
        <w:t>2.2 法律规定和（或）合同约定由发包人负责办理的工程建设项目必须履行的各类审批、核准或备案手续，发包人应当按时办理，承包人应给予必要的协助。</w:t>
      </w:r>
    </w:p>
    <w:p w14:paraId="4ED66083">
      <w:pPr>
        <w:spacing w:line="460" w:lineRule="exact"/>
        <w:ind w:firstLine="420" w:firstLineChars="200"/>
        <w:rPr>
          <w:rFonts w:hint="eastAsia" w:ascii="宋体" w:hAnsi="宋体" w:cs="宋体"/>
          <w:highlight w:val="none"/>
        </w:rPr>
      </w:pPr>
      <w:r>
        <w:rPr>
          <w:rFonts w:hint="eastAsia" w:ascii="宋体" w:hAnsi="宋体" w:cs="宋体"/>
          <w:highlight w:val="none"/>
        </w:rPr>
        <w:t>2.3 法律规定和（或）合同约定由承包人负责办理的勘察所需的证件和批件，发包人应给予必要的协助。</w:t>
      </w:r>
    </w:p>
    <w:p w14:paraId="14B0EE78">
      <w:pPr>
        <w:spacing w:line="460" w:lineRule="exact"/>
        <w:ind w:firstLine="420" w:firstLineChars="200"/>
        <w:rPr>
          <w:rFonts w:hint="eastAsia" w:ascii="宋体" w:hAnsi="宋体" w:cs="宋体"/>
          <w:highlight w:val="none"/>
        </w:rPr>
      </w:pPr>
      <w:r>
        <w:rPr>
          <w:rFonts w:hint="eastAsia" w:ascii="宋体" w:hAnsi="宋体" w:cs="宋体"/>
          <w:highlight w:val="none"/>
        </w:rPr>
        <w:t>2.4 发包人负责组织专家或委托咨询单位对勘察咨询服务成果文件和为了满足勘察需要而进行的各种研究试验成果进行审查，并负责成果文件的报审工作。</w:t>
      </w:r>
    </w:p>
    <w:p w14:paraId="15966EA4">
      <w:pPr>
        <w:spacing w:line="460" w:lineRule="exact"/>
        <w:ind w:firstLine="420" w:firstLineChars="200"/>
        <w:rPr>
          <w:rFonts w:hint="eastAsia" w:ascii="宋体" w:hAnsi="宋体" w:cs="宋体"/>
          <w:highlight w:val="none"/>
        </w:rPr>
      </w:pPr>
      <w:r>
        <w:rPr>
          <w:rFonts w:hint="eastAsia" w:ascii="宋体" w:hAnsi="宋体" w:cs="宋体"/>
          <w:highlight w:val="none"/>
        </w:rPr>
        <w:t>2.5 除合同另有规定外，发包人应保护承包人的投标函、勘察咨询服务工作方案、计算软件和专利技术。未经承包人同意，发包人对承包人交付的勘察咨询服务成果资料及文件不得擅自修改。</w:t>
      </w:r>
    </w:p>
    <w:p w14:paraId="6115067B">
      <w:pPr>
        <w:spacing w:line="460" w:lineRule="exact"/>
        <w:ind w:firstLine="420" w:firstLineChars="200"/>
        <w:rPr>
          <w:rFonts w:hint="eastAsia" w:ascii="宋体" w:hAnsi="宋体" w:cs="宋体"/>
          <w:highlight w:val="none"/>
        </w:rPr>
      </w:pPr>
      <w:r>
        <w:rPr>
          <w:rFonts w:hint="eastAsia" w:ascii="宋体" w:hAnsi="宋体" w:cs="宋体"/>
          <w:highlight w:val="none"/>
        </w:rPr>
        <w:t>2.6 发包人不应对承包人提出不符合国家有关法律、法规和工程建设强制性标准的有关要求。</w:t>
      </w:r>
    </w:p>
    <w:p w14:paraId="61DE597A">
      <w:pPr>
        <w:spacing w:line="460" w:lineRule="exact"/>
        <w:ind w:firstLine="420" w:firstLineChars="200"/>
        <w:rPr>
          <w:rFonts w:hint="eastAsia" w:ascii="宋体" w:hAnsi="宋体" w:cs="宋体"/>
          <w:highlight w:val="none"/>
        </w:rPr>
      </w:pPr>
      <w:r>
        <w:rPr>
          <w:rFonts w:hint="eastAsia" w:ascii="宋体" w:hAnsi="宋体" w:cs="宋体"/>
          <w:highlight w:val="none"/>
        </w:rPr>
        <w:t>2.7 由于发包人原因造成本项目出现重大变更导致承包人返工时，发包人应按有关合同条款调整合同价格。</w:t>
      </w:r>
    </w:p>
    <w:p w14:paraId="4F0FD7A9">
      <w:pPr>
        <w:spacing w:line="460" w:lineRule="exact"/>
        <w:ind w:firstLine="420" w:firstLineChars="200"/>
        <w:rPr>
          <w:highlight w:val="none"/>
        </w:rPr>
      </w:pPr>
      <w:r>
        <w:rPr>
          <w:rFonts w:hint="eastAsia" w:ascii="宋体" w:hAnsi="宋体" w:cs="宋体"/>
          <w:highlight w:val="none"/>
        </w:rPr>
        <w:t>2.8 发包人应履行专用合同条款约定的其他责任。</w:t>
      </w:r>
    </w:p>
    <w:p w14:paraId="53E058F0">
      <w:pPr>
        <w:pStyle w:val="34"/>
        <w:spacing w:before="480" w:beforeLines="0" w:after="240" w:afterLines="0"/>
        <w:outlineLvl w:val="2"/>
        <w:rPr>
          <w:rFonts w:hint="eastAsia" w:hAnsi="宋体"/>
          <w:b/>
          <w:color w:val="auto"/>
          <w:highlight w:val="none"/>
        </w:rPr>
      </w:pPr>
      <w:bookmarkStart w:id="131" w:name="_Toc326241903"/>
      <w:bookmarkStart w:id="132" w:name="_Toc346269490"/>
      <w:bookmarkStart w:id="133" w:name="_Toc27062"/>
      <w:bookmarkStart w:id="134" w:name="_Toc446919470"/>
      <w:bookmarkStart w:id="135" w:name="_Toc16102"/>
      <w:bookmarkStart w:id="136" w:name="_Toc27161"/>
      <w:bookmarkStart w:id="137" w:name="_Toc9258"/>
      <w:bookmarkStart w:id="138" w:name="_Toc23316"/>
      <w:bookmarkStart w:id="139" w:name="_Toc12568"/>
      <w:bookmarkStart w:id="140" w:name="_Toc2535"/>
      <w:bookmarkStart w:id="141" w:name="_Toc335660872"/>
      <w:bookmarkStart w:id="142" w:name="_Toc335721988"/>
      <w:bookmarkStart w:id="143" w:name="_Toc346269070"/>
      <w:bookmarkStart w:id="144" w:name="_Toc4518"/>
      <w:bookmarkStart w:id="145" w:name="_Toc89866135"/>
      <w:r>
        <w:rPr>
          <w:rFonts w:hAnsi="宋体"/>
          <w:b/>
          <w:color w:val="auto"/>
          <w:highlight w:val="none"/>
        </w:rPr>
        <w:t xml:space="preserve">3. </w:t>
      </w:r>
      <w:r>
        <w:rPr>
          <w:rFonts w:hint="eastAsia" w:hAnsi="宋体"/>
          <w:b/>
          <w:color w:val="auto"/>
          <w:highlight w:val="none"/>
        </w:rPr>
        <w:t>承包人</w:t>
      </w:r>
      <w:r>
        <w:rPr>
          <w:rFonts w:hAnsi="宋体"/>
          <w:b/>
          <w:color w:val="auto"/>
          <w:highlight w:val="none"/>
        </w:rPr>
        <w:t>的责任</w:t>
      </w:r>
      <w:bookmarkEnd w:id="131"/>
      <w:r>
        <w:rPr>
          <w:rFonts w:hint="eastAsia" w:hAnsi="宋体"/>
          <w:b/>
          <w:color w:val="auto"/>
          <w:highlight w:val="none"/>
        </w:rPr>
        <w:t>与义务</w:t>
      </w:r>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p>
    <w:p w14:paraId="53338DEB">
      <w:pPr>
        <w:spacing w:line="460" w:lineRule="exact"/>
        <w:ind w:firstLine="420" w:firstLineChars="200"/>
        <w:jc w:val="left"/>
        <w:rPr>
          <w:rFonts w:hint="eastAsia" w:ascii="宋体" w:hAnsi="宋体" w:cs="宋体"/>
          <w:highlight w:val="none"/>
        </w:rPr>
      </w:pPr>
      <w:bookmarkStart w:id="146" w:name="_Toc335660873"/>
      <w:r>
        <w:rPr>
          <w:rFonts w:hint="eastAsia" w:ascii="宋体" w:hAnsi="宋体" w:cs="宋体"/>
          <w:highlight w:val="none"/>
        </w:rPr>
        <w:t>3.1 承包人的一般义务</w:t>
      </w:r>
    </w:p>
    <w:p w14:paraId="6F50665E">
      <w:pPr>
        <w:spacing w:line="460" w:lineRule="exact"/>
        <w:ind w:firstLine="420" w:firstLineChars="200"/>
        <w:jc w:val="left"/>
        <w:rPr>
          <w:rFonts w:hint="eastAsia" w:ascii="宋体" w:hAnsi="宋体" w:cs="宋体"/>
          <w:highlight w:val="none"/>
        </w:rPr>
      </w:pPr>
      <w:r>
        <w:rPr>
          <w:rFonts w:hint="eastAsia" w:ascii="宋体" w:hAnsi="宋体" w:cs="宋体"/>
          <w:highlight w:val="none"/>
        </w:rPr>
        <w:t>3.1.1 承包人在履行合同过程中应遵守法律，并保证发包人免于承担因承包人违反法律而引起的任何责任。</w:t>
      </w:r>
    </w:p>
    <w:p w14:paraId="214066A8">
      <w:pPr>
        <w:spacing w:line="460" w:lineRule="exact"/>
        <w:ind w:firstLine="420" w:firstLineChars="200"/>
        <w:jc w:val="left"/>
        <w:rPr>
          <w:rFonts w:hint="eastAsia" w:ascii="宋体" w:hAnsi="宋体" w:cs="宋体"/>
          <w:highlight w:val="none"/>
        </w:rPr>
      </w:pPr>
      <w:r>
        <w:rPr>
          <w:rFonts w:hint="eastAsia" w:ascii="宋体" w:hAnsi="宋体" w:cs="宋体"/>
          <w:highlight w:val="none"/>
        </w:rPr>
        <w:t>3.1.2 承包人应按有关法律规定纳税，应缴纳的税金（含增值税）包括在合同价格之中。</w:t>
      </w:r>
    </w:p>
    <w:p w14:paraId="283C025C">
      <w:pPr>
        <w:spacing w:line="460" w:lineRule="exact"/>
        <w:ind w:firstLine="420" w:firstLineChars="200"/>
        <w:jc w:val="left"/>
        <w:rPr>
          <w:rFonts w:hint="eastAsia" w:ascii="宋体" w:hAnsi="宋体" w:cs="宋体"/>
          <w:highlight w:val="none"/>
        </w:rPr>
      </w:pPr>
      <w:r>
        <w:rPr>
          <w:rFonts w:hint="eastAsia" w:ascii="宋体" w:hAnsi="宋体" w:cs="宋体"/>
          <w:highlight w:val="none"/>
        </w:rPr>
        <w:t>3.1.3 承包人应按合同约定以及发包人要求，根据本项目的具体情况，按国家和行业相关标准的有关要求，完成合同约定的全部工作，并对工作中的任何缺陷进行整改、完善和修补，使其满足合同约定的目的。承包人应按合同约定提供勘察文件、咨询文件及相关服务等。</w:t>
      </w:r>
    </w:p>
    <w:p w14:paraId="4D217D05">
      <w:pPr>
        <w:spacing w:line="460" w:lineRule="exact"/>
        <w:ind w:firstLine="420" w:firstLineChars="200"/>
        <w:jc w:val="left"/>
        <w:rPr>
          <w:rFonts w:hint="eastAsia" w:ascii="宋体" w:hAnsi="宋体" w:cs="宋体"/>
          <w:highlight w:val="none"/>
        </w:rPr>
      </w:pPr>
      <w:r>
        <w:rPr>
          <w:rFonts w:hint="eastAsia" w:ascii="宋体" w:hAnsi="宋体" w:cs="宋体"/>
          <w:highlight w:val="none"/>
        </w:rPr>
        <w:t>3.1.4 承包人应按法律、规范标准和发包人要求，采取各项有效措施，确保勘察作业操作规范、安全、文明和环保，在风险性较大的环境中作业时应当编制安全防护方案并制定应急预案，防止因勘察作业造成的人身伤害和财产损失。</w:t>
      </w:r>
    </w:p>
    <w:p w14:paraId="239DAA35">
      <w:pPr>
        <w:spacing w:line="460" w:lineRule="exact"/>
        <w:ind w:firstLine="420" w:firstLineChars="200"/>
        <w:jc w:val="left"/>
        <w:rPr>
          <w:rFonts w:hint="eastAsia" w:ascii="宋体" w:hAnsi="宋体" w:cs="宋体"/>
          <w:highlight w:val="none"/>
        </w:rPr>
      </w:pPr>
      <w:r>
        <w:rPr>
          <w:rFonts w:hint="eastAsia" w:ascii="宋体" w:hAnsi="宋体" w:cs="宋体"/>
          <w:highlight w:val="none"/>
        </w:rPr>
        <w:t>3.1.5 承包人在进行合同约定的各项工作时，不得侵害发包人与他人使用公用道路、水源、市政管网等公共设施的权利，避免对邻近的公共设施产生干扰，保证勘探场地的周边设施、建构筑物、地下管线、架空线和其他物体的安全运行。承包人占用或使用他人的施工场地，影响他人作业或生活的，应承担相应责任。</w:t>
      </w:r>
    </w:p>
    <w:p w14:paraId="2281D44B">
      <w:pPr>
        <w:spacing w:line="460" w:lineRule="exact"/>
        <w:ind w:firstLine="420" w:firstLineChars="200"/>
        <w:jc w:val="left"/>
        <w:rPr>
          <w:rFonts w:hint="eastAsia" w:ascii="宋体" w:hAnsi="宋体" w:cs="宋体"/>
          <w:highlight w:val="none"/>
        </w:rPr>
      </w:pPr>
      <w:r>
        <w:rPr>
          <w:rFonts w:hint="eastAsia" w:ascii="宋体" w:hAnsi="宋体" w:cs="宋体"/>
          <w:highlight w:val="none"/>
        </w:rPr>
        <w:t>3.2 承包人应做好工程勘察咨询服务的质量管理工作，建立健全工程勘察咨询质量保证体系，加强工程勘察、咨询全过程的质量控制，建立完整的编制、复核、审核、会签和批准制度，明确各阶段的责任人，并对本项目的工程勘察、咨询质量负责。</w:t>
      </w:r>
    </w:p>
    <w:p w14:paraId="20275867">
      <w:pPr>
        <w:spacing w:line="460" w:lineRule="exact"/>
        <w:ind w:firstLine="420" w:firstLineChars="200"/>
        <w:jc w:val="left"/>
        <w:rPr>
          <w:rFonts w:hint="eastAsia" w:ascii="宋体" w:hAnsi="宋体" w:cs="宋体"/>
          <w:highlight w:val="none"/>
        </w:rPr>
      </w:pPr>
      <w:r>
        <w:rPr>
          <w:rFonts w:hint="eastAsia" w:ascii="宋体" w:hAnsi="宋体" w:cs="宋体"/>
          <w:highlight w:val="none"/>
        </w:rPr>
        <w:t>3.3 承包人在进行工程勘察咨询时，应采取相应的安全、保卫和环境保护措施，因承包人未能采取有效措施而发生的与工程勘察咨询活动有关的人身伤亡、罚款、索赔、损失赔偿、诉讼费用及其他一切责任应由承包人负责。</w:t>
      </w:r>
    </w:p>
    <w:p w14:paraId="467805E6">
      <w:pPr>
        <w:spacing w:line="460" w:lineRule="exact"/>
        <w:ind w:firstLine="420" w:firstLineChars="200"/>
        <w:jc w:val="left"/>
        <w:rPr>
          <w:rFonts w:hint="eastAsia" w:ascii="宋体" w:hAnsi="宋体" w:cs="宋体"/>
          <w:highlight w:val="none"/>
        </w:rPr>
      </w:pPr>
      <w:r>
        <w:rPr>
          <w:rFonts w:hint="eastAsia" w:ascii="宋体" w:hAnsi="宋体" w:cs="宋体"/>
          <w:highlight w:val="none"/>
        </w:rPr>
        <w:t>3.4 承包人在工程勘察咨询过程中，提供的成果文件不应侵犯任何第三方的专利权、版权、及其他知识产权，否则由此而引起索赔或诉讼，承包人应承担全部责任，并保障发包人免于承担由此造成的一切损害和损失。</w:t>
      </w:r>
    </w:p>
    <w:p w14:paraId="4E68D90B">
      <w:pPr>
        <w:spacing w:line="460" w:lineRule="exact"/>
        <w:ind w:firstLine="420" w:firstLineChars="200"/>
        <w:jc w:val="left"/>
        <w:rPr>
          <w:rFonts w:hint="eastAsia" w:ascii="宋体" w:hAnsi="宋体" w:cs="宋体"/>
          <w:highlight w:val="none"/>
        </w:rPr>
      </w:pPr>
      <w:r>
        <w:rPr>
          <w:rFonts w:hint="eastAsia" w:ascii="宋体" w:hAnsi="宋体" w:cs="宋体"/>
          <w:highlight w:val="none"/>
        </w:rPr>
        <w:t>3.5 承包人提交的成果文件必须接受发包人委托的咨询审查单位及发包人上级主管部门的审查，并按照审查意见修改完善。</w:t>
      </w:r>
    </w:p>
    <w:p w14:paraId="6A7B1D83">
      <w:pPr>
        <w:spacing w:line="460" w:lineRule="exact"/>
        <w:ind w:firstLine="420" w:firstLineChars="200"/>
        <w:jc w:val="left"/>
        <w:rPr>
          <w:rFonts w:hint="eastAsia" w:ascii="宋体" w:hAnsi="宋体" w:cs="宋体"/>
          <w:highlight w:val="none"/>
        </w:rPr>
      </w:pPr>
      <w:r>
        <w:rPr>
          <w:rFonts w:hint="eastAsia" w:ascii="宋体" w:hAnsi="宋体" w:cs="宋体"/>
          <w:highlight w:val="none"/>
        </w:rPr>
        <w:t>3.6 人员管理</w:t>
      </w:r>
    </w:p>
    <w:p w14:paraId="5F78B1D6">
      <w:pPr>
        <w:spacing w:line="460" w:lineRule="exact"/>
        <w:ind w:firstLine="420" w:firstLineChars="200"/>
        <w:jc w:val="left"/>
        <w:rPr>
          <w:rFonts w:hint="eastAsia" w:ascii="宋体" w:hAnsi="宋体" w:cs="宋体"/>
          <w:highlight w:val="none"/>
        </w:rPr>
      </w:pPr>
      <w:r>
        <w:rPr>
          <w:rFonts w:hint="eastAsia" w:ascii="宋体" w:hAnsi="宋体" w:cs="宋体"/>
          <w:highlight w:val="none"/>
        </w:rPr>
        <w:t>承包人应对其项目负责人和其他人员进行有效管理。发包人要求撤换不能胜任本职工作、行为不端或玩忽职守的项目负责人和其他人员的，承包人应予以撤换。</w:t>
      </w:r>
    </w:p>
    <w:p w14:paraId="55E5478C">
      <w:pPr>
        <w:spacing w:line="460" w:lineRule="exact"/>
        <w:ind w:firstLine="420" w:firstLineChars="200"/>
        <w:jc w:val="left"/>
        <w:rPr>
          <w:rFonts w:hint="eastAsia" w:ascii="宋体" w:hAnsi="宋体" w:cs="宋体"/>
          <w:highlight w:val="none"/>
        </w:rPr>
      </w:pPr>
      <w:r>
        <w:rPr>
          <w:rFonts w:hint="eastAsia" w:ascii="宋体" w:hAnsi="宋体" w:cs="宋体"/>
          <w:highlight w:val="none"/>
        </w:rPr>
        <w:t>3.6.1 项目负责人</w:t>
      </w:r>
    </w:p>
    <w:p w14:paraId="17AFAB62">
      <w:pPr>
        <w:spacing w:line="460" w:lineRule="exact"/>
        <w:ind w:firstLine="420" w:firstLineChars="200"/>
        <w:jc w:val="left"/>
        <w:rPr>
          <w:rFonts w:hint="eastAsia" w:ascii="宋体" w:hAnsi="宋体" w:cs="宋体"/>
          <w:highlight w:val="none"/>
        </w:rPr>
      </w:pPr>
      <w:r>
        <w:rPr>
          <w:rFonts w:hint="eastAsia" w:ascii="宋体" w:hAnsi="宋体" w:cs="宋体"/>
          <w:highlight w:val="none"/>
        </w:rPr>
        <w:t>3.6.1.1 承包人应按合同协议书的约定指派项目负责人，并在约定的期限内到职。承包人更换项目负责人应事先征得发包人同意，并应在更换14天前将拟更换的项目负责人的姓名和详细资料提交发包人。项目负责人2天内不能履行职责的，应事先征得发包人同意，并委派代表代行其职责。</w:t>
      </w:r>
    </w:p>
    <w:p w14:paraId="36E112AA">
      <w:pPr>
        <w:spacing w:line="460" w:lineRule="exact"/>
        <w:ind w:firstLine="420" w:firstLineChars="200"/>
        <w:jc w:val="left"/>
        <w:rPr>
          <w:rFonts w:hint="eastAsia" w:ascii="宋体" w:hAnsi="宋体" w:cs="宋体"/>
          <w:highlight w:val="none"/>
        </w:rPr>
      </w:pPr>
      <w:r>
        <w:rPr>
          <w:rFonts w:hint="eastAsia" w:ascii="宋体" w:hAnsi="宋体" w:cs="宋体"/>
          <w:highlight w:val="none"/>
        </w:rPr>
        <w:t>3.6.1.2 项目负责人应按合同约定以及发包人要求，负责组织合同工作的实施。在情况紧急且无法与发包人取得联系时，可采取保证工程和人员生命财产安全的紧急措施，并在采取措施后24小时内向发包人提交书面报告。</w:t>
      </w:r>
    </w:p>
    <w:p w14:paraId="3EAE92DC">
      <w:pPr>
        <w:spacing w:line="460" w:lineRule="exact"/>
        <w:ind w:firstLine="420" w:firstLineChars="200"/>
        <w:jc w:val="left"/>
        <w:rPr>
          <w:rFonts w:hint="eastAsia" w:ascii="宋体" w:hAnsi="宋体" w:cs="宋体"/>
          <w:highlight w:val="none"/>
        </w:rPr>
      </w:pPr>
      <w:r>
        <w:rPr>
          <w:rFonts w:hint="eastAsia" w:ascii="宋体" w:hAnsi="宋体" w:cs="宋体"/>
          <w:highlight w:val="none"/>
        </w:rPr>
        <w:t>3.6.1.3 承包人为履行合同发出的一切函件均应盖有承包人单位章，并由承包人的项目负责人签字确认。</w:t>
      </w:r>
    </w:p>
    <w:p w14:paraId="1B33FBD4">
      <w:pPr>
        <w:spacing w:line="460" w:lineRule="exact"/>
        <w:ind w:firstLine="420" w:firstLineChars="200"/>
        <w:jc w:val="left"/>
        <w:rPr>
          <w:rFonts w:hint="eastAsia" w:ascii="宋体" w:hAnsi="宋体" w:cs="宋体"/>
          <w:highlight w:val="none"/>
        </w:rPr>
      </w:pPr>
      <w:r>
        <w:rPr>
          <w:rFonts w:hint="eastAsia" w:ascii="宋体" w:hAnsi="宋体" w:cs="宋体"/>
          <w:highlight w:val="none"/>
        </w:rPr>
        <w:t>3.6.1.4 按照专用合同条款约定，项目负责人可以授权其下属人员履行其某项职责，但事先应将这些人员的姓名和授权范围书面通知发包人。</w:t>
      </w:r>
    </w:p>
    <w:p w14:paraId="704A4445">
      <w:pPr>
        <w:spacing w:line="460" w:lineRule="exact"/>
        <w:ind w:firstLine="420" w:firstLineChars="200"/>
        <w:jc w:val="left"/>
        <w:rPr>
          <w:rFonts w:hint="eastAsia" w:ascii="宋体" w:hAnsi="宋体" w:cs="宋体"/>
          <w:highlight w:val="none"/>
        </w:rPr>
      </w:pPr>
      <w:r>
        <w:rPr>
          <w:rFonts w:hint="eastAsia" w:ascii="宋体" w:hAnsi="宋体" w:cs="宋体"/>
          <w:highlight w:val="none"/>
        </w:rPr>
        <w:t>3.6.2 其他人员</w:t>
      </w:r>
    </w:p>
    <w:p w14:paraId="47EB594B">
      <w:pPr>
        <w:spacing w:line="460" w:lineRule="exact"/>
        <w:ind w:firstLine="420" w:firstLineChars="200"/>
        <w:jc w:val="left"/>
        <w:rPr>
          <w:rFonts w:hint="eastAsia" w:ascii="宋体" w:hAnsi="宋体" w:cs="宋体"/>
          <w:highlight w:val="none"/>
        </w:rPr>
      </w:pPr>
      <w:r>
        <w:rPr>
          <w:rFonts w:hint="eastAsia" w:ascii="宋体" w:hAnsi="宋体" w:cs="宋体"/>
          <w:highlight w:val="none"/>
        </w:rPr>
        <w:t>3.6.2.1 承包人应在合同签订之日起7天内，向发包人提交项目机构以及人员安排的报告，其内容应包括项目机构设置、主要人员和作业人员的名单及资格条件。主要人员应相对稳定，更换主要人员的，应取得发包人的同意,并向发包人提交继任人员的资格、管理经验等资料。项目负责人的更换，应按照本章第3.6.1项规定执行。</w:t>
      </w:r>
    </w:p>
    <w:p w14:paraId="3B36B621">
      <w:pPr>
        <w:spacing w:line="460" w:lineRule="exact"/>
        <w:ind w:firstLine="420" w:firstLineChars="200"/>
        <w:jc w:val="left"/>
        <w:rPr>
          <w:rFonts w:hint="eastAsia" w:ascii="宋体" w:hAnsi="宋体" w:cs="宋体"/>
          <w:highlight w:val="none"/>
        </w:rPr>
      </w:pPr>
      <w:r>
        <w:rPr>
          <w:rFonts w:hint="eastAsia" w:ascii="宋体" w:hAnsi="宋体" w:cs="宋体"/>
          <w:highlight w:val="none"/>
        </w:rPr>
        <w:t>3.6.2.2 除专用合同条款另有约定外，主要人员包括项目负责人、专业负责人、审核人、审定人等；其他人员包括各专业的承包人员、管理人员等。</w:t>
      </w:r>
    </w:p>
    <w:p w14:paraId="16AFFD59">
      <w:pPr>
        <w:spacing w:line="460" w:lineRule="exact"/>
        <w:ind w:firstLine="420" w:firstLineChars="200"/>
        <w:jc w:val="left"/>
        <w:rPr>
          <w:rFonts w:hint="eastAsia" w:ascii="宋体" w:hAnsi="宋体" w:cs="宋体"/>
          <w:highlight w:val="none"/>
        </w:rPr>
      </w:pPr>
      <w:r>
        <w:rPr>
          <w:rFonts w:hint="eastAsia" w:ascii="宋体" w:hAnsi="宋体" w:cs="宋体"/>
          <w:highlight w:val="none"/>
        </w:rPr>
        <w:t>3.6.2.3 承包人应保证其主要人员（含分包人）在合同期限内的任何时候，都能按时参加发包人组织的工作会议。</w:t>
      </w:r>
    </w:p>
    <w:p w14:paraId="726AB9BF">
      <w:pPr>
        <w:spacing w:line="460" w:lineRule="exact"/>
        <w:ind w:firstLine="420" w:firstLineChars="200"/>
        <w:jc w:val="left"/>
        <w:rPr>
          <w:rFonts w:hint="eastAsia" w:ascii="宋体" w:hAnsi="宋体" w:cs="宋体"/>
          <w:highlight w:val="none"/>
        </w:rPr>
      </w:pPr>
      <w:r>
        <w:rPr>
          <w:rFonts w:hint="eastAsia" w:ascii="宋体" w:hAnsi="宋体" w:cs="宋体"/>
          <w:highlight w:val="none"/>
        </w:rPr>
        <w:t>3.6.2.4 国家规定应当持证上岗的工作人员均应持有相应的资格证明，发包人有权随时检查。发包人认为有必要时，可以进行现场考核。</w:t>
      </w:r>
    </w:p>
    <w:p w14:paraId="7DBBD677">
      <w:pPr>
        <w:spacing w:line="460" w:lineRule="exact"/>
        <w:ind w:firstLine="420" w:firstLineChars="200"/>
        <w:jc w:val="left"/>
        <w:rPr>
          <w:rFonts w:hint="eastAsia" w:ascii="宋体" w:hAnsi="宋体" w:cs="宋体"/>
          <w:highlight w:val="none"/>
        </w:rPr>
      </w:pPr>
      <w:r>
        <w:rPr>
          <w:rFonts w:hint="eastAsia" w:ascii="宋体" w:hAnsi="宋体" w:cs="宋体"/>
          <w:highlight w:val="none"/>
        </w:rPr>
        <w:t>3.7 承包人不得将本合同规定的工程勘察咨询任务转包，不得将工程主体、关键性工作分包给第三方，如有分包计划，须经发包人批准。</w:t>
      </w:r>
    </w:p>
    <w:p w14:paraId="78D521CC">
      <w:pPr>
        <w:spacing w:line="460" w:lineRule="exact"/>
        <w:ind w:firstLine="420" w:firstLineChars="200"/>
        <w:jc w:val="left"/>
        <w:rPr>
          <w:rFonts w:hint="eastAsia" w:ascii="宋体" w:hAnsi="宋体" w:cs="宋体"/>
          <w:highlight w:val="none"/>
        </w:rPr>
      </w:pPr>
      <w:r>
        <w:rPr>
          <w:rFonts w:hint="eastAsia" w:ascii="宋体" w:hAnsi="宋体" w:cs="宋体"/>
          <w:highlight w:val="none"/>
        </w:rPr>
        <w:t>3.8 合同价款应专款专用。发包人按合同约定支付给承包人的各项价款，应专用于合同勘察咨询服务工作。</w:t>
      </w:r>
    </w:p>
    <w:p w14:paraId="177E4060">
      <w:pPr>
        <w:spacing w:line="460" w:lineRule="exact"/>
        <w:ind w:firstLine="420" w:firstLineChars="200"/>
        <w:jc w:val="left"/>
        <w:rPr>
          <w:rFonts w:ascii="宋体" w:hAnsi="宋体" w:cs="宋体"/>
          <w:szCs w:val="21"/>
          <w:highlight w:val="none"/>
        </w:rPr>
      </w:pPr>
      <w:r>
        <w:rPr>
          <w:rFonts w:hint="eastAsia" w:ascii="宋体" w:hAnsi="宋体" w:cs="宋体"/>
          <w:highlight w:val="none"/>
        </w:rPr>
        <w:t>3.9 承包人应履行专用合同条款约定的其他责任。</w:t>
      </w:r>
    </w:p>
    <w:bookmarkEnd w:id="146"/>
    <w:p w14:paraId="3ACCEEE8">
      <w:pPr>
        <w:pStyle w:val="34"/>
        <w:spacing w:before="480" w:beforeLines="0" w:after="240" w:afterLines="0"/>
        <w:outlineLvl w:val="2"/>
        <w:rPr>
          <w:rFonts w:hAnsi="宋体"/>
          <w:b/>
          <w:color w:val="auto"/>
          <w:highlight w:val="none"/>
        </w:rPr>
      </w:pPr>
      <w:bookmarkStart w:id="147" w:name="_Toc335721989"/>
      <w:bookmarkStart w:id="148" w:name="_Toc89866136"/>
      <w:bookmarkStart w:id="149" w:name="_Toc17372"/>
      <w:bookmarkStart w:id="150" w:name="_Toc326241904"/>
      <w:bookmarkStart w:id="151" w:name="_Toc446919471"/>
      <w:bookmarkStart w:id="152" w:name="_Toc3168"/>
      <w:bookmarkStart w:id="153" w:name="_Toc18500"/>
      <w:bookmarkStart w:id="154" w:name="_Toc346269071"/>
      <w:bookmarkStart w:id="155" w:name="_Toc9680"/>
      <w:bookmarkStart w:id="156" w:name="_Toc346269491"/>
      <w:bookmarkStart w:id="157" w:name="_Toc335660882"/>
      <w:bookmarkStart w:id="158" w:name="_Toc19808"/>
      <w:bookmarkStart w:id="159" w:name="_Toc7487"/>
      <w:bookmarkStart w:id="160" w:name="_Toc16810"/>
      <w:bookmarkStart w:id="161" w:name="_Toc23270"/>
      <w:r>
        <w:rPr>
          <w:rFonts w:hAnsi="宋体"/>
          <w:b/>
          <w:color w:val="auto"/>
          <w:highlight w:val="none"/>
        </w:rPr>
        <w:t>4.</w:t>
      </w:r>
      <w:r>
        <w:rPr>
          <w:rFonts w:hint="eastAsia" w:hAnsi="宋体"/>
          <w:b/>
          <w:color w:val="auto"/>
          <w:highlight w:val="none"/>
        </w:rPr>
        <w:t>工作</w:t>
      </w:r>
      <w:r>
        <w:rPr>
          <w:rFonts w:hAnsi="宋体"/>
          <w:b/>
          <w:color w:val="auto"/>
          <w:highlight w:val="none"/>
        </w:rPr>
        <w:t>周期及成果提交</w:t>
      </w:r>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p>
    <w:p w14:paraId="4C1B35AE">
      <w:pPr>
        <w:spacing w:line="460" w:lineRule="exact"/>
        <w:ind w:firstLine="420" w:firstLineChars="200"/>
        <w:rPr>
          <w:highlight w:val="none"/>
        </w:rPr>
      </w:pPr>
      <w:r>
        <w:rPr>
          <w:rFonts w:hint="eastAsia" w:ascii="宋体" w:hAnsi="宋体" w:cs="宋体"/>
          <w:highlight w:val="none"/>
        </w:rPr>
        <w:t>4.1 承包人应根据合同约定提供所需成果文件。本项目服务范围、内容与要求、主要技术标准、工作周期及需提交的工作成果在专用合同条款中约定。</w:t>
      </w:r>
    </w:p>
    <w:p w14:paraId="5CF9B25D">
      <w:pPr>
        <w:pStyle w:val="34"/>
        <w:spacing w:before="480" w:beforeLines="0" w:after="240" w:afterLines="0"/>
        <w:outlineLvl w:val="2"/>
        <w:rPr>
          <w:rFonts w:hAnsi="宋体"/>
          <w:b/>
          <w:color w:val="auto"/>
          <w:highlight w:val="none"/>
        </w:rPr>
      </w:pPr>
      <w:bookmarkStart w:id="162" w:name="_Toc326241905"/>
      <w:bookmarkStart w:id="163" w:name="_Toc446919472"/>
      <w:bookmarkStart w:id="164" w:name="_Toc11887"/>
      <w:bookmarkStart w:id="165" w:name="_Toc335660884"/>
      <w:bookmarkStart w:id="166" w:name="_Toc28242"/>
      <w:bookmarkStart w:id="167" w:name="_Toc14282"/>
      <w:bookmarkStart w:id="168" w:name="_Toc335721990"/>
      <w:bookmarkStart w:id="169" w:name="_Toc13335"/>
      <w:bookmarkStart w:id="170" w:name="_Toc21533"/>
      <w:bookmarkStart w:id="171" w:name="_Toc30175"/>
      <w:bookmarkStart w:id="172" w:name="_Toc346269072"/>
      <w:bookmarkStart w:id="173" w:name="_Toc27990"/>
      <w:bookmarkStart w:id="174" w:name="_Toc346269492"/>
      <w:bookmarkStart w:id="175" w:name="_Toc89866137"/>
      <w:bookmarkStart w:id="176" w:name="_Toc1514"/>
      <w:r>
        <w:rPr>
          <w:rFonts w:hAnsi="宋体"/>
          <w:b/>
          <w:color w:val="auto"/>
          <w:highlight w:val="none"/>
        </w:rPr>
        <w:t>5. 违约与赔偿</w:t>
      </w:r>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14:paraId="7A645B56">
      <w:pPr>
        <w:spacing w:line="460" w:lineRule="exact"/>
        <w:ind w:firstLine="420" w:firstLineChars="200"/>
        <w:rPr>
          <w:rFonts w:hint="eastAsia" w:ascii="宋体" w:hAnsi="宋体" w:cs="宋体"/>
          <w:highlight w:val="none"/>
        </w:rPr>
      </w:pPr>
      <w:r>
        <w:rPr>
          <w:rFonts w:hint="eastAsia" w:ascii="宋体" w:hAnsi="宋体" w:cs="宋体"/>
          <w:highlight w:val="none"/>
        </w:rPr>
        <w:t>5.1 发包人的违约与赔偿</w:t>
      </w:r>
    </w:p>
    <w:p w14:paraId="5481DFA8">
      <w:pPr>
        <w:spacing w:line="460" w:lineRule="exact"/>
        <w:ind w:firstLine="420" w:firstLineChars="200"/>
        <w:rPr>
          <w:rFonts w:hint="eastAsia" w:ascii="宋体" w:hAnsi="宋体" w:cs="宋体"/>
          <w:highlight w:val="none"/>
        </w:rPr>
      </w:pPr>
      <w:r>
        <w:rPr>
          <w:rFonts w:hint="eastAsia" w:ascii="宋体" w:hAnsi="宋体" w:cs="宋体"/>
          <w:highlight w:val="none"/>
        </w:rPr>
        <w:t>5.1.1 由于发包人变更勘察咨询项目、规模、条件、工期等，或未按合同规定提供勘察必需的资料，而造成勘察的返工、停工、窝工，发包人应按承包人实际消耗的工作量增付费用；由于发包人要求提前完成勘察咨询工作而导致增加的人员和费用，应另行计列。</w:t>
      </w:r>
    </w:p>
    <w:p w14:paraId="6232ABC8">
      <w:pPr>
        <w:spacing w:line="460" w:lineRule="exact"/>
        <w:ind w:firstLine="420" w:firstLineChars="200"/>
        <w:rPr>
          <w:rFonts w:hint="eastAsia" w:ascii="宋体" w:hAnsi="宋体" w:cs="宋体"/>
          <w:highlight w:val="none"/>
        </w:rPr>
      </w:pPr>
      <w:r>
        <w:rPr>
          <w:rFonts w:hint="eastAsia" w:ascii="宋体" w:hAnsi="宋体" w:cs="宋体"/>
          <w:highlight w:val="none"/>
        </w:rPr>
        <w:t>5.1.2 发包人超过合同规定的日期支付费用的，应偿付逾期的违约金。偿付办法与金额在合同专用条款中约定。</w:t>
      </w:r>
    </w:p>
    <w:p w14:paraId="398DA740">
      <w:pPr>
        <w:spacing w:line="460" w:lineRule="exact"/>
        <w:ind w:firstLine="420" w:firstLineChars="200"/>
        <w:rPr>
          <w:rFonts w:hint="eastAsia" w:ascii="宋体" w:hAnsi="宋体" w:cs="宋体"/>
          <w:highlight w:val="none"/>
        </w:rPr>
      </w:pPr>
      <w:r>
        <w:rPr>
          <w:rFonts w:hint="eastAsia" w:ascii="宋体" w:hAnsi="宋体" w:cs="宋体"/>
          <w:highlight w:val="none"/>
        </w:rPr>
        <w:t>5.1.3 在合同生效后，发包人要求终止或解除合同的，应根据承包人已进行的实际工作量支付费用，不足一半时，按剩余合同价的5%向承包人支付违约金；超过一半时，按剩余合同价的10%向承包人支付违约金。</w:t>
      </w:r>
    </w:p>
    <w:p w14:paraId="07669B43">
      <w:pPr>
        <w:spacing w:line="460" w:lineRule="exact"/>
        <w:ind w:firstLine="420" w:firstLineChars="200"/>
        <w:rPr>
          <w:rFonts w:hint="eastAsia" w:ascii="宋体" w:hAnsi="宋体" w:cs="宋体"/>
          <w:highlight w:val="none"/>
        </w:rPr>
      </w:pPr>
      <w:r>
        <w:rPr>
          <w:rFonts w:hint="eastAsia" w:ascii="宋体" w:hAnsi="宋体" w:cs="宋体"/>
          <w:highlight w:val="none"/>
        </w:rPr>
        <w:t>5.1.4 专用合同条款中约定的发包人其他违约与赔偿责任。</w:t>
      </w:r>
    </w:p>
    <w:p w14:paraId="1EF26E1A">
      <w:pPr>
        <w:spacing w:line="460" w:lineRule="exact"/>
        <w:ind w:firstLine="420" w:firstLineChars="200"/>
        <w:rPr>
          <w:rFonts w:hint="eastAsia" w:ascii="宋体" w:hAnsi="宋体" w:cs="宋体"/>
          <w:highlight w:val="none"/>
        </w:rPr>
      </w:pPr>
      <w:r>
        <w:rPr>
          <w:rFonts w:hint="eastAsia" w:ascii="宋体" w:hAnsi="宋体" w:cs="宋体"/>
          <w:highlight w:val="none"/>
        </w:rPr>
        <w:t>5.2 承包人的违约与赔偿</w:t>
      </w:r>
    </w:p>
    <w:p w14:paraId="79A3EBE9">
      <w:pPr>
        <w:spacing w:line="460" w:lineRule="exact"/>
        <w:ind w:firstLine="420" w:firstLineChars="200"/>
        <w:rPr>
          <w:rFonts w:hint="eastAsia" w:ascii="宋体" w:hAnsi="宋体" w:cs="宋体"/>
          <w:highlight w:val="none"/>
        </w:rPr>
      </w:pPr>
      <w:r>
        <w:rPr>
          <w:rFonts w:hint="eastAsia" w:ascii="宋体" w:hAnsi="宋体" w:cs="宋体"/>
          <w:highlight w:val="none"/>
        </w:rPr>
        <w:t>5.2.1 在合同履行过程中发生下列任何一种情况，均属承包人违约，赔偿责任在专用条款中约定：</w:t>
      </w:r>
    </w:p>
    <w:p w14:paraId="79FEB8B5">
      <w:pPr>
        <w:spacing w:line="460" w:lineRule="exact"/>
        <w:ind w:firstLine="420" w:firstLineChars="200"/>
        <w:rPr>
          <w:rFonts w:hint="eastAsia" w:ascii="宋体" w:hAnsi="宋体" w:cs="宋体"/>
          <w:highlight w:val="none"/>
        </w:rPr>
      </w:pPr>
      <w:r>
        <w:rPr>
          <w:rFonts w:hint="eastAsia" w:ascii="宋体" w:hAnsi="宋体" w:cs="宋体"/>
          <w:highlight w:val="none"/>
        </w:rPr>
        <w:t>（1）承包人将勘察咨询任务转包，或未经发包人同意私自分包的；</w:t>
      </w:r>
    </w:p>
    <w:p w14:paraId="4C611C89">
      <w:pPr>
        <w:spacing w:line="460" w:lineRule="exact"/>
        <w:ind w:firstLine="420" w:firstLineChars="200"/>
        <w:rPr>
          <w:rFonts w:hint="eastAsia" w:ascii="宋体" w:hAnsi="宋体" w:cs="宋体"/>
          <w:highlight w:val="none"/>
        </w:rPr>
      </w:pPr>
      <w:r>
        <w:rPr>
          <w:rFonts w:hint="eastAsia" w:ascii="宋体" w:hAnsi="宋体" w:cs="宋体"/>
          <w:highlight w:val="none"/>
        </w:rPr>
        <w:t>（2）承包人未按照本合同规定的强制性技术标准进行勘察咨询的；</w:t>
      </w:r>
    </w:p>
    <w:p w14:paraId="1C24DB12">
      <w:pPr>
        <w:spacing w:line="460" w:lineRule="exact"/>
        <w:ind w:firstLine="420" w:firstLineChars="200"/>
        <w:rPr>
          <w:rFonts w:hint="eastAsia" w:ascii="宋体" w:hAnsi="宋体" w:cs="宋体"/>
          <w:highlight w:val="none"/>
        </w:rPr>
      </w:pPr>
      <w:r>
        <w:rPr>
          <w:rFonts w:hint="eastAsia" w:ascii="宋体" w:hAnsi="宋体" w:cs="宋体"/>
          <w:highlight w:val="none"/>
        </w:rPr>
        <w:t>（3）承包人未根据勘察成果资料进行工程可行性研究的；</w:t>
      </w:r>
    </w:p>
    <w:p w14:paraId="2156A112">
      <w:pPr>
        <w:spacing w:line="460" w:lineRule="exact"/>
        <w:ind w:firstLine="420" w:firstLineChars="200"/>
        <w:rPr>
          <w:rFonts w:hint="eastAsia" w:ascii="宋体" w:hAnsi="宋体" w:cs="宋体"/>
          <w:highlight w:val="none"/>
        </w:rPr>
      </w:pPr>
      <w:r>
        <w:rPr>
          <w:rFonts w:hint="eastAsia" w:ascii="宋体" w:hAnsi="宋体" w:cs="宋体"/>
          <w:highlight w:val="none"/>
        </w:rPr>
        <w:t>（4）承包人在咨询文件中指定或变相指定材料或设备生产厂、供应商的；</w:t>
      </w:r>
    </w:p>
    <w:p w14:paraId="4155B9E3">
      <w:pPr>
        <w:spacing w:line="460" w:lineRule="exact"/>
        <w:ind w:firstLine="420" w:firstLineChars="200"/>
        <w:rPr>
          <w:rFonts w:hint="eastAsia" w:ascii="宋体" w:hAnsi="宋体" w:cs="宋体"/>
          <w:highlight w:val="none"/>
        </w:rPr>
      </w:pPr>
      <w:r>
        <w:rPr>
          <w:rFonts w:hint="eastAsia" w:ascii="宋体" w:hAnsi="宋体" w:cs="宋体"/>
          <w:highlight w:val="none"/>
        </w:rPr>
        <w:t>（5）承包人由于自身原因，未能按期提交勘察咨询成果的（发包人同意延长期限的除外）；</w:t>
      </w:r>
    </w:p>
    <w:p w14:paraId="281CF52F">
      <w:pPr>
        <w:spacing w:line="460" w:lineRule="exact"/>
        <w:ind w:firstLine="420" w:firstLineChars="200"/>
        <w:rPr>
          <w:rFonts w:hint="eastAsia" w:ascii="宋体" w:hAnsi="宋体" w:cs="宋体"/>
          <w:highlight w:val="none"/>
        </w:rPr>
      </w:pPr>
      <w:r>
        <w:rPr>
          <w:rFonts w:hint="eastAsia" w:ascii="宋体" w:hAnsi="宋体" w:cs="宋体"/>
          <w:highlight w:val="none"/>
        </w:rPr>
        <w:t>（6）在收到发包人、承包人或上级主管部门提出的审查意见后，承包人未在专用合同条款规定的期限内完成对勘察文件、咨询文件修改的；</w:t>
      </w:r>
    </w:p>
    <w:p w14:paraId="67236EF6">
      <w:pPr>
        <w:spacing w:line="460" w:lineRule="exact"/>
        <w:ind w:firstLine="420" w:firstLineChars="200"/>
        <w:rPr>
          <w:rFonts w:hint="eastAsia" w:ascii="宋体" w:hAnsi="宋体" w:cs="宋体"/>
          <w:highlight w:val="none"/>
        </w:rPr>
      </w:pPr>
      <w:r>
        <w:rPr>
          <w:rFonts w:hint="eastAsia" w:ascii="宋体" w:hAnsi="宋体" w:cs="宋体"/>
          <w:highlight w:val="none"/>
        </w:rPr>
        <w:t>（7）承包人在响应文件中承诺投入本项目的主要人员未经发包人同意更换的（但因不可抗力引起的人员变动除外）；</w:t>
      </w:r>
    </w:p>
    <w:p w14:paraId="4DCA9E52">
      <w:pPr>
        <w:spacing w:line="460" w:lineRule="exact"/>
        <w:ind w:firstLine="420" w:firstLineChars="200"/>
        <w:rPr>
          <w:rFonts w:hint="eastAsia"/>
          <w:highlight w:val="none"/>
        </w:rPr>
      </w:pPr>
      <w:r>
        <w:rPr>
          <w:rFonts w:hint="eastAsia" w:ascii="宋体" w:hAnsi="宋体" w:cs="宋体"/>
          <w:highlight w:val="none"/>
        </w:rPr>
        <w:t>5.2.2 专用合同条款中约定的承包人其他违约与赔偿责任。</w:t>
      </w:r>
    </w:p>
    <w:p w14:paraId="7DAE484F">
      <w:pPr>
        <w:pStyle w:val="34"/>
        <w:spacing w:before="480" w:beforeLines="0" w:after="240" w:afterLines="0"/>
        <w:outlineLvl w:val="2"/>
        <w:rPr>
          <w:rFonts w:hAnsi="宋体"/>
          <w:b/>
          <w:color w:val="auto"/>
          <w:highlight w:val="none"/>
        </w:rPr>
      </w:pPr>
      <w:bookmarkStart w:id="177" w:name="_Toc16056"/>
      <w:bookmarkStart w:id="178" w:name="_Toc16600"/>
      <w:bookmarkStart w:id="179" w:name="_Toc10726"/>
      <w:bookmarkStart w:id="180" w:name="_Toc5571"/>
      <w:bookmarkStart w:id="181" w:name="_Toc346269493"/>
      <w:bookmarkStart w:id="182" w:name="_Toc335721993"/>
      <w:bookmarkStart w:id="183" w:name="_Toc32677"/>
      <w:bookmarkStart w:id="184" w:name="_Toc89866138"/>
      <w:bookmarkStart w:id="185" w:name="_Toc326241906"/>
      <w:bookmarkStart w:id="186" w:name="_Toc446919475"/>
      <w:bookmarkStart w:id="187" w:name="_Toc346269073"/>
      <w:bookmarkStart w:id="188" w:name="_Toc11838"/>
      <w:bookmarkStart w:id="189" w:name="_Toc30854"/>
      <w:bookmarkStart w:id="190" w:name="_Toc335660898"/>
      <w:bookmarkStart w:id="191" w:name="_Toc18736"/>
      <w:r>
        <w:rPr>
          <w:rFonts w:hAnsi="宋体"/>
          <w:b/>
          <w:color w:val="auto"/>
          <w:highlight w:val="none"/>
        </w:rPr>
        <w:t>6. 合同的生效与终止</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p>
    <w:p w14:paraId="31A71448">
      <w:pPr>
        <w:spacing w:line="460" w:lineRule="exact"/>
        <w:ind w:firstLine="420" w:firstLineChars="200"/>
        <w:rPr>
          <w:rFonts w:hint="eastAsia" w:ascii="宋体" w:hAnsi="宋体" w:cs="宋体"/>
          <w:highlight w:val="none"/>
        </w:rPr>
      </w:pPr>
      <w:r>
        <w:rPr>
          <w:rFonts w:hint="eastAsia" w:ascii="宋体" w:hAnsi="宋体" w:cs="宋体"/>
          <w:highlight w:val="none"/>
        </w:rPr>
        <w:t>6.1 合同的生效</w:t>
      </w:r>
    </w:p>
    <w:p w14:paraId="45FBA0CC">
      <w:pPr>
        <w:spacing w:line="460" w:lineRule="exact"/>
        <w:ind w:firstLine="420" w:firstLineChars="200"/>
        <w:rPr>
          <w:rFonts w:hint="eastAsia" w:ascii="宋体" w:hAnsi="宋体" w:cs="宋体"/>
          <w:highlight w:val="none"/>
        </w:rPr>
      </w:pPr>
      <w:r>
        <w:rPr>
          <w:rFonts w:hint="eastAsia" w:ascii="宋体" w:hAnsi="宋体" w:cs="宋体"/>
          <w:highlight w:val="none"/>
        </w:rPr>
        <w:t>合同文件自双方在合同协议书上签字盖单位章后生效。承包人工作的开始和完成时间应按合同文件的规定执行。</w:t>
      </w:r>
    </w:p>
    <w:p w14:paraId="4093AD89">
      <w:pPr>
        <w:spacing w:line="460" w:lineRule="exact"/>
        <w:ind w:firstLine="420" w:firstLineChars="200"/>
        <w:rPr>
          <w:rFonts w:hint="eastAsia" w:ascii="宋体" w:hAnsi="宋体" w:cs="宋体"/>
          <w:highlight w:val="none"/>
        </w:rPr>
      </w:pPr>
      <w:r>
        <w:rPr>
          <w:rFonts w:hint="eastAsia" w:ascii="宋体" w:hAnsi="宋体" w:cs="宋体"/>
          <w:highlight w:val="none"/>
        </w:rPr>
        <w:t>6.2 合同的终止</w:t>
      </w:r>
    </w:p>
    <w:p w14:paraId="6A3F080F">
      <w:pPr>
        <w:spacing w:line="460" w:lineRule="exact"/>
        <w:ind w:firstLine="420" w:firstLineChars="200"/>
        <w:rPr>
          <w:rFonts w:hint="eastAsia" w:ascii="宋体" w:hAnsi="宋体" w:cs="宋体"/>
          <w:highlight w:val="none"/>
        </w:rPr>
      </w:pPr>
      <w:r>
        <w:rPr>
          <w:rFonts w:hint="eastAsia" w:ascii="宋体" w:hAnsi="宋体" w:cs="宋体"/>
          <w:highlight w:val="none"/>
        </w:rPr>
        <w:t>合同双方履行完合同规定的义务后，本合同即行终止。</w:t>
      </w:r>
    </w:p>
    <w:p w14:paraId="40FED8EC">
      <w:pPr>
        <w:spacing w:line="460" w:lineRule="exact"/>
        <w:ind w:firstLine="420" w:firstLineChars="200"/>
        <w:rPr>
          <w:highlight w:val="none"/>
        </w:rPr>
      </w:pPr>
      <w:r>
        <w:rPr>
          <w:rFonts w:hint="eastAsia" w:ascii="宋体" w:hAnsi="宋体" w:cs="宋体"/>
          <w:highlight w:val="none"/>
        </w:rPr>
        <w:t>6.3 由于不可抗力因素致使合同无法履行时，双方应协商解决，不论何种原因，本合同的终止不应损害和影响各方应有的权利、索赔要求和应负的责任。</w:t>
      </w:r>
    </w:p>
    <w:p w14:paraId="3BAECA66">
      <w:pPr>
        <w:pStyle w:val="34"/>
        <w:spacing w:before="480" w:beforeLines="0" w:after="240" w:afterLines="0"/>
        <w:outlineLvl w:val="2"/>
        <w:rPr>
          <w:rFonts w:hAnsi="宋体"/>
          <w:b/>
          <w:color w:val="auto"/>
          <w:highlight w:val="none"/>
        </w:rPr>
      </w:pPr>
      <w:bookmarkStart w:id="192" w:name="_Toc346269074"/>
      <w:bookmarkStart w:id="193" w:name="_Toc335660902"/>
      <w:bookmarkStart w:id="194" w:name="_Toc346269494"/>
      <w:bookmarkStart w:id="195" w:name="_Toc335721994"/>
      <w:bookmarkStart w:id="196" w:name="_Toc25326"/>
      <w:bookmarkStart w:id="197" w:name="_Toc8335"/>
      <w:bookmarkStart w:id="198" w:name="_Toc10902"/>
      <w:bookmarkStart w:id="199" w:name="_Toc29586"/>
      <w:bookmarkStart w:id="200" w:name="_Toc89866139"/>
      <w:bookmarkStart w:id="201" w:name="_Toc13643"/>
      <w:bookmarkStart w:id="202" w:name="_Toc446919476"/>
      <w:bookmarkStart w:id="203" w:name="_Toc29060"/>
      <w:bookmarkStart w:id="204" w:name="_Toc31055"/>
      <w:bookmarkStart w:id="205" w:name="_Toc326241907"/>
      <w:bookmarkStart w:id="206" w:name="_Toc22602"/>
      <w:r>
        <w:rPr>
          <w:rFonts w:hAnsi="宋体"/>
          <w:b/>
          <w:color w:val="auto"/>
          <w:highlight w:val="none"/>
        </w:rPr>
        <w:t>7. 费用与支付</w:t>
      </w:r>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p>
    <w:p w14:paraId="1046C62D">
      <w:pPr>
        <w:spacing w:line="460" w:lineRule="exact"/>
        <w:ind w:firstLine="420" w:firstLineChars="200"/>
        <w:rPr>
          <w:rFonts w:hint="eastAsia" w:ascii="宋体" w:hAnsi="宋体" w:cs="宋体"/>
          <w:highlight w:val="none"/>
        </w:rPr>
      </w:pPr>
      <w:r>
        <w:rPr>
          <w:rFonts w:hint="eastAsia" w:ascii="宋体" w:hAnsi="宋体" w:cs="宋体"/>
          <w:highlight w:val="none"/>
        </w:rPr>
        <w:t>7.1合同价格是完成合同所规定责任的总费用，包括收集资料，踏勘现场，制订纲要，进行测绘、勘探、取样、试验、测试、分析、研究、评估、审查、配合审查（审批）等，编制勘察文件，编制咨询文件，后续服务，青苗和园林绿化补偿，占地补偿，扰民及民扰，占道施工，安全防护、文明施工、环境保护，农民工工伤保险等全部费用和国家规定的增值税税金，由承包人包干使用，本合同的合同价款确定方式在专用条款中约定。</w:t>
      </w:r>
    </w:p>
    <w:p w14:paraId="304A8E86">
      <w:pPr>
        <w:spacing w:line="460" w:lineRule="exact"/>
        <w:ind w:firstLine="420" w:firstLineChars="200"/>
        <w:rPr>
          <w:rFonts w:hint="eastAsia" w:ascii="宋体" w:hAnsi="宋体" w:cs="宋体"/>
          <w:highlight w:val="none"/>
        </w:rPr>
      </w:pPr>
      <w:r>
        <w:rPr>
          <w:rFonts w:hint="eastAsia" w:ascii="宋体" w:hAnsi="宋体" w:cs="宋体"/>
          <w:highlight w:val="none"/>
        </w:rPr>
        <w:t>7.1.1发包人应按合同规定向承包人支付勘察咨询服务费用。</w:t>
      </w:r>
    </w:p>
    <w:p w14:paraId="1AE79350">
      <w:pPr>
        <w:spacing w:line="460" w:lineRule="exact"/>
        <w:ind w:firstLine="420" w:firstLineChars="200"/>
        <w:rPr>
          <w:rFonts w:hint="eastAsia" w:ascii="宋体" w:hAnsi="宋体" w:cs="宋体"/>
          <w:highlight w:val="none"/>
        </w:rPr>
      </w:pPr>
      <w:r>
        <w:rPr>
          <w:rFonts w:hint="eastAsia" w:ascii="宋体" w:hAnsi="宋体" w:cs="宋体"/>
          <w:highlight w:val="none"/>
        </w:rPr>
        <w:t>7.1.2承包人为联合体时，则发包人应根据勘察咨询服务工作进展分批向联合体牵头人支付勘察咨询服务费用。联合体牵头人提出书面申请时，发包人可分别向联合体各成员支付合同款。</w:t>
      </w:r>
    </w:p>
    <w:p w14:paraId="2402F49B">
      <w:pPr>
        <w:spacing w:line="460" w:lineRule="exact"/>
        <w:ind w:firstLine="420" w:firstLineChars="200"/>
        <w:rPr>
          <w:rFonts w:hint="eastAsia" w:ascii="宋体" w:hAnsi="宋体" w:cs="宋体"/>
          <w:highlight w:val="none"/>
        </w:rPr>
      </w:pPr>
      <w:r>
        <w:rPr>
          <w:rFonts w:hint="eastAsia" w:ascii="宋体" w:hAnsi="宋体" w:cs="宋体"/>
          <w:highlight w:val="none"/>
        </w:rPr>
        <w:t>7.2. 费用支付方式</w:t>
      </w:r>
    </w:p>
    <w:p w14:paraId="0CA20A09">
      <w:pPr>
        <w:spacing w:line="460" w:lineRule="exact"/>
        <w:ind w:firstLine="420" w:firstLineChars="200"/>
        <w:rPr>
          <w:rFonts w:hint="eastAsia" w:ascii="宋体" w:hAnsi="宋体" w:cs="宋体"/>
          <w:highlight w:val="none"/>
        </w:rPr>
      </w:pPr>
      <w:r>
        <w:rPr>
          <w:rFonts w:hint="eastAsia" w:ascii="宋体" w:hAnsi="宋体" w:cs="宋体"/>
          <w:highlight w:val="none"/>
        </w:rPr>
        <w:t>7.2.1发包人按进度分期支付费用，本合同的合同价及支付办法在专用条款中约定。</w:t>
      </w:r>
    </w:p>
    <w:p w14:paraId="050723CD">
      <w:pPr>
        <w:spacing w:line="460" w:lineRule="exact"/>
        <w:ind w:firstLine="420" w:firstLineChars="200"/>
        <w:rPr>
          <w:rFonts w:hint="eastAsia" w:ascii="宋体" w:hAnsi="宋体" w:cs="宋体"/>
          <w:highlight w:val="none"/>
        </w:rPr>
      </w:pPr>
      <w:r>
        <w:rPr>
          <w:rFonts w:hint="eastAsia" w:ascii="宋体" w:hAnsi="宋体" w:cs="宋体"/>
          <w:highlight w:val="none"/>
        </w:rPr>
        <w:t>7.2.2费用支付涉及政府投资资金的，按照国库集中支付等国家相关规定和专用合同条款的约定执行。承包人应预见并承担政府投资资金有可能不及时到位支付的风险。</w:t>
      </w:r>
    </w:p>
    <w:p w14:paraId="74C037FF">
      <w:pPr>
        <w:spacing w:line="460" w:lineRule="exact"/>
        <w:ind w:firstLine="420" w:firstLineChars="200"/>
        <w:rPr>
          <w:rFonts w:hint="eastAsia" w:ascii="宋体" w:hAnsi="宋体" w:cs="宋体"/>
          <w:highlight w:val="none"/>
        </w:rPr>
      </w:pPr>
      <w:r>
        <w:rPr>
          <w:rFonts w:hint="eastAsia" w:ascii="宋体" w:hAnsi="宋体" w:cs="宋体"/>
          <w:highlight w:val="none"/>
        </w:rPr>
        <w:t>7.3 暂列金额</w:t>
      </w:r>
    </w:p>
    <w:p w14:paraId="6560527E">
      <w:pPr>
        <w:spacing w:line="460" w:lineRule="exact"/>
        <w:ind w:firstLine="420" w:firstLineChars="200"/>
        <w:rPr>
          <w:rFonts w:hint="eastAsia" w:ascii="宋体" w:hAnsi="宋体" w:cs="宋体"/>
          <w:highlight w:val="none"/>
        </w:rPr>
      </w:pPr>
      <w:r>
        <w:rPr>
          <w:rFonts w:hint="eastAsia" w:ascii="宋体" w:hAnsi="宋体" w:cs="宋体"/>
          <w:highlight w:val="none"/>
        </w:rPr>
        <w:t>本合同的暂列金额在专用合同条款中约定。暂列金额应按发包人的书面指示使用。</w:t>
      </w:r>
    </w:p>
    <w:p w14:paraId="4B5DDE6B">
      <w:pPr>
        <w:spacing w:line="460" w:lineRule="exact"/>
        <w:ind w:firstLine="420" w:firstLineChars="200"/>
        <w:rPr>
          <w:rFonts w:hint="eastAsia" w:ascii="宋体" w:hAnsi="宋体" w:cs="宋体"/>
          <w:highlight w:val="none"/>
        </w:rPr>
      </w:pPr>
      <w:r>
        <w:rPr>
          <w:rFonts w:hint="eastAsia" w:ascii="宋体" w:hAnsi="宋体" w:cs="宋体"/>
          <w:highlight w:val="none"/>
        </w:rPr>
        <w:t>7.4 费用的调整</w:t>
      </w:r>
    </w:p>
    <w:p w14:paraId="5FC9807E">
      <w:pPr>
        <w:spacing w:line="460" w:lineRule="exact"/>
        <w:ind w:firstLine="420" w:firstLineChars="200"/>
        <w:rPr>
          <w:rFonts w:hint="eastAsia" w:ascii="宋体" w:hAnsi="宋体" w:cs="宋体"/>
          <w:highlight w:val="none"/>
        </w:rPr>
      </w:pPr>
      <w:r>
        <w:rPr>
          <w:rFonts w:hint="eastAsia" w:ascii="宋体" w:hAnsi="宋体" w:cs="宋体"/>
          <w:highlight w:val="none"/>
        </w:rPr>
        <w:t>在合同实施期间，由于国家政策调整或新颁法律、法规、标准，或市场因素变化导致本项目勘察咨询费用的变化，按专用合同条款中相应规定执行。</w:t>
      </w:r>
    </w:p>
    <w:p w14:paraId="231D67EB">
      <w:pPr>
        <w:spacing w:line="460" w:lineRule="exact"/>
        <w:ind w:firstLine="420" w:firstLineChars="200"/>
        <w:rPr>
          <w:rFonts w:hint="eastAsia" w:ascii="宋体" w:hAnsi="宋体" w:cs="宋体"/>
          <w:highlight w:val="none"/>
        </w:rPr>
      </w:pPr>
      <w:r>
        <w:rPr>
          <w:rFonts w:hint="eastAsia" w:ascii="宋体" w:hAnsi="宋体" w:cs="宋体"/>
          <w:highlight w:val="none"/>
        </w:rPr>
        <w:t>7.5 如专用合同条款要求承包人提交履约担保的，在签订合同前，承包人应按专用合同条款中规定的金额和形式向发包人提交履约担保，担保期满后，发包人应及时退还。</w:t>
      </w:r>
    </w:p>
    <w:p w14:paraId="34F07156">
      <w:pPr>
        <w:spacing w:line="460" w:lineRule="exact"/>
        <w:ind w:firstLine="420" w:firstLineChars="200"/>
        <w:rPr>
          <w:rFonts w:hint="eastAsia" w:ascii="宋体" w:hAnsi="宋体" w:cs="宋体"/>
          <w:highlight w:val="none"/>
        </w:rPr>
      </w:pPr>
      <w:r>
        <w:rPr>
          <w:rFonts w:hint="eastAsia" w:ascii="宋体" w:hAnsi="宋体" w:cs="宋体"/>
          <w:highlight w:val="none"/>
        </w:rPr>
        <w:t>7.6 税费</w:t>
      </w:r>
    </w:p>
    <w:p w14:paraId="4FA8DC0D">
      <w:pPr>
        <w:spacing w:line="460" w:lineRule="exact"/>
        <w:ind w:firstLine="420" w:firstLineChars="200"/>
        <w:rPr>
          <w:highlight w:val="none"/>
        </w:rPr>
      </w:pPr>
      <w:r>
        <w:rPr>
          <w:rFonts w:hint="eastAsia" w:ascii="宋体" w:hAnsi="宋体" w:cs="宋体"/>
          <w:highlight w:val="none"/>
        </w:rPr>
        <w:t>承包人应自行承担完成本项目勘察咨询工作需缴纳的一切税费，并包括在报价清单各项目报价之内，发包人不另行支付。</w:t>
      </w:r>
    </w:p>
    <w:p w14:paraId="140E282F">
      <w:pPr>
        <w:pStyle w:val="34"/>
        <w:spacing w:before="480" w:beforeLines="0" w:after="240" w:afterLines="0"/>
        <w:outlineLvl w:val="2"/>
        <w:rPr>
          <w:rFonts w:hAnsi="宋体"/>
          <w:b/>
          <w:color w:val="auto"/>
          <w:highlight w:val="none"/>
        </w:rPr>
      </w:pPr>
      <w:bookmarkStart w:id="207" w:name="_Toc326241908"/>
      <w:bookmarkStart w:id="208" w:name="_Toc335660908"/>
      <w:bookmarkStart w:id="209" w:name="_Toc335721995"/>
      <w:bookmarkStart w:id="210" w:name="_Toc6113"/>
      <w:bookmarkStart w:id="211" w:name="_Toc21244"/>
      <w:bookmarkStart w:id="212" w:name="_Toc21818"/>
      <w:bookmarkStart w:id="213" w:name="_Toc446919480"/>
      <w:bookmarkStart w:id="214" w:name="_Toc346269495"/>
      <w:bookmarkStart w:id="215" w:name="_Toc346269075"/>
      <w:bookmarkStart w:id="216" w:name="_Toc89866140"/>
      <w:bookmarkStart w:id="217" w:name="_Toc29401"/>
      <w:bookmarkStart w:id="218" w:name="_Toc9303"/>
      <w:bookmarkStart w:id="219" w:name="_Toc16414"/>
      <w:bookmarkStart w:id="220" w:name="_Toc26826"/>
      <w:bookmarkStart w:id="221" w:name="_Toc14626"/>
      <w:r>
        <w:rPr>
          <w:rFonts w:hAnsi="宋体"/>
          <w:b/>
          <w:color w:val="auto"/>
          <w:highlight w:val="none"/>
        </w:rPr>
        <w:t xml:space="preserve">8. </w:t>
      </w:r>
      <w:bookmarkEnd w:id="207"/>
      <w:bookmarkEnd w:id="208"/>
      <w:bookmarkEnd w:id="209"/>
      <w:r>
        <w:rPr>
          <w:rFonts w:hAnsi="宋体"/>
          <w:b/>
          <w:color w:val="auto"/>
          <w:highlight w:val="none"/>
        </w:rPr>
        <w:t>其他</w:t>
      </w:r>
      <w:bookmarkEnd w:id="210"/>
      <w:bookmarkEnd w:id="211"/>
      <w:bookmarkEnd w:id="212"/>
      <w:bookmarkEnd w:id="213"/>
      <w:bookmarkEnd w:id="214"/>
      <w:bookmarkEnd w:id="215"/>
      <w:bookmarkEnd w:id="216"/>
      <w:bookmarkEnd w:id="217"/>
      <w:bookmarkEnd w:id="218"/>
      <w:bookmarkEnd w:id="219"/>
      <w:bookmarkEnd w:id="220"/>
      <w:bookmarkEnd w:id="221"/>
    </w:p>
    <w:p w14:paraId="0B361743">
      <w:pPr>
        <w:spacing w:line="460" w:lineRule="exact"/>
        <w:ind w:firstLine="420" w:firstLineChars="200"/>
        <w:jc w:val="left"/>
        <w:rPr>
          <w:rFonts w:hint="eastAsia" w:ascii="宋体" w:hAnsi="宋体" w:cs="宋体"/>
          <w:highlight w:val="none"/>
        </w:rPr>
      </w:pPr>
      <w:bookmarkStart w:id="222" w:name="_Toc357066663"/>
      <w:bookmarkStart w:id="223" w:name="_Toc446919481"/>
      <w:bookmarkStart w:id="224" w:name="_Toc335660909"/>
      <w:r>
        <w:rPr>
          <w:rFonts w:hint="eastAsia" w:ascii="宋体" w:hAnsi="宋体" w:cs="宋体"/>
          <w:highlight w:val="none"/>
        </w:rPr>
        <w:t>8.1 法律和法规</w:t>
      </w:r>
    </w:p>
    <w:p w14:paraId="4DA58720">
      <w:pPr>
        <w:spacing w:line="460" w:lineRule="exact"/>
        <w:ind w:firstLine="420" w:firstLineChars="200"/>
        <w:jc w:val="left"/>
        <w:rPr>
          <w:rFonts w:hint="eastAsia" w:ascii="宋体" w:hAnsi="宋体" w:cs="宋体"/>
          <w:highlight w:val="none"/>
        </w:rPr>
      </w:pPr>
      <w:r>
        <w:rPr>
          <w:rFonts w:hint="eastAsia" w:ascii="宋体" w:hAnsi="宋体" w:cs="宋体"/>
          <w:highlight w:val="none"/>
        </w:rPr>
        <w:t>本合同必须服从中华人民共和国现行法律、法规，对合同的解释应以中华人民共和国的现行法律、法规为准。</w:t>
      </w:r>
    </w:p>
    <w:p w14:paraId="34D67DD8">
      <w:pPr>
        <w:spacing w:line="460" w:lineRule="exact"/>
        <w:ind w:firstLine="420" w:firstLineChars="200"/>
        <w:jc w:val="left"/>
        <w:rPr>
          <w:rFonts w:hint="eastAsia" w:ascii="宋体" w:hAnsi="宋体" w:cs="宋体"/>
          <w:highlight w:val="none"/>
        </w:rPr>
      </w:pPr>
      <w:r>
        <w:rPr>
          <w:rFonts w:hint="eastAsia" w:ascii="宋体" w:hAnsi="宋体" w:cs="宋体"/>
          <w:highlight w:val="none"/>
        </w:rPr>
        <w:t>8.2知识产权</w:t>
      </w:r>
    </w:p>
    <w:p w14:paraId="46D921B2">
      <w:pPr>
        <w:spacing w:line="460" w:lineRule="exact"/>
        <w:ind w:firstLine="420" w:firstLineChars="200"/>
        <w:jc w:val="left"/>
        <w:rPr>
          <w:rFonts w:hint="eastAsia" w:ascii="宋体" w:hAnsi="宋体" w:cs="宋体"/>
          <w:highlight w:val="none"/>
        </w:rPr>
      </w:pPr>
      <w:r>
        <w:rPr>
          <w:rFonts w:hint="eastAsia" w:ascii="宋体" w:hAnsi="宋体" w:cs="宋体"/>
          <w:highlight w:val="none"/>
        </w:rPr>
        <w:t>8.2.1 除专用合同条款另有约定外，承包人完成的勘察咨询服务成果，除署名权以外的著作权和其他知识产权均归发包人享有。</w:t>
      </w:r>
    </w:p>
    <w:p w14:paraId="6D7F1506">
      <w:pPr>
        <w:spacing w:line="460" w:lineRule="exact"/>
        <w:ind w:firstLine="420" w:firstLineChars="200"/>
        <w:jc w:val="left"/>
        <w:rPr>
          <w:rFonts w:hint="eastAsia" w:ascii="宋体" w:hAnsi="宋体" w:cs="宋体"/>
          <w:highlight w:val="none"/>
        </w:rPr>
      </w:pPr>
      <w:r>
        <w:rPr>
          <w:rFonts w:hint="eastAsia" w:ascii="宋体" w:hAnsi="宋体" w:cs="宋体"/>
          <w:highlight w:val="none"/>
        </w:rPr>
        <w:t>8.2.2 承包人在从事工程勘察咨询服务活动时，不得侵犯他人的知识产权。因侵犯专利权或其他知识产权所引起的责任，由承包人自行承担。因发包人提供的资料导致侵权的，由发包人承担责任。</w:t>
      </w:r>
    </w:p>
    <w:p w14:paraId="4F65FA20">
      <w:pPr>
        <w:spacing w:line="460" w:lineRule="exact"/>
        <w:ind w:firstLine="420" w:firstLineChars="200"/>
        <w:jc w:val="left"/>
        <w:rPr>
          <w:rFonts w:hint="eastAsia" w:ascii="宋体" w:hAnsi="宋体" w:cs="宋体"/>
          <w:highlight w:val="none"/>
        </w:rPr>
      </w:pPr>
      <w:r>
        <w:rPr>
          <w:rFonts w:hint="eastAsia" w:ascii="宋体" w:hAnsi="宋体" w:cs="宋体"/>
          <w:highlight w:val="none"/>
        </w:rPr>
        <w:t>8.2.3 承包人在响应文件中采用专利技术、专有技术的，相应的使用费视为已包含在投标报价之中，发包人不另行支付。</w:t>
      </w:r>
    </w:p>
    <w:p w14:paraId="2139C560">
      <w:pPr>
        <w:spacing w:line="460" w:lineRule="exact"/>
        <w:ind w:firstLine="420" w:firstLineChars="200"/>
        <w:jc w:val="left"/>
        <w:rPr>
          <w:rFonts w:hint="eastAsia" w:ascii="宋体" w:hAnsi="宋体" w:cs="宋体"/>
          <w:highlight w:val="none"/>
        </w:rPr>
      </w:pPr>
      <w:r>
        <w:rPr>
          <w:rFonts w:hint="eastAsia" w:ascii="宋体" w:hAnsi="宋体" w:cs="宋体"/>
          <w:highlight w:val="none"/>
        </w:rPr>
        <w:t>8.3 争议的解决</w:t>
      </w:r>
    </w:p>
    <w:p w14:paraId="1FC70C4A">
      <w:pPr>
        <w:spacing w:line="460" w:lineRule="exact"/>
        <w:ind w:firstLine="420" w:firstLineChars="200"/>
        <w:jc w:val="left"/>
        <w:rPr>
          <w:rFonts w:hint="eastAsia" w:ascii="宋体" w:hAnsi="宋体" w:cs="宋体"/>
          <w:highlight w:val="none"/>
        </w:rPr>
      </w:pPr>
      <w:r>
        <w:rPr>
          <w:rFonts w:hint="eastAsia" w:ascii="宋体" w:hAnsi="宋体" w:cs="宋体"/>
          <w:highlight w:val="none"/>
        </w:rPr>
        <w:t>本合同在执行过程中，如发生争议双方协商解决，协商不成按下列一种方式解决：</w:t>
      </w:r>
    </w:p>
    <w:p w14:paraId="4716869E">
      <w:pPr>
        <w:spacing w:line="460" w:lineRule="exact"/>
        <w:ind w:firstLine="420" w:firstLineChars="200"/>
        <w:jc w:val="left"/>
        <w:rPr>
          <w:rFonts w:hint="eastAsia" w:ascii="宋体" w:hAnsi="宋体" w:cs="宋体"/>
          <w:highlight w:val="none"/>
        </w:rPr>
      </w:pPr>
      <w:r>
        <w:rPr>
          <w:rFonts w:hint="eastAsia" w:ascii="宋体" w:hAnsi="宋体" w:cs="宋体"/>
          <w:highlight w:val="none"/>
        </w:rPr>
        <w:t>（1） 向约定的仲裁委员会申请仲裁；</w:t>
      </w:r>
    </w:p>
    <w:p w14:paraId="6EBFD9A5">
      <w:pPr>
        <w:spacing w:line="460" w:lineRule="exact"/>
        <w:ind w:firstLine="420" w:firstLineChars="200"/>
        <w:jc w:val="left"/>
        <w:rPr>
          <w:rFonts w:hint="eastAsia" w:ascii="Calibri" w:hAnsi="Calibri"/>
          <w:highlight w:val="none"/>
        </w:rPr>
      </w:pPr>
      <w:r>
        <w:rPr>
          <w:rFonts w:hint="eastAsia" w:ascii="宋体" w:hAnsi="宋体" w:cs="宋体"/>
          <w:highlight w:val="none"/>
        </w:rPr>
        <w:t>（2） 向约定的人民法院提起诉讼。</w:t>
      </w:r>
    </w:p>
    <w:bookmarkEnd w:id="222"/>
    <w:bookmarkEnd w:id="223"/>
    <w:bookmarkEnd w:id="224"/>
    <w:p w14:paraId="7FEA2BC6">
      <w:pPr>
        <w:pStyle w:val="34"/>
        <w:spacing w:before="480" w:beforeLines="0" w:after="240" w:afterLines="0"/>
        <w:outlineLvl w:val="1"/>
        <w:rPr>
          <w:b/>
          <w:snapToGrid w:val="0"/>
          <w:color w:val="auto"/>
          <w:kern w:val="0"/>
          <w:highlight w:val="none"/>
        </w:rPr>
      </w:pPr>
      <w:r>
        <w:rPr>
          <w:snapToGrid w:val="0"/>
          <w:color w:val="auto"/>
          <w:kern w:val="0"/>
          <w:highlight w:val="none"/>
        </w:rPr>
        <w:br w:type="page"/>
      </w:r>
      <w:bookmarkStart w:id="225" w:name="_Toc89866141"/>
      <w:bookmarkStart w:id="226" w:name="_Toc346269076"/>
      <w:bookmarkStart w:id="227" w:name="_Toc27309"/>
      <w:bookmarkStart w:id="228" w:name="_Toc180"/>
      <w:bookmarkStart w:id="229" w:name="_Toc15985"/>
      <w:bookmarkStart w:id="230" w:name="_Toc346269496"/>
      <w:bookmarkStart w:id="231" w:name="_Toc6654"/>
      <w:bookmarkStart w:id="232" w:name="_Toc446919484"/>
      <w:bookmarkStart w:id="233" w:name="_Toc335660914"/>
      <w:bookmarkStart w:id="234" w:name="_Toc7627"/>
      <w:bookmarkStart w:id="235" w:name="_Toc326241909"/>
      <w:bookmarkStart w:id="236" w:name="_Toc28925"/>
      <w:bookmarkStart w:id="237" w:name="_Toc3327"/>
      <w:bookmarkStart w:id="238" w:name="_Toc24420"/>
      <w:bookmarkStart w:id="239" w:name="_Toc335721996"/>
      <w:bookmarkStart w:id="240" w:name="_Toc11278"/>
      <w:r>
        <w:rPr>
          <w:rFonts w:hAnsi="宋体"/>
          <w:b/>
          <w:color w:val="auto"/>
          <w:highlight w:val="none"/>
        </w:rPr>
        <w:t>第二节 专用合同条款</w:t>
      </w:r>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p>
    <w:p w14:paraId="51F0E7C6">
      <w:pPr>
        <w:spacing w:line="460" w:lineRule="exact"/>
        <w:ind w:firstLine="420" w:firstLineChars="200"/>
        <w:rPr>
          <w:rFonts w:hint="eastAsia" w:ascii="宋体" w:hAnsi="宋体"/>
          <w:szCs w:val="21"/>
          <w:highlight w:val="none"/>
        </w:rPr>
      </w:pPr>
    </w:p>
    <w:p w14:paraId="5DEDB38C">
      <w:pPr>
        <w:pStyle w:val="34"/>
        <w:spacing w:before="480" w:beforeLines="0" w:after="240" w:afterLines="0"/>
        <w:outlineLvl w:val="2"/>
        <w:rPr>
          <w:rFonts w:hAnsi="宋体"/>
          <w:b/>
          <w:color w:val="auto"/>
          <w:highlight w:val="none"/>
        </w:rPr>
      </w:pPr>
      <w:bookmarkStart w:id="241" w:name="_Toc89866142"/>
      <w:bookmarkStart w:id="242" w:name="_Toc32485"/>
      <w:bookmarkStart w:id="243" w:name="_Toc16576"/>
      <w:bookmarkStart w:id="244" w:name="_Toc22260"/>
      <w:bookmarkStart w:id="245" w:name="_Toc31159"/>
      <w:bookmarkStart w:id="246" w:name="_Toc7048"/>
      <w:bookmarkStart w:id="247" w:name="_Toc326241910"/>
      <w:bookmarkStart w:id="248" w:name="_Toc346269497"/>
      <w:bookmarkStart w:id="249" w:name="_Toc446919485"/>
      <w:bookmarkStart w:id="250" w:name="_Toc335660915"/>
      <w:bookmarkStart w:id="251" w:name="_Toc12355"/>
      <w:bookmarkStart w:id="252" w:name="_Toc10704"/>
      <w:bookmarkStart w:id="253" w:name="_Toc346269077"/>
      <w:bookmarkStart w:id="254" w:name="_Toc335721997"/>
      <w:bookmarkStart w:id="255" w:name="_Toc27363"/>
      <w:r>
        <w:rPr>
          <w:rFonts w:hAnsi="宋体"/>
          <w:b/>
          <w:color w:val="auto"/>
          <w:highlight w:val="none"/>
        </w:rPr>
        <w:t>1. 定义和解释</w:t>
      </w:r>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p>
    <w:p w14:paraId="6E991F3D">
      <w:pPr>
        <w:snapToGrid w:val="0"/>
        <w:spacing w:line="360" w:lineRule="auto"/>
        <w:ind w:firstLine="420" w:firstLineChars="200"/>
        <w:rPr>
          <w:rFonts w:hint="eastAsia" w:ascii="宋体" w:hAnsi="宋体" w:cs="宋体"/>
          <w:highlight w:val="none"/>
        </w:rPr>
      </w:pPr>
      <w:bookmarkStart w:id="256" w:name="_Toc346269078"/>
      <w:bookmarkStart w:id="257" w:name="_Toc326241911"/>
      <w:bookmarkStart w:id="258" w:name="_Toc346269498"/>
      <w:bookmarkStart w:id="259" w:name="_Toc335660916"/>
      <w:bookmarkStart w:id="260" w:name="_Toc446919486"/>
      <w:bookmarkStart w:id="261" w:name="_Toc335721998"/>
      <w:r>
        <w:rPr>
          <w:rFonts w:hint="eastAsia" w:ascii="宋体" w:hAnsi="宋体" w:cs="宋体"/>
          <w:highlight w:val="none"/>
        </w:rPr>
        <w:t>1.1 本合同的项目名称 、建设地点、建设规模：</w:t>
      </w:r>
    </w:p>
    <w:p w14:paraId="61F6564E">
      <w:pPr>
        <w:snapToGrid w:val="0"/>
        <w:spacing w:line="360" w:lineRule="auto"/>
        <w:ind w:firstLine="420" w:firstLineChars="200"/>
        <w:rPr>
          <w:rFonts w:hint="eastAsia" w:ascii="宋体" w:hAnsi="宋体" w:cs="宋体"/>
          <w:highlight w:val="none"/>
        </w:rPr>
      </w:pPr>
      <w:r>
        <w:rPr>
          <w:rFonts w:hint="eastAsia" w:ascii="宋体" w:hAnsi="宋体" w:cs="宋体"/>
          <w:highlight w:val="none"/>
        </w:rPr>
        <w:t>项目名称：</w:t>
      </w:r>
      <w:r>
        <w:rPr>
          <w:rFonts w:hint="eastAsia" w:ascii="宋体" w:hAnsi="宋体" w:cs="宋体"/>
          <w:highlight w:val="none"/>
          <w:lang w:eastAsia="zh-CN"/>
        </w:rPr>
        <w:t>桂江（莲花大桥至桂江河口）航道扩建工程工程可行性研究服务</w:t>
      </w:r>
      <w:r>
        <w:rPr>
          <w:rFonts w:hint="eastAsia" w:ascii="宋体" w:hAnsi="宋体" w:cs="宋体"/>
          <w:highlight w:val="none"/>
        </w:rPr>
        <w:t>；</w:t>
      </w:r>
    </w:p>
    <w:p w14:paraId="674CC006">
      <w:pPr>
        <w:snapToGrid w:val="0"/>
        <w:spacing w:line="360" w:lineRule="auto"/>
        <w:ind w:firstLine="420" w:firstLineChars="200"/>
        <w:rPr>
          <w:rFonts w:hint="eastAsia" w:ascii="宋体" w:hAnsi="宋体" w:cs="宋体"/>
          <w:highlight w:val="none"/>
        </w:rPr>
      </w:pPr>
      <w:r>
        <w:rPr>
          <w:rFonts w:hint="eastAsia" w:ascii="宋体" w:hAnsi="宋体" w:cs="宋体"/>
          <w:highlight w:val="none"/>
        </w:rPr>
        <w:t>建设地点：</w:t>
      </w:r>
      <w:r>
        <w:rPr>
          <w:rFonts w:hint="eastAsia" w:ascii="宋体" w:hAnsi="宋体" w:cs="宋体"/>
          <w:highlight w:val="none"/>
          <w:lang w:eastAsia="zh-CN"/>
        </w:rPr>
        <w:t>桂江（莲花大桥至桂江河口）</w:t>
      </w:r>
    </w:p>
    <w:p w14:paraId="300DD451">
      <w:pPr>
        <w:snapToGrid w:val="0"/>
        <w:spacing w:line="360" w:lineRule="auto"/>
        <w:ind w:firstLine="420" w:firstLineChars="200"/>
        <w:rPr>
          <w:rFonts w:hint="eastAsia" w:ascii="宋体" w:hAnsi="宋体" w:eastAsia="宋体" w:cs="宋体"/>
          <w:highlight w:val="none"/>
          <w:lang w:eastAsia="zh-CN"/>
        </w:rPr>
      </w:pPr>
      <w:r>
        <w:rPr>
          <w:rFonts w:hint="eastAsia" w:ascii="宋体" w:hAnsi="宋体" w:cs="宋体"/>
          <w:highlight w:val="none"/>
        </w:rPr>
        <w:t>建设规模：</w:t>
      </w:r>
      <w:r>
        <w:rPr>
          <w:rFonts w:hint="eastAsia" w:ascii="宋体" w:hAnsi="宋体" w:cs="宋体"/>
          <w:highlight w:val="none"/>
          <w:lang w:eastAsia="zh-CN"/>
        </w:rPr>
        <w:t>桂江（莲花大桥至桂江河口）航道扩建工程，航道里程长约8.3公里，按Ⅲ级航道建设，设计航道尺度：3.5米×70 米×480 米（水深×宽度×最小弯曲半径），设计最低通航水位1.21米，主要工程内容包括生态疏浚炸礁工程、生态护岸工程、航标工程及配套工程等。</w:t>
      </w:r>
    </w:p>
    <w:p w14:paraId="6CC5FF89">
      <w:pPr>
        <w:snapToGrid w:val="0"/>
        <w:spacing w:line="360" w:lineRule="auto"/>
        <w:ind w:firstLine="420" w:firstLineChars="200"/>
        <w:rPr>
          <w:rFonts w:hint="eastAsia" w:ascii="宋体" w:hAnsi="宋体" w:cs="宋体"/>
          <w:highlight w:val="none"/>
        </w:rPr>
      </w:pPr>
      <w:r>
        <w:rPr>
          <w:rFonts w:hint="eastAsia" w:ascii="宋体" w:hAnsi="宋体" w:cs="宋体"/>
          <w:highlight w:val="none"/>
        </w:rPr>
        <w:t>1.2 本合同的发包人：广西壮族自治区港航发展中心。</w:t>
      </w:r>
    </w:p>
    <w:p w14:paraId="4DF003E4">
      <w:pPr>
        <w:snapToGrid w:val="0"/>
        <w:spacing w:line="360" w:lineRule="auto"/>
        <w:ind w:firstLine="420" w:firstLineChars="200"/>
        <w:rPr>
          <w:rFonts w:hint="eastAsia" w:ascii="宋体" w:hAnsi="宋体" w:cs="宋体"/>
          <w:highlight w:val="none"/>
        </w:rPr>
      </w:pPr>
      <w:r>
        <w:rPr>
          <w:rFonts w:hint="eastAsia" w:ascii="宋体" w:hAnsi="宋体" w:cs="宋体"/>
          <w:highlight w:val="none"/>
        </w:rPr>
        <w:t>1.3 本合同的承包人：                           （即成交人） 。</w:t>
      </w:r>
    </w:p>
    <w:p w14:paraId="134733DD">
      <w:pPr>
        <w:snapToGrid w:val="0"/>
        <w:spacing w:line="360" w:lineRule="auto"/>
        <w:ind w:firstLine="420" w:firstLineChars="200"/>
        <w:rPr>
          <w:rFonts w:hint="eastAsia" w:ascii="宋体" w:hAnsi="宋体" w:cs="宋体"/>
          <w:highlight w:val="none"/>
        </w:rPr>
      </w:pPr>
      <w:r>
        <w:rPr>
          <w:rFonts w:hint="eastAsia" w:ascii="宋体" w:hAnsi="宋体" w:cs="宋体"/>
          <w:highlight w:val="none"/>
        </w:rPr>
        <w:t>1.10本合同包括的具体勘察咨询服务范围及内容：</w:t>
      </w:r>
      <w:r>
        <w:rPr>
          <w:rFonts w:hint="eastAsia" w:ascii="宋体" w:hAnsi="宋体" w:cs="宋体"/>
          <w:highlight w:val="none"/>
          <w:lang w:eastAsia="zh-CN"/>
        </w:rPr>
        <w:t>桂江（莲花大桥至桂江河口）航道扩建工程工程可行性研究服务</w:t>
      </w:r>
      <w:r>
        <w:rPr>
          <w:rFonts w:hint="eastAsia" w:ascii="宋体" w:hAnsi="宋体" w:cs="宋体"/>
          <w:highlight w:val="none"/>
        </w:rPr>
        <w:t>，包括工程可行性研究和必要的</w:t>
      </w:r>
      <w:r>
        <w:rPr>
          <w:rFonts w:hint="eastAsia" w:ascii="宋体" w:hAnsi="宋体" w:cs="宋体"/>
          <w:highlight w:val="none"/>
          <w:lang w:eastAsia="zh-CN"/>
        </w:rPr>
        <w:t>工程</w:t>
      </w:r>
      <w:r>
        <w:rPr>
          <w:rFonts w:hint="eastAsia" w:ascii="宋体" w:hAnsi="宋体" w:cs="宋体"/>
          <w:highlight w:val="none"/>
        </w:rPr>
        <w:t>测量。</w:t>
      </w:r>
    </w:p>
    <w:p w14:paraId="223AC32D">
      <w:pPr>
        <w:snapToGrid w:val="0"/>
        <w:spacing w:line="360" w:lineRule="auto"/>
        <w:ind w:firstLine="420" w:firstLineChars="200"/>
        <w:rPr>
          <w:rFonts w:hint="eastAsia" w:ascii="宋体" w:hAnsi="宋体" w:cs="宋体"/>
          <w:highlight w:val="none"/>
        </w:rPr>
      </w:pPr>
      <w:r>
        <w:rPr>
          <w:rFonts w:hint="eastAsia" w:ascii="宋体" w:hAnsi="宋体" w:cs="宋体"/>
          <w:highlight w:val="none"/>
        </w:rPr>
        <w:t>1.10.1 勘察</w:t>
      </w:r>
      <w:r>
        <w:rPr>
          <w:rFonts w:hint="eastAsia" w:ascii="宋体" w:hAnsi="宋体" w:cs="宋体"/>
          <w:highlight w:val="none"/>
          <w:lang w:eastAsia="zh-CN"/>
        </w:rPr>
        <w:t>服务</w:t>
      </w:r>
      <w:r>
        <w:rPr>
          <w:rFonts w:hint="eastAsia" w:ascii="宋体" w:hAnsi="宋体" w:cs="宋体"/>
          <w:highlight w:val="none"/>
        </w:rPr>
        <w:t>范围：工程测量。</w:t>
      </w:r>
    </w:p>
    <w:p w14:paraId="572A534A">
      <w:pPr>
        <w:snapToGrid w:val="0"/>
        <w:spacing w:line="360" w:lineRule="auto"/>
        <w:ind w:firstLine="420" w:firstLineChars="200"/>
        <w:rPr>
          <w:rFonts w:hint="eastAsia" w:ascii="宋体" w:hAnsi="宋体" w:cs="宋体"/>
          <w:highlight w:val="none"/>
        </w:rPr>
      </w:pPr>
      <w:r>
        <w:rPr>
          <w:rFonts w:hint="eastAsia" w:ascii="宋体" w:hAnsi="宋体" w:cs="宋体"/>
          <w:highlight w:val="none"/>
        </w:rPr>
        <w:t xml:space="preserve">1.10.2 </w:t>
      </w:r>
      <w:r>
        <w:rPr>
          <w:rFonts w:hint="eastAsia" w:ascii="宋体" w:hAnsi="宋体" w:cs="宋体"/>
          <w:highlight w:val="none"/>
          <w:lang w:eastAsia="zh-CN"/>
        </w:rPr>
        <w:t>咨询服务</w:t>
      </w:r>
      <w:r>
        <w:rPr>
          <w:rFonts w:hint="eastAsia" w:ascii="宋体" w:hAnsi="宋体" w:cs="宋体"/>
          <w:highlight w:val="none"/>
        </w:rPr>
        <w:t>范围：工程可行性研究。</w:t>
      </w:r>
    </w:p>
    <w:p w14:paraId="73CC4F27">
      <w:pPr>
        <w:snapToGrid w:val="0"/>
        <w:spacing w:line="360" w:lineRule="auto"/>
        <w:ind w:firstLine="420" w:firstLineChars="200"/>
        <w:rPr>
          <w:rFonts w:hint="eastAsia" w:ascii="宋体" w:hAnsi="宋体" w:cs="宋体"/>
          <w:highlight w:val="none"/>
        </w:rPr>
      </w:pPr>
      <w:r>
        <w:rPr>
          <w:rFonts w:hint="eastAsia" w:ascii="宋体" w:hAnsi="宋体" w:cs="宋体"/>
          <w:highlight w:val="none"/>
        </w:rPr>
        <w:t>1.11 本合同的勘察文件包括：承包人按合同约定向发包人提交的工程勘察报告、服务大纲、勘察方案、外业指导书、进度计划、图纸、计算书、软件和其他文件等，包括阶段性文件和最终文件，且应当采用合同中双方约定的格式和载体。勘察报告包括：</w:t>
      </w:r>
    </w:p>
    <w:p w14:paraId="2AE4AE8F">
      <w:pPr>
        <w:snapToGrid w:val="0"/>
        <w:spacing w:line="360" w:lineRule="auto"/>
        <w:ind w:firstLine="420" w:firstLineChars="200"/>
        <w:rPr>
          <w:rFonts w:hint="eastAsia" w:ascii="宋体" w:hAnsi="宋体" w:cs="宋体"/>
          <w:highlight w:val="none"/>
        </w:rPr>
      </w:pPr>
      <w:r>
        <w:rPr>
          <w:rFonts w:hint="eastAsia" w:ascii="宋体" w:hAnsi="宋体" w:cs="宋体"/>
          <w:highlight w:val="none"/>
        </w:rPr>
        <w:t>按照现行《水运工程测量规范》等国家和行业的标准规范的规定，提交控制网点布置图、点之记资料、成果表、所测绘的测量图纸、测量工作技术报告等测量成果。</w:t>
      </w:r>
    </w:p>
    <w:p w14:paraId="55637280">
      <w:pPr>
        <w:snapToGrid w:val="0"/>
        <w:spacing w:line="360" w:lineRule="auto"/>
        <w:ind w:firstLine="420" w:firstLineChars="200"/>
        <w:rPr>
          <w:rFonts w:hint="eastAsia" w:ascii="宋体" w:hAnsi="宋体" w:cs="宋体"/>
          <w:highlight w:val="none"/>
        </w:rPr>
      </w:pPr>
    </w:p>
    <w:p w14:paraId="39ABF395">
      <w:pPr>
        <w:snapToGrid w:val="0"/>
        <w:spacing w:line="360" w:lineRule="auto"/>
        <w:ind w:firstLine="420" w:firstLineChars="200"/>
        <w:rPr>
          <w:rFonts w:hint="eastAsia" w:ascii="宋体" w:hAnsi="宋体" w:eastAsia="宋体" w:cs="宋体"/>
          <w:kern w:val="0"/>
          <w:szCs w:val="21"/>
          <w:highlight w:val="none"/>
          <w:lang w:eastAsia="zh-CN"/>
        </w:rPr>
      </w:pPr>
      <w:r>
        <w:rPr>
          <w:rFonts w:hint="eastAsia" w:ascii="宋体" w:hAnsi="宋体" w:cs="宋体"/>
          <w:highlight w:val="none"/>
        </w:rPr>
        <w:t>1.12本合同的咨询文件：工程可行性研究报告</w:t>
      </w:r>
      <w:r>
        <w:rPr>
          <w:rFonts w:hint="eastAsia" w:ascii="宋体" w:hAnsi="宋体" w:cs="宋体"/>
          <w:highlight w:val="none"/>
          <w:lang w:eastAsia="zh-CN"/>
        </w:rPr>
        <w:t>。</w:t>
      </w:r>
    </w:p>
    <w:p w14:paraId="3F594458">
      <w:pPr>
        <w:pStyle w:val="34"/>
        <w:spacing w:before="480" w:beforeLines="0" w:after="240" w:afterLines="0"/>
        <w:outlineLvl w:val="2"/>
        <w:rPr>
          <w:rFonts w:hAnsi="宋体"/>
          <w:b/>
          <w:color w:val="auto"/>
          <w:highlight w:val="none"/>
        </w:rPr>
      </w:pPr>
      <w:bookmarkStart w:id="262" w:name="_Toc9545"/>
      <w:bookmarkStart w:id="263" w:name="_Toc21343"/>
      <w:bookmarkStart w:id="264" w:name="_Toc29936"/>
      <w:bookmarkStart w:id="265" w:name="_Toc29356"/>
      <w:bookmarkStart w:id="266" w:name="_Toc1648"/>
      <w:bookmarkStart w:id="267" w:name="_Toc25496"/>
      <w:bookmarkStart w:id="268" w:name="_Toc24687"/>
      <w:bookmarkStart w:id="269" w:name="_Toc89866143"/>
      <w:bookmarkStart w:id="270" w:name="_Toc8292"/>
      <w:r>
        <w:rPr>
          <w:rFonts w:hAnsi="宋体"/>
          <w:b/>
          <w:color w:val="auto"/>
          <w:highlight w:val="none"/>
        </w:rPr>
        <w:t>2. 发包人的责任与义务</w:t>
      </w:r>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p>
    <w:p w14:paraId="5DDF2ECF">
      <w:pPr>
        <w:spacing w:line="460" w:lineRule="exact"/>
        <w:ind w:firstLine="420" w:firstLineChars="200"/>
        <w:rPr>
          <w:highlight w:val="none"/>
        </w:rPr>
      </w:pPr>
      <w:r>
        <w:rPr>
          <w:rFonts w:hint="eastAsia" w:ascii="宋体" w:hAnsi="宋体" w:cs="宋体"/>
          <w:highlight w:val="none"/>
        </w:rPr>
        <w:t xml:space="preserve">2.8 </w:t>
      </w:r>
      <w:r>
        <w:rPr>
          <w:highlight w:val="none"/>
        </w:rPr>
        <w:t>发包人应履行的其他责任：</w:t>
      </w:r>
    </w:p>
    <w:p w14:paraId="5804EABE">
      <w:pPr>
        <w:spacing w:line="460" w:lineRule="exact"/>
        <w:ind w:firstLine="420" w:firstLineChars="200"/>
        <w:rPr>
          <w:rFonts w:hint="eastAsia"/>
          <w:highlight w:val="none"/>
        </w:rPr>
      </w:pPr>
      <w:r>
        <w:rPr>
          <w:rFonts w:hint="eastAsia"/>
          <w:highlight w:val="none"/>
        </w:rPr>
        <w:t>2.8 发包人应履行的其他责任：负责组织专家或委托咨询单位对勘察咨询服务成果进行审查，并负责成果文件的报审工作。</w:t>
      </w:r>
    </w:p>
    <w:p w14:paraId="0826DD47">
      <w:pPr>
        <w:pStyle w:val="34"/>
        <w:spacing w:before="480" w:beforeLines="0" w:after="240" w:afterLines="0"/>
        <w:outlineLvl w:val="2"/>
        <w:rPr>
          <w:rFonts w:hAnsi="宋体"/>
          <w:b/>
          <w:color w:val="auto"/>
          <w:highlight w:val="none"/>
        </w:rPr>
      </w:pPr>
      <w:bookmarkStart w:id="271" w:name="_Toc89866144"/>
      <w:bookmarkStart w:id="272" w:name="_Toc446919487"/>
      <w:bookmarkStart w:id="273" w:name="_Toc6459"/>
      <w:bookmarkStart w:id="274" w:name="_Toc346269079"/>
      <w:bookmarkStart w:id="275" w:name="_Toc335721999"/>
      <w:bookmarkStart w:id="276" w:name="_Toc3688"/>
      <w:bookmarkStart w:id="277" w:name="_Toc16952"/>
      <w:bookmarkStart w:id="278" w:name="_Toc346269499"/>
      <w:bookmarkStart w:id="279" w:name="_Toc335660917"/>
      <w:bookmarkStart w:id="280" w:name="_Toc326241912"/>
      <w:bookmarkStart w:id="281" w:name="_Toc6338"/>
      <w:bookmarkStart w:id="282" w:name="_Toc22513"/>
      <w:bookmarkStart w:id="283" w:name="_Toc22831"/>
      <w:bookmarkStart w:id="284" w:name="_Toc23550"/>
      <w:bookmarkStart w:id="285" w:name="_Toc13384"/>
      <w:r>
        <w:rPr>
          <w:rFonts w:hAnsi="宋体"/>
          <w:b/>
          <w:color w:val="auto"/>
          <w:highlight w:val="none"/>
        </w:rPr>
        <w:t xml:space="preserve">3. </w:t>
      </w:r>
      <w:r>
        <w:rPr>
          <w:rFonts w:hint="eastAsia" w:hAnsi="宋体"/>
          <w:b/>
          <w:color w:val="auto"/>
          <w:highlight w:val="none"/>
        </w:rPr>
        <w:t>承包人</w:t>
      </w:r>
      <w:r>
        <w:rPr>
          <w:rFonts w:hAnsi="宋体"/>
          <w:b/>
          <w:color w:val="auto"/>
          <w:highlight w:val="none"/>
        </w:rPr>
        <w:t>的责任与义务</w:t>
      </w:r>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p>
    <w:p w14:paraId="0E6A9BA5">
      <w:pPr>
        <w:spacing w:line="460" w:lineRule="exact"/>
        <w:ind w:firstLine="420" w:firstLineChars="200"/>
        <w:rPr>
          <w:rFonts w:hint="eastAsia" w:ascii="宋体" w:hAnsi="宋体" w:cs="宋体"/>
          <w:highlight w:val="none"/>
        </w:rPr>
      </w:pPr>
      <w:r>
        <w:rPr>
          <w:rFonts w:hint="eastAsia" w:ascii="宋体" w:hAnsi="宋体" w:cs="宋体"/>
          <w:highlight w:val="none"/>
        </w:rPr>
        <w:t>3.6.1.1项目负责人：</w:t>
      </w:r>
    </w:p>
    <w:p w14:paraId="61CB3F4B">
      <w:pPr>
        <w:spacing w:line="460" w:lineRule="exact"/>
        <w:ind w:firstLine="420" w:firstLineChars="200"/>
        <w:rPr>
          <w:rFonts w:hint="eastAsia" w:ascii="宋体" w:hAnsi="宋体" w:cs="宋体"/>
          <w:highlight w:val="none"/>
        </w:rPr>
      </w:pPr>
      <w:r>
        <w:rPr>
          <w:rFonts w:hint="eastAsia" w:ascii="宋体" w:hAnsi="宋体" w:cs="宋体"/>
          <w:highlight w:val="none"/>
        </w:rPr>
        <w:t xml:space="preserve">姓名：                 身份证号码：                                </w:t>
      </w:r>
    </w:p>
    <w:p w14:paraId="140D95EE">
      <w:pPr>
        <w:spacing w:line="460" w:lineRule="exact"/>
        <w:ind w:firstLine="420" w:firstLineChars="200"/>
        <w:rPr>
          <w:rFonts w:hint="eastAsia" w:ascii="宋体" w:hAnsi="宋体" w:cs="宋体"/>
          <w:highlight w:val="none"/>
        </w:rPr>
      </w:pPr>
      <w:r>
        <w:rPr>
          <w:rFonts w:hint="eastAsia" w:ascii="宋体" w:hAnsi="宋体" w:cs="宋体"/>
          <w:highlight w:val="none"/>
        </w:rPr>
        <w:t xml:space="preserve">联系电话：                 传真号码：                 </w:t>
      </w:r>
    </w:p>
    <w:p w14:paraId="3B1B0878">
      <w:pPr>
        <w:spacing w:line="460" w:lineRule="exact"/>
        <w:ind w:firstLine="420" w:firstLineChars="200"/>
        <w:rPr>
          <w:rFonts w:hint="eastAsia" w:ascii="宋体" w:hAnsi="宋体" w:cs="宋体"/>
          <w:highlight w:val="none"/>
        </w:rPr>
      </w:pPr>
      <w:r>
        <w:rPr>
          <w:rFonts w:hint="eastAsia" w:ascii="宋体" w:hAnsi="宋体" w:cs="宋体"/>
          <w:highlight w:val="none"/>
        </w:rPr>
        <w:t xml:space="preserve">电子信箱：                 收信地址：                                </w:t>
      </w:r>
    </w:p>
    <w:p w14:paraId="424B130A">
      <w:pPr>
        <w:spacing w:line="460" w:lineRule="exact"/>
        <w:ind w:firstLine="420" w:firstLineChars="200"/>
        <w:rPr>
          <w:rFonts w:hint="eastAsia" w:ascii="宋体" w:hAnsi="宋体" w:cs="宋体"/>
          <w:highlight w:val="none"/>
        </w:rPr>
      </w:pPr>
      <w:r>
        <w:rPr>
          <w:rFonts w:hint="eastAsia" w:ascii="宋体" w:hAnsi="宋体" w:cs="宋体"/>
          <w:highlight w:val="none"/>
        </w:rPr>
        <w:t>投标文件中承诺投入本项目的主要人员汇总表</w:t>
      </w:r>
    </w:p>
    <w:tbl>
      <w:tblPr>
        <w:tblStyle w:val="25"/>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8"/>
        <w:gridCol w:w="985"/>
        <w:gridCol w:w="3936"/>
        <w:gridCol w:w="1768"/>
        <w:gridCol w:w="1971"/>
      </w:tblGrid>
      <w:tr w14:paraId="6D9A1F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3" w:type="pct"/>
            <w:noWrap w:val="0"/>
            <w:vAlign w:val="top"/>
          </w:tcPr>
          <w:p w14:paraId="0E57E176">
            <w:pPr>
              <w:spacing w:line="460" w:lineRule="exact"/>
              <w:ind w:firstLine="0" w:firstLineChars="0"/>
              <w:rPr>
                <w:rFonts w:hint="eastAsia" w:ascii="宋体" w:hAnsi="宋体" w:cs="宋体"/>
                <w:highlight w:val="none"/>
              </w:rPr>
            </w:pPr>
            <w:r>
              <w:rPr>
                <w:rFonts w:hint="eastAsia" w:ascii="宋体" w:hAnsi="宋体" w:cs="宋体"/>
                <w:highlight w:val="none"/>
              </w:rPr>
              <w:t>姓名</w:t>
            </w:r>
          </w:p>
        </w:tc>
        <w:tc>
          <w:tcPr>
            <w:tcW w:w="500" w:type="pct"/>
            <w:noWrap w:val="0"/>
            <w:vAlign w:val="top"/>
          </w:tcPr>
          <w:p w14:paraId="24A8FF07">
            <w:pPr>
              <w:spacing w:line="460" w:lineRule="exact"/>
              <w:ind w:firstLine="0" w:firstLineChars="0"/>
              <w:rPr>
                <w:rFonts w:hint="eastAsia" w:ascii="宋体" w:hAnsi="宋体" w:cs="宋体"/>
                <w:highlight w:val="none"/>
              </w:rPr>
            </w:pPr>
            <w:r>
              <w:rPr>
                <w:rFonts w:hint="eastAsia" w:ascii="宋体" w:hAnsi="宋体" w:cs="宋体"/>
                <w:highlight w:val="none"/>
              </w:rPr>
              <w:t>性别</w:t>
            </w:r>
          </w:p>
        </w:tc>
        <w:tc>
          <w:tcPr>
            <w:tcW w:w="1997" w:type="pct"/>
            <w:noWrap w:val="0"/>
            <w:vAlign w:val="top"/>
          </w:tcPr>
          <w:p w14:paraId="30058815">
            <w:pPr>
              <w:spacing w:line="460" w:lineRule="exact"/>
              <w:ind w:firstLine="0" w:firstLineChars="0"/>
              <w:rPr>
                <w:rFonts w:hint="eastAsia" w:ascii="宋体" w:hAnsi="宋体" w:cs="宋体"/>
                <w:highlight w:val="none"/>
              </w:rPr>
            </w:pPr>
            <w:r>
              <w:rPr>
                <w:rFonts w:hint="eastAsia" w:ascii="宋体" w:hAnsi="宋体" w:cs="宋体"/>
                <w:highlight w:val="none"/>
              </w:rPr>
              <w:t>拟在本项目中担任的职务</w:t>
            </w:r>
          </w:p>
        </w:tc>
        <w:tc>
          <w:tcPr>
            <w:tcW w:w="897" w:type="pct"/>
            <w:noWrap w:val="0"/>
            <w:vAlign w:val="top"/>
          </w:tcPr>
          <w:p w14:paraId="48272EBB">
            <w:pPr>
              <w:spacing w:line="460" w:lineRule="exact"/>
              <w:ind w:firstLine="0" w:firstLineChars="0"/>
              <w:rPr>
                <w:rFonts w:hint="eastAsia" w:ascii="宋体" w:hAnsi="宋体" w:cs="宋体"/>
                <w:highlight w:val="none"/>
              </w:rPr>
            </w:pPr>
            <w:r>
              <w:rPr>
                <w:rFonts w:hint="eastAsia" w:ascii="宋体" w:hAnsi="宋体" w:cs="宋体"/>
                <w:highlight w:val="none"/>
              </w:rPr>
              <w:t>技术职称</w:t>
            </w:r>
          </w:p>
        </w:tc>
        <w:tc>
          <w:tcPr>
            <w:tcW w:w="1000" w:type="pct"/>
            <w:noWrap w:val="0"/>
            <w:vAlign w:val="top"/>
          </w:tcPr>
          <w:p w14:paraId="18B84659">
            <w:pPr>
              <w:spacing w:line="460" w:lineRule="exact"/>
              <w:ind w:firstLine="0" w:firstLineChars="0"/>
              <w:rPr>
                <w:rFonts w:hint="eastAsia" w:ascii="宋体" w:hAnsi="宋体" w:cs="宋体"/>
                <w:highlight w:val="none"/>
              </w:rPr>
            </w:pPr>
            <w:r>
              <w:rPr>
                <w:rFonts w:hint="eastAsia" w:ascii="宋体" w:hAnsi="宋体" w:cs="宋体"/>
                <w:highlight w:val="none"/>
              </w:rPr>
              <w:t>从事专业</w:t>
            </w:r>
          </w:p>
        </w:tc>
      </w:tr>
      <w:tr w14:paraId="316AB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3" w:type="pct"/>
            <w:noWrap w:val="0"/>
            <w:vAlign w:val="top"/>
          </w:tcPr>
          <w:p w14:paraId="2E050101">
            <w:pPr>
              <w:spacing w:line="460" w:lineRule="exact"/>
              <w:ind w:firstLine="420" w:firstLineChars="200"/>
              <w:rPr>
                <w:rFonts w:hint="eastAsia" w:ascii="宋体" w:hAnsi="宋体" w:cs="宋体"/>
                <w:highlight w:val="none"/>
              </w:rPr>
            </w:pPr>
          </w:p>
        </w:tc>
        <w:tc>
          <w:tcPr>
            <w:tcW w:w="500" w:type="pct"/>
            <w:noWrap w:val="0"/>
            <w:vAlign w:val="top"/>
          </w:tcPr>
          <w:p w14:paraId="73FE493A">
            <w:pPr>
              <w:spacing w:line="460" w:lineRule="exact"/>
              <w:ind w:firstLine="420" w:firstLineChars="200"/>
              <w:rPr>
                <w:rFonts w:hint="eastAsia" w:ascii="宋体" w:hAnsi="宋体" w:cs="宋体"/>
                <w:highlight w:val="none"/>
              </w:rPr>
            </w:pPr>
          </w:p>
        </w:tc>
        <w:tc>
          <w:tcPr>
            <w:tcW w:w="1997" w:type="pct"/>
            <w:noWrap w:val="0"/>
            <w:vAlign w:val="top"/>
          </w:tcPr>
          <w:p w14:paraId="76890EC4">
            <w:pPr>
              <w:spacing w:line="460" w:lineRule="exact"/>
              <w:ind w:firstLine="0" w:firstLineChars="0"/>
              <w:rPr>
                <w:rFonts w:hint="eastAsia" w:ascii="宋体" w:hAnsi="宋体" w:eastAsia="宋体" w:cs="宋体"/>
                <w:highlight w:val="none"/>
                <w:lang w:eastAsia="zh-CN"/>
              </w:rPr>
            </w:pPr>
            <w:r>
              <w:rPr>
                <w:rFonts w:hint="eastAsia" w:ascii="宋体" w:hAnsi="宋体" w:cs="宋体"/>
                <w:highlight w:val="none"/>
              </w:rPr>
              <w:t>项目负责人</w:t>
            </w:r>
            <w:r>
              <w:rPr>
                <w:rFonts w:hint="eastAsia" w:ascii="宋体" w:hAnsi="宋体" w:cs="宋体"/>
                <w:highlight w:val="none"/>
                <w:lang w:eastAsia="zh-CN"/>
              </w:rPr>
              <w:t>（工程可行性研究负责人）</w:t>
            </w:r>
          </w:p>
        </w:tc>
        <w:tc>
          <w:tcPr>
            <w:tcW w:w="897" w:type="pct"/>
            <w:noWrap w:val="0"/>
            <w:vAlign w:val="top"/>
          </w:tcPr>
          <w:p w14:paraId="3555AF74">
            <w:pPr>
              <w:spacing w:line="460" w:lineRule="exact"/>
              <w:ind w:firstLine="420" w:firstLineChars="200"/>
              <w:rPr>
                <w:rFonts w:hint="eastAsia" w:ascii="宋体" w:hAnsi="宋体" w:cs="宋体"/>
                <w:highlight w:val="none"/>
              </w:rPr>
            </w:pPr>
          </w:p>
        </w:tc>
        <w:tc>
          <w:tcPr>
            <w:tcW w:w="1000" w:type="pct"/>
            <w:noWrap w:val="0"/>
            <w:vAlign w:val="top"/>
          </w:tcPr>
          <w:p w14:paraId="5A06B5D5">
            <w:pPr>
              <w:spacing w:line="460" w:lineRule="exact"/>
              <w:ind w:firstLine="420" w:firstLineChars="200"/>
              <w:rPr>
                <w:rFonts w:hint="eastAsia" w:ascii="宋体" w:hAnsi="宋体" w:cs="宋体"/>
                <w:highlight w:val="none"/>
              </w:rPr>
            </w:pPr>
          </w:p>
        </w:tc>
      </w:tr>
      <w:tr w14:paraId="0446E1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3" w:type="pct"/>
            <w:noWrap w:val="0"/>
            <w:vAlign w:val="top"/>
          </w:tcPr>
          <w:p w14:paraId="42BA297F">
            <w:pPr>
              <w:spacing w:line="460" w:lineRule="exact"/>
              <w:ind w:firstLine="420" w:firstLineChars="200"/>
              <w:rPr>
                <w:rFonts w:hint="eastAsia" w:ascii="宋体" w:hAnsi="宋体" w:cs="宋体"/>
                <w:highlight w:val="none"/>
              </w:rPr>
            </w:pPr>
          </w:p>
        </w:tc>
        <w:tc>
          <w:tcPr>
            <w:tcW w:w="500" w:type="pct"/>
            <w:noWrap w:val="0"/>
            <w:vAlign w:val="top"/>
          </w:tcPr>
          <w:p w14:paraId="117A40D3">
            <w:pPr>
              <w:spacing w:line="460" w:lineRule="exact"/>
              <w:ind w:firstLine="420" w:firstLineChars="200"/>
              <w:rPr>
                <w:rFonts w:hint="eastAsia" w:ascii="宋体" w:hAnsi="宋体" w:cs="宋体"/>
                <w:highlight w:val="none"/>
              </w:rPr>
            </w:pPr>
          </w:p>
        </w:tc>
        <w:tc>
          <w:tcPr>
            <w:tcW w:w="1997" w:type="pct"/>
            <w:noWrap w:val="0"/>
            <w:vAlign w:val="top"/>
          </w:tcPr>
          <w:p w14:paraId="5D08FCA7">
            <w:pPr>
              <w:spacing w:line="460" w:lineRule="exact"/>
              <w:ind w:firstLine="0" w:firstLineChars="0"/>
              <w:rPr>
                <w:rFonts w:hint="eastAsia" w:ascii="宋体" w:hAnsi="宋体" w:cs="宋体"/>
                <w:highlight w:val="none"/>
              </w:rPr>
            </w:pPr>
            <w:r>
              <w:rPr>
                <w:rFonts w:hint="eastAsia" w:ascii="宋体" w:hAnsi="宋体" w:cs="宋体"/>
                <w:highlight w:val="none"/>
              </w:rPr>
              <w:t>测量负责人</w:t>
            </w:r>
          </w:p>
        </w:tc>
        <w:tc>
          <w:tcPr>
            <w:tcW w:w="897" w:type="pct"/>
            <w:noWrap w:val="0"/>
            <w:vAlign w:val="top"/>
          </w:tcPr>
          <w:p w14:paraId="25BBF8CC">
            <w:pPr>
              <w:spacing w:line="460" w:lineRule="exact"/>
              <w:ind w:firstLine="420" w:firstLineChars="200"/>
              <w:rPr>
                <w:rFonts w:hint="eastAsia" w:ascii="宋体" w:hAnsi="宋体" w:cs="宋体"/>
                <w:highlight w:val="none"/>
              </w:rPr>
            </w:pPr>
          </w:p>
        </w:tc>
        <w:tc>
          <w:tcPr>
            <w:tcW w:w="1000" w:type="pct"/>
            <w:noWrap w:val="0"/>
            <w:vAlign w:val="top"/>
          </w:tcPr>
          <w:p w14:paraId="67973466">
            <w:pPr>
              <w:spacing w:line="460" w:lineRule="exact"/>
              <w:ind w:firstLine="420" w:firstLineChars="200"/>
              <w:rPr>
                <w:rFonts w:hint="eastAsia" w:ascii="宋体" w:hAnsi="宋体" w:cs="宋体"/>
                <w:highlight w:val="none"/>
              </w:rPr>
            </w:pPr>
          </w:p>
        </w:tc>
      </w:tr>
      <w:tr w14:paraId="22AA7D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3" w:type="pct"/>
            <w:noWrap w:val="0"/>
            <w:vAlign w:val="top"/>
          </w:tcPr>
          <w:p w14:paraId="44D5F8F3">
            <w:pPr>
              <w:spacing w:line="460" w:lineRule="exact"/>
              <w:ind w:firstLine="420" w:firstLineChars="200"/>
              <w:rPr>
                <w:rFonts w:hint="eastAsia" w:ascii="宋体" w:hAnsi="宋体" w:cs="宋体"/>
                <w:highlight w:val="none"/>
              </w:rPr>
            </w:pPr>
          </w:p>
        </w:tc>
        <w:tc>
          <w:tcPr>
            <w:tcW w:w="500" w:type="pct"/>
            <w:noWrap w:val="0"/>
            <w:vAlign w:val="top"/>
          </w:tcPr>
          <w:p w14:paraId="00451F33">
            <w:pPr>
              <w:spacing w:line="460" w:lineRule="exact"/>
              <w:ind w:firstLine="420" w:firstLineChars="200"/>
              <w:rPr>
                <w:rFonts w:hint="eastAsia" w:ascii="宋体" w:hAnsi="宋体" w:cs="宋体"/>
                <w:highlight w:val="none"/>
              </w:rPr>
            </w:pPr>
          </w:p>
        </w:tc>
        <w:tc>
          <w:tcPr>
            <w:tcW w:w="1997" w:type="pct"/>
            <w:noWrap w:val="0"/>
            <w:vAlign w:val="top"/>
          </w:tcPr>
          <w:p w14:paraId="6547B63C">
            <w:pPr>
              <w:spacing w:line="460" w:lineRule="exact"/>
              <w:ind w:firstLine="420" w:firstLineChars="200"/>
              <w:rPr>
                <w:rFonts w:hint="eastAsia" w:ascii="宋体" w:hAnsi="宋体" w:eastAsia="宋体" w:cs="宋体"/>
                <w:highlight w:val="none"/>
                <w:lang w:eastAsia="zh-CN"/>
              </w:rPr>
            </w:pPr>
          </w:p>
        </w:tc>
        <w:tc>
          <w:tcPr>
            <w:tcW w:w="897" w:type="pct"/>
            <w:noWrap w:val="0"/>
            <w:vAlign w:val="top"/>
          </w:tcPr>
          <w:p w14:paraId="0CCE9268">
            <w:pPr>
              <w:spacing w:line="460" w:lineRule="exact"/>
              <w:ind w:firstLine="420" w:firstLineChars="200"/>
              <w:rPr>
                <w:rFonts w:hint="eastAsia" w:ascii="宋体" w:hAnsi="宋体" w:cs="宋体"/>
                <w:highlight w:val="none"/>
              </w:rPr>
            </w:pPr>
          </w:p>
        </w:tc>
        <w:tc>
          <w:tcPr>
            <w:tcW w:w="1000" w:type="pct"/>
            <w:noWrap w:val="0"/>
            <w:vAlign w:val="top"/>
          </w:tcPr>
          <w:p w14:paraId="13215BFC">
            <w:pPr>
              <w:spacing w:line="460" w:lineRule="exact"/>
              <w:ind w:firstLine="420" w:firstLineChars="200"/>
              <w:rPr>
                <w:rFonts w:hint="eastAsia" w:ascii="宋体" w:hAnsi="宋体" w:cs="宋体"/>
                <w:highlight w:val="none"/>
              </w:rPr>
            </w:pPr>
          </w:p>
        </w:tc>
      </w:tr>
      <w:tr w14:paraId="04F8D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3" w:type="pct"/>
            <w:noWrap w:val="0"/>
            <w:vAlign w:val="top"/>
          </w:tcPr>
          <w:p w14:paraId="1E3A9A62">
            <w:pPr>
              <w:spacing w:line="460" w:lineRule="exact"/>
              <w:ind w:firstLine="420" w:firstLineChars="200"/>
              <w:rPr>
                <w:rFonts w:hint="eastAsia" w:ascii="宋体" w:hAnsi="宋体" w:cs="宋体"/>
                <w:highlight w:val="none"/>
              </w:rPr>
            </w:pPr>
          </w:p>
        </w:tc>
        <w:tc>
          <w:tcPr>
            <w:tcW w:w="500" w:type="pct"/>
            <w:noWrap w:val="0"/>
            <w:vAlign w:val="top"/>
          </w:tcPr>
          <w:p w14:paraId="33DB3E8B">
            <w:pPr>
              <w:spacing w:line="460" w:lineRule="exact"/>
              <w:ind w:firstLine="420" w:firstLineChars="200"/>
              <w:rPr>
                <w:rFonts w:hint="eastAsia" w:ascii="宋体" w:hAnsi="宋体" w:cs="宋体"/>
                <w:highlight w:val="none"/>
              </w:rPr>
            </w:pPr>
          </w:p>
        </w:tc>
        <w:tc>
          <w:tcPr>
            <w:tcW w:w="1997" w:type="pct"/>
            <w:noWrap w:val="0"/>
            <w:vAlign w:val="top"/>
          </w:tcPr>
          <w:p w14:paraId="333BC474">
            <w:pPr>
              <w:spacing w:line="460" w:lineRule="exact"/>
              <w:ind w:firstLine="420" w:firstLineChars="200"/>
              <w:rPr>
                <w:rFonts w:hint="eastAsia" w:ascii="宋体" w:hAnsi="宋体" w:cs="宋体"/>
                <w:highlight w:val="none"/>
              </w:rPr>
            </w:pPr>
          </w:p>
        </w:tc>
        <w:tc>
          <w:tcPr>
            <w:tcW w:w="897" w:type="pct"/>
            <w:noWrap w:val="0"/>
            <w:vAlign w:val="top"/>
          </w:tcPr>
          <w:p w14:paraId="553C8084">
            <w:pPr>
              <w:spacing w:line="460" w:lineRule="exact"/>
              <w:ind w:firstLine="420" w:firstLineChars="200"/>
              <w:rPr>
                <w:rFonts w:hint="eastAsia" w:ascii="宋体" w:hAnsi="宋体" w:cs="宋体"/>
                <w:highlight w:val="none"/>
              </w:rPr>
            </w:pPr>
          </w:p>
        </w:tc>
        <w:tc>
          <w:tcPr>
            <w:tcW w:w="1000" w:type="pct"/>
            <w:noWrap w:val="0"/>
            <w:vAlign w:val="top"/>
          </w:tcPr>
          <w:p w14:paraId="7F13E600">
            <w:pPr>
              <w:spacing w:line="460" w:lineRule="exact"/>
              <w:ind w:firstLine="420" w:firstLineChars="200"/>
              <w:rPr>
                <w:rFonts w:hint="eastAsia" w:ascii="宋体" w:hAnsi="宋体" w:cs="宋体"/>
                <w:highlight w:val="none"/>
              </w:rPr>
            </w:pPr>
          </w:p>
        </w:tc>
      </w:tr>
      <w:tr w14:paraId="111AA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3" w:type="pct"/>
            <w:noWrap w:val="0"/>
            <w:vAlign w:val="top"/>
          </w:tcPr>
          <w:p w14:paraId="5B931986">
            <w:pPr>
              <w:spacing w:line="460" w:lineRule="exact"/>
              <w:ind w:firstLine="420" w:firstLineChars="200"/>
              <w:rPr>
                <w:rFonts w:hint="eastAsia" w:ascii="宋体" w:hAnsi="宋体" w:cs="宋体"/>
                <w:highlight w:val="none"/>
              </w:rPr>
            </w:pPr>
          </w:p>
        </w:tc>
        <w:tc>
          <w:tcPr>
            <w:tcW w:w="500" w:type="pct"/>
            <w:noWrap w:val="0"/>
            <w:vAlign w:val="top"/>
          </w:tcPr>
          <w:p w14:paraId="7C77CC2C">
            <w:pPr>
              <w:spacing w:line="460" w:lineRule="exact"/>
              <w:ind w:firstLine="420" w:firstLineChars="200"/>
              <w:rPr>
                <w:rFonts w:hint="eastAsia" w:ascii="宋体" w:hAnsi="宋体" w:cs="宋体"/>
                <w:highlight w:val="none"/>
              </w:rPr>
            </w:pPr>
          </w:p>
        </w:tc>
        <w:tc>
          <w:tcPr>
            <w:tcW w:w="1997" w:type="pct"/>
            <w:noWrap w:val="0"/>
            <w:vAlign w:val="top"/>
          </w:tcPr>
          <w:p w14:paraId="479A61CD">
            <w:pPr>
              <w:spacing w:line="460" w:lineRule="exact"/>
              <w:ind w:firstLine="420" w:firstLineChars="200"/>
              <w:rPr>
                <w:rFonts w:hint="eastAsia" w:ascii="宋体" w:hAnsi="宋体" w:cs="宋体"/>
                <w:highlight w:val="none"/>
              </w:rPr>
            </w:pPr>
          </w:p>
        </w:tc>
        <w:tc>
          <w:tcPr>
            <w:tcW w:w="897" w:type="pct"/>
            <w:noWrap w:val="0"/>
            <w:vAlign w:val="top"/>
          </w:tcPr>
          <w:p w14:paraId="39D1ACF5">
            <w:pPr>
              <w:spacing w:line="460" w:lineRule="exact"/>
              <w:ind w:firstLine="420" w:firstLineChars="200"/>
              <w:rPr>
                <w:rFonts w:hint="eastAsia" w:ascii="宋体" w:hAnsi="宋体" w:cs="宋体"/>
                <w:highlight w:val="none"/>
              </w:rPr>
            </w:pPr>
          </w:p>
        </w:tc>
        <w:tc>
          <w:tcPr>
            <w:tcW w:w="1000" w:type="pct"/>
            <w:noWrap w:val="0"/>
            <w:vAlign w:val="top"/>
          </w:tcPr>
          <w:p w14:paraId="3CC111BC">
            <w:pPr>
              <w:spacing w:line="460" w:lineRule="exact"/>
              <w:ind w:firstLine="420" w:firstLineChars="200"/>
              <w:rPr>
                <w:rFonts w:hint="eastAsia" w:ascii="宋体" w:hAnsi="宋体" w:cs="宋体"/>
                <w:highlight w:val="none"/>
              </w:rPr>
            </w:pPr>
          </w:p>
        </w:tc>
      </w:tr>
    </w:tbl>
    <w:p w14:paraId="66D3B6D3">
      <w:pPr>
        <w:spacing w:line="460" w:lineRule="exact"/>
        <w:ind w:firstLine="420" w:firstLineChars="200"/>
        <w:rPr>
          <w:rFonts w:hint="eastAsia" w:ascii="宋体" w:hAnsi="宋体" w:cs="宋体"/>
          <w:highlight w:val="none"/>
        </w:rPr>
      </w:pPr>
    </w:p>
    <w:p w14:paraId="0C0A5DCC">
      <w:pPr>
        <w:spacing w:line="460" w:lineRule="exact"/>
        <w:ind w:firstLine="420" w:firstLineChars="200"/>
        <w:rPr>
          <w:rFonts w:hint="eastAsia" w:ascii="宋体" w:hAnsi="宋体" w:cs="宋体"/>
          <w:highlight w:val="none"/>
        </w:rPr>
      </w:pPr>
      <w:r>
        <w:rPr>
          <w:rFonts w:hint="eastAsia" w:ascii="宋体" w:hAnsi="宋体" w:cs="宋体"/>
          <w:highlight w:val="none"/>
        </w:rPr>
        <w:t>3.9 承包人应履行的其他责任：</w:t>
      </w:r>
    </w:p>
    <w:p w14:paraId="50B1C926">
      <w:pPr>
        <w:spacing w:line="460" w:lineRule="exact"/>
        <w:ind w:firstLine="420" w:firstLineChars="200"/>
        <w:rPr>
          <w:rFonts w:hint="eastAsia" w:ascii="宋体" w:hAnsi="宋体" w:cs="宋体"/>
          <w:highlight w:val="none"/>
        </w:rPr>
      </w:pPr>
      <w:r>
        <w:rPr>
          <w:rFonts w:hint="eastAsia" w:ascii="宋体" w:hAnsi="宋体" w:cs="宋体"/>
          <w:highlight w:val="none"/>
        </w:rPr>
        <w:t>3.9.1 承包人应按国家现行技术标准、规范、规程及发包人提出的要求，组织开展勘察咨询服务工作，及时处理勘察咨询服务工作遇到的各类技术、协调问题，并对其研究进度和质量负责，确保勘察咨询服务工作按约定工期完成；按本合同约定和发包人要求提供后续服务。</w:t>
      </w:r>
    </w:p>
    <w:p w14:paraId="3362029B">
      <w:pPr>
        <w:spacing w:line="460" w:lineRule="exact"/>
        <w:ind w:firstLine="420" w:firstLineChars="200"/>
        <w:rPr>
          <w:rFonts w:hint="eastAsia" w:ascii="宋体" w:hAnsi="宋体" w:cs="宋体"/>
          <w:highlight w:val="none"/>
        </w:rPr>
      </w:pPr>
      <w:r>
        <w:rPr>
          <w:rFonts w:hint="eastAsia" w:ascii="宋体" w:hAnsi="宋体" w:cs="宋体"/>
          <w:highlight w:val="none"/>
        </w:rPr>
        <w:t>承包人人应按合同约定，自备及提供为完成勘察咨询服务所需的劳务、材料、设备、设施等，并应自行承担勘察咨询场地临时设施的搭设、维护、管理和拆除。</w:t>
      </w:r>
    </w:p>
    <w:p w14:paraId="4D20B605">
      <w:pPr>
        <w:spacing w:line="460" w:lineRule="exact"/>
        <w:ind w:firstLine="420" w:firstLineChars="200"/>
        <w:rPr>
          <w:rFonts w:hint="eastAsia" w:ascii="宋体" w:hAnsi="宋体" w:cs="宋体"/>
          <w:highlight w:val="none"/>
        </w:rPr>
      </w:pPr>
      <w:r>
        <w:rPr>
          <w:rFonts w:hint="eastAsia" w:ascii="宋体" w:hAnsi="宋体" w:cs="宋体"/>
          <w:highlight w:val="none"/>
        </w:rPr>
        <w:t>3.9.2 勘察所需的证件和批件由承包人负责办理，发包人给予必要的协助。由此发生的费用已包含在承包人的投标报价中，发包人不另行支付。</w:t>
      </w:r>
    </w:p>
    <w:p w14:paraId="753D0842">
      <w:pPr>
        <w:spacing w:line="460" w:lineRule="exact"/>
        <w:ind w:firstLine="420" w:firstLineChars="200"/>
        <w:rPr>
          <w:rFonts w:hint="eastAsia" w:ascii="宋体" w:hAnsi="宋体" w:cs="宋体"/>
          <w:highlight w:val="none"/>
        </w:rPr>
      </w:pPr>
      <w:r>
        <w:rPr>
          <w:rFonts w:hint="eastAsia" w:ascii="宋体" w:hAnsi="宋体" w:cs="宋体"/>
          <w:highlight w:val="none"/>
        </w:rPr>
        <w:t>（1）承包人应按有关规定办理水上水下活动许可或其他有关许可。</w:t>
      </w:r>
    </w:p>
    <w:p w14:paraId="36B16B9F">
      <w:pPr>
        <w:spacing w:line="460" w:lineRule="exact"/>
        <w:ind w:firstLine="420" w:firstLineChars="200"/>
        <w:rPr>
          <w:rFonts w:hint="eastAsia" w:ascii="宋体" w:hAnsi="宋体" w:cs="宋体"/>
          <w:highlight w:val="none"/>
        </w:rPr>
      </w:pPr>
      <w:r>
        <w:rPr>
          <w:rFonts w:hint="eastAsia" w:ascii="宋体" w:hAnsi="宋体" w:cs="宋体"/>
          <w:highlight w:val="none"/>
        </w:rPr>
        <w:t>（2）在勘察过程中，存在与本项目相干扰的铁路、航道、管线、电力电信缆线及其他设施或特殊保护区域的，承包人应按有关行政管理部门的要求，办理有关审批手续，确保本项目顺利实施。</w:t>
      </w:r>
    </w:p>
    <w:p w14:paraId="1F7014C7">
      <w:pPr>
        <w:spacing w:line="460" w:lineRule="exact"/>
        <w:ind w:firstLine="420" w:firstLineChars="200"/>
        <w:rPr>
          <w:rFonts w:hint="eastAsia" w:ascii="宋体" w:hAnsi="宋体" w:cs="宋体"/>
          <w:highlight w:val="none"/>
        </w:rPr>
      </w:pPr>
      <w:r>
        <w:rPr>
          <w:rFonts w:hint="eastAsia" w:ascii="宋体" w:hAnsi="宋体" w:cs="宋体"/>
          <w:highlight w:val="none"/>
        </w:rPr>
        <w:t>（3）需临时占地的，由承包人向行政管理部门申请，按照要求制定占地施工方案，并据此实施。临时占地使用完毕后，承包人应当按照行政管理部门规定恢复临时占地。</w:t>
      </w:r>
    </w:p>
    <w:p w14:paraId="2D820F76">
      <w:pPr>
        <w:spacing w:line="460" w:lineRule="exact"/>
        <w:ind w:firstLine="420" w:firstLineChars="200"/>
        <w:rPr>
          <w:rFonts w:hint="eastAsia" w:ascii="宋体" w:hAnsi="宋体" w:cs="宋体"/>
          <w:highlight w:val="none"/>
        </w:rPr>
      </w:pPr>
      <w:r>
        <w:rPr>
          <w:rFonts w:hint="eastAsia" w:ascii="宋体" w:hAnsi="宋体" w:cs="宋体"/>
          <w:highlight w:val="none"/>
        </w:rPr>
        <w:t>（4）承包人负责查清勘察工作范围地下已在埋藏物；承包人水上作业船、排、平台的租用；负责勘察引起的青苗、树木以及水域养殖赔偿物赔偿等。</w:t>
      </w:r>
    </w:p>
    <w:p w14:paraId="28CBF8D8">
      <w:pPr>
        <w:spacing w:line="460" w:lineRule="exact"/>
        <w:ind w:firstLine="420" w:firstLineChars="200"/>
        <w:rPr>
          <w:rFonts w:hint="eastAsia" w:ascii="宋体" w:hAnsi="宋体" w:cs="宋体"/>
          <w:highlight w:val="none"/>
        </w:rPr>
      </w:pPr>
      <w:r>
        <w:rPr>
          <w:rFonts w:hint="eastAsia" w:ascii="宋体" w:hAnsi="宋体" w:cs="宋体"/>
          <w:highlight w:val="none"/>
        </w:rPr>
        <w:t>3.9.3 承包人应按合同规定的时限及份数，向发包人提交质量合格的勘察文件和咨询文件（包含阶段性文件和最终成果文件；纸质文件和电子版文件），接受发包人或发包人上级主管部门的审查。发包人、咨询单位、发包人上级主管部门对勘察文件、咨询文件的审查并不免除承包人的责任。</w:t>
      </w:r>
    </w:p>
    <w:p w14:paraId="7BDE56AA">
      <w:pPr>
        <w:spacing w:line="460" w:lineRule="exact"/>
        <w:ind w:firstLine="420" w:firstLineChars="200"/>
        <w:rPr>
          <w:rFonts w:hint="eastAsia" w:ascii="宋体" w:hAnsi="宋体" w:cs="宋体"/>
          <w:highlight w:val="none"/>
        </w:rPr>
      </w:pPr>
      <w:r>
        <w:rPr>
          <w:rFonts w:hint="eastAsia" w:ascii="宋体" w:hAnsi="宋体" w:cs="宋体"/>
          <w:highlight w:val="none"/>
        </w:rPr>
        <w:t>勘察文件、咨询文件存在错误、遗漏、含混、矛盾、不充分之处或其他缺陷，无论勘察文件、咨询文件是否通过了发包人审查或审查机构审查，承包人均应自费对前述问题带来的缺陷和问题进行改正，但由于发包人提供的文件错误导致的除外。</w:t>
      </w:r>
    </w:p>
    <w:p w14:paraId="7AF58204">
      <w:pPr>
        <w:spacing w:line="460" w:lineRule="exact"/>
        <w:ind w:firstLine="420" w:firstLineChars="200"/>
        <w:rPr>
          <w:rFonts w:hint="eastAsia" w:ascii="宋体" w:hAnsi="宋体" w:cs="宋体"/>
          <w:highlight w:val="none"/>
        </w:rPr>
      </w:pPr>
      <w:r>
        <w:rPr>
          <w:rFonts w:hint="eastAsia" w:ascii="宋体" w:hAnsi="宋体" w:cs="宋体"/>
          <w:highlight w:val="none"/>
        </w:rPr>
        <w:t>3.9.4 承包人应配合发包人开展各项报审工作，积极参与、跟踪各项审查活动，及时按照有关行政审批部门对勘察文件、咨询文件的审查意见进行修改完善。</w:t>
      </w:r>
    </w:p>
    <w:p w14:paraId="20E0E011">
      <w:pPr>
        <w:spacing w:line="460" w:lineRule="exact"/>
        <w:ind w:firstLine="420" w:firstLineChars="200"/>
        <w:rPr>
          <w:rFonts w:hint="eastAsia" w:ascii="宋体" w:hAnsi="宋体" w:cs="宋体"/>
          <w:highlight w:val="none"/>
        </w:rPr>
      </w:pPr>
      <w:r>
        <w:rPr>
          <w:rFonts w:hint="eastAsia" w:ascii="宋体" w:hAnsi="宋体" w:cs="宋体"/>
          <w:highlight w:val="none"/>
        </w:rPr>
        <w:t>3.9.5 勘察设备要求</w:t>
      </w:r>
    </w:p>
    <w:p w14:paraId="67EB75B3">
      <w:pPr>
        <w:spacing w:line="460" w:lineRule="exact"/>
        <w:ind w:firstLine="420" w:firstLineChars="200"/>
        <w:rPr>
          <w:rFonts w:hint="eastAsia" w:ascii="宋体" w:hAnsi="宋体" w:cs="宋体"/>
          <w:highlight w:val="none"/>
        </w:rPr>
      </w:pPr>
      <w:r>
        <w:rPr>
          <w:rFonts w:hint="eastAsia" w:ascii="宋体" w:hAnsi="宋体" w:cs="宋体"/>
          <w:highlight w:val="none"/>
        </w:rPr>
        <w:t>3.9.5.1 承包人应按合同进度计划的要求，及时配置勘察设备进行作业。承包人更换合同约定的勘察设备的，应报发包人批准。</w:t>
      </w:r>
    </w:p>
    <w:p w14:paraId="4E2DE483">
      <w:pPr>
        <w:spacing w:line="460" w:lineRule="exact"/>
        <w:ind w:firstLine="420" w:firstLineChars="200"/>
        <w:rPr>
          <w:rFonts w:hint="eastAsia" w:ascii="宋体" w:hAnsi="宋体" w:cs="宋体"/>
          <w:highlight w:val="none"/>
        </w:rPr>
      </w:pPr>
      <w:r>
        <w:rPr>
          <w:rFonts w:hint="eastAsia" w:ascii="宋体" w:hAnsi="宋体" w:cs="宋体"/>
          <w:highlight w:val="none"/>
        </w:rPr>
        <w:t>3.9.5.2 承包人应当按照规范要求，及时维修、保养或更换勘察设备，保证勘察设备能够随时进场使用。</w:t>
      </w:r>
    </w:p>
    <w:p w14:paraId="7CAD0FB6">
      <w:pPr>
        <w:spacing w:line="460" w:lineRule="exact"/>
        <w:ind w:firstLine="420" w:firstLineChars="200"/>
        <w:rPr>
          <w:rFonts w:hint="eastAsia" w:ascii="宋体" w:hAnsi="宋体" w:cs="宋体"/>
          <w:highlight w:val="none"/>
        </w:rPr>
      </w:pPr>
      <w:r>
        <w:rPr>
          <w:rFonts w:hint="eastAsia" w:ascii="宋体" w:hAnsi="宋体" w:cs="宋体"/>
          <w:highlight w:val="none"/>
        </w:rPr>
        <w:t>3.9.5.3 承包人使用的勘察设备不能满足合同进度计划和（或）质量要求时，发包人有权要求承包人增加或更换勘察设备，承包人应及时增加或更换，由此增加的费用和（或）周期延误由承包人自行承担。</w:t>
      </w:r>
    </w:p>
    <w:p w14:paraId="2336113D">
      <w:pPr>
        <w:spacing w:line="460" w:lineRule="exact"/>
        <w:ind w:firstLine="420" w:firstLineChars="200"/>
        <w:rPr>
          <w:rFonts w:hint="eastAsia" w:ascii="宋体" w:hAnsi="宋体" w:cs="宋体"/>
          <w:highlight w:val="none"/>
        </w:rPr>
      </w:pPr>
      <w:r>
        <w:rPr>
          <w:rFonts w:hint="eastAsia" w:ascii="宋体" w:hAnsi="宋体" w:cs="宋体"/>
          <w:highlight w:val="none"/>
        </w:rPr>
        <w:t>3.9.6 安全作业要求</w:t>
      </w:r>
    </w:p>
    <w:p w14:paraId="59FC38B1">
      <w:pPr>
        <w:spacing w:line="460" w:lineRule="exact"/>
        <w:ind w:firstLine="420" w:firstLineChars="200"/>
        <w:rPr>
          <w:rFonts w:hint="eastAsia" w:ascii="宋体" w:hAnsi="宋体" w:cs="宋体"/>
          <w:highlight w:val="none"/>
        </w:rPr>
      </w:pPr>
      <w:r>
        <w:rPr>
          <w:rFonts w:hint="eastAsia" w:ascii="宋体" w:hAnsi="宋体" w:cs="宋体"/>
          <w:highlight w:val="none"/>
        </w:rPr>
        <w:t>3.9.6.1 承包人应遵守有关安全生产的法律，按合同约定履行安全职责，编制安全措施。</w:t>
      </w:r>
    </w:p>
    <w:p w14:paraId="4A3E0CF1">
      <w:pPr>
        <w:spacing w:line="460" w:lineRule="exact"/>
        <w:ind w:firstLine="420" w:firstLineChars="200"/>
        <w:rPr>
          <w:rFonts w:hint="eastAsia" w:ascii="宋体" w:hAnsi="宋体" w:cs="宋体"/>
          <w:highlight w:val="none"/>
        </w:rPr>
      </w:pPr>
      <w:r>
        <w:rPr>
          <w:rFonts w:hint="eastAsia" w:ascii="宋体" w:hAnsi="宋体" w:cs="宋体"/>
          <w:highlight w:val="none"/>
        </w:rPr>
        <w:t>3.9.6.2 承包人应当严格执行操作规程，采取有效措施保证道路、桥梁、交通安全设施、建构筑物、地下管线、架空线和其他周边设施等安全正常地运行。</w:t>
      </w:r>
    </w:p>
    <w:p w14:paraId="00F59E03">
      <w:pPr>
        <w:spacing w:line="460" w:lineRule="exact"/>
        <w:ind w:firstLine="420" w:firstLineChars="200"/>
        <w:rPr>
          <w:rFonts w:hint="eastAsia" w:ascii="宋体" w:hAnsi="宋体" w:cs="宋体"/>
          <w:highlight w:val="none"/>
        </w:rPr>
      </w:pPr>
      <w:r>
        <w:rPr>
          <w:rFonts w:hint="eastAsia" w:ascii="宋体" w:hAnsi="宋体" w:cs="宋体"/>
          <w:highlight w:val="none"/>
        </w:rPr>
        <w:t>3.9.6.3 承包人应当按照法律、法规和工程建设强制性标准进行勘察，加强勘察作业安全管理，特别加强易燃、易爆材料、火工器材、有毒与腐蚀性材料和其他危险品的管理。</w:t>
      </w:r>
    </w:p>
    <w:p w14:paraId="09D5BE8B">
      <w:pPr>
        <w:spacing w:line="460" w:lineRule="exact"/>
        <w:ind w:firstLine="420" w:firstLineChars="200"/>
        <w:rPr>
          <w:rFonts w:hint="eastAsia" w:ascii="宋体" w:hAnsi="宋体" w:cs="宋体"/>
          <w:highlight w:val="none"/>
        </w:rPr>
      </w:pPr>
      <w:r>
        <w:rPr>
          <w:rFonts w:hint="eastAsia" w:ascii="宋体" w:hAnsi="宋体" w:cs="宋体"/>
          <w:highlight w:val="none"/>
        </w:rPr>
        <w:t>3.9.6.4 承包人应严格按照国家安全标准制定施工安全操作规程，配备必要的安全生产和劳动保护设施，加强对承包人人员的安全教育，并且发放安全工作手册和劳动保护用具。</w:t>
      </w:r>
    </w:p>
    <w:p w14:paraId="25C4B350">
      <w:pPr>
        <w:spacing w:line="460" w:lineRule="exact"/>
        <w:ind w:firstLine="420" w:firstLineChars="200"/>
        <w:rPr>
          <w:rFonts w:hint="eastAsia" w:ascii="宋体" w:hAnsi="宋体" w:cs="宋体"/>
          <w:highlight w:val="none"/>
        </w:rPr>
      </w:pPr>
      <w:r>
        <w:rPr>
          <w:rFonts w:hint="eastAsia" w:ascii="宋体" w:hAnsi="宋体" w:cs="宋体"/>
          <w:highlight w:val="none"/>
        </w:rPr>
        <w:t>3.9.6.5 承包人应按规定制定应对灾害的紧急预案。承包人还应按预案做好安全检查，配置必要的救助物资和器材，切实保护好有关人员的人身和财产安全。</w:t>
      </w:r>
    </w:p>
    <w:p w14:paraId="776DE1A8">
      <w:pPr>
        <w:spacing w:line="460" w:lineRule="exact"/>
        <w:ind w:firstLine="420" w:firstLineChars="200"/>
        <w:rPr>
          <w:rFonts w:hint="eastAsia" w:ascii="宋体" w:hAnsi="宋体" w:cs="宋体"/>
          <w:highlight w:val="none"/>
        </w:rPr>
      </w:pPr>
      <w:r>
        <w:rPr>
          <w:rFonts w:hint="eastAsia" w:ascii="宋体" w:hAnsi="宋体" w:cs="宋体"/>
          <w:highlight w:val="none"/>
        </w:rPr>
        <w:t>3.9.6.6 承包人应对其履行合同所雇佣的全部人员，包括分包人人员的工伤事故承担责任。</w:t>
      </w:r>
    </w:p>
    <w:p w14:paraId="1958E146">
      <w:pPr>
        <w:spacing w:line="460" w:lineRule="exact"/>
        <w:ind w:firstLine="420" w:firstLineChars="200"/>
        <w:rPr>
          <w:rFonts w:hint="eastAsia" w:ascii="宋体" w:hAnsi="宋体" w:cs="宋体"/>
          <w:highlight w:val="none"/>
        </w:rPr>
      </w:pPr>
      <w:r>
        <w:rPr>
          <w:rFonts w:hint="eastAsia" w:ascii="宋体" w:hAnsi="宋体" w:cs="宋体"/>
          <w:highlight w:val="none"/>
        </w:rPr>
        <w:t>3.9.6.7 对于承包人在勘察过程中发生的人员伤亡，或造成第三方的人员伤亡，或财产损失，或由此引起的其他一切损害和损失，由承包人自行承担责任，发包人均不承担责任。由于承包人原因在施工场地内及其毗邻地带造成的第三者人员伤亡和财产损失，由承包人负责赔偿。</w:t>
      </w:r>
    </w:p>
    <w:p w14:paraId="4835725B">
      <w:pPr>
        <w:spacing w:line="460" w:lineRule="exact"/>
        <w:ind w:firstLine="420" w:firstLineChars="200"/>
        <w:rPr>
          <w:rFonts w:hint="eastAsia" w:ascii="宋体" w:hAnsi="宋体" w:cs="宋体"/>
          <w:highlight w:val="none"/>
        </w:rPr>
      </w:pPr>
      <w:r>
        <w:rPr>
          <w:rFonts w:hint="eastAsia" w:ascii="宋体" w:hAnsi="宋体" w:cs="宋体"/>
          <w:highlight w:val="none"/>
        </w:rPr>
        <w:t>3.9.6.8承包人在勘察中应避免造成环境污染，以及钻探坑洞等给当地群众和发包人留下生活生产安全隐患，对所造成的环境污染的治理和消除，属承包人的责任。</w:t>
      </w:r>
    </w:p>
    <w:p w14:paraId="61EF04E5">
      <w:pPr>
        <w:spacing w:line="460" w:lineRule="exact"/>
        <w:ind w:firstLine="420" w:firstLineChars="200"/>
        <w:rPr>
          <w:rFonts w:hint="eastAsia" w:ascii="宋体" w:hAnsi="宋体" w:cs="宋体"/>
          <w:highlight w:val="none"/>
        </w:rPr>
      </w:pPr>
      <w:r>
        <w:rPr>
          <w:rFonts w:hint="eastAsia" w:ascii="宋体" w:hAnsi="宋体" w:cs="宋体"/>
          <w:highlight w:val="none"/>
        </w:rPr>
        <w:t>3.9.7 环境保护要求</w:t>
      </w:r>
    </w:p>
    <w:p w14:paraId="10D3F4ED">
      <w:pPr>
        <w:spacing w:line="460" w:lineRule="exact"/>
        <w:ind w:firstLine="420" w:firstLineChars="200"/>
        <w:rPr>
          <w:rFonts w:hint="eastAsia" w:ascii="宋体" w:hAnsi="宋体" w:cs="宋体"/>
          <w:highlight w:val="none"/>
        </w:rPr>
      </w:pPr>
      <w:r>
        <w:rPr>
          <w:rFonts w:hint="eastAsia" w:ascii="宋体" w:hAnsi="宋体" w:cs="宋体"/>
          <w:highlight w:val="none"/>
        </w:rPr>
        <w:t>3.9.7.1 承包人在履行合同过程中，应遵守有关环境保护的法律，履行合同约定的环境保护义务，并对违反法律和合同约定义务所造成的环境破坏、人身伤害和财产损失负责。</w:t>
      </w:r>
    </w:p>
    <w:p w14:paraId="78341B75">
      <w:pPr>
        <w:spacing w:line="460" w:lineRule="exact"/>
        <w:ind w:firstLine="420" w:firstLineChars="200"/>
        <w:rPr>
          <w:rFonts w:hint="eastAsia" w:ascii="宋体" w:hAnsi="宋体" w:cs="宋体"/>
          <w:highlight w:val="none"/>
        </w:rPr>
      </w:pPr>
      <w:r>
        <w:rPr>
          <w:rFonts w:hint="eastAsia" w:ascii="宋体" w:hAnsi="宋体" w:cs="宋体"/>
          <w:highlight w:val="none"/>
        </w:rPr>
        <w:t>3.9.7.2 承包人应按合同约定的环保工作内容，编制环保措施。</w:t>
      </w:r>
    </w:p>
    <w:p w14:paraId="57EF3CDB">
      <w:pPr>
        <w:spacing w:line="460" w:lineRule="exact"/>
        <w:ind w:firstLine="420" w:firstLineChars="200"/>
        <w:rPr>
          <w:rFonts w:hint="eastAsia" w:ascii="宋体" w:hAnsi="宋体" w:cs="宋体"/>
          <w:highlight w:val="none"/>
        </w:rPr>
      </w:pPr>
      <w:r>
        <w:rPr>
          <w:rFonts w:hint="eastAsia" w:ascii="宋体" w:hAnsi="宋体" w:cs="宋体"/>
          <w:highlight w:val="none"/>
        </w:rPr>
        <w:t>3.9.7.3 承包人应确保工作过程中产生的气体排放物、粉尘、噪声、地面排水及排污等，符合法律规定和发包人要求。</w:t>
      </w:r>
    </w:p>
    <w:p w14:paraId="4F585E44">
      <w:pPr>
        <w:spacing w:line="460" w:lineRule="exact"/>
        <w:ind w:firstLine="420" w:firstLineChars="200"/>
        <w:rPr>
          <w:rFonts w:hint="eastAsia" w:ascii="宋体" w:hAnsi="宋体" w:cs="宋体"/>
          <w:highlight w:val="none"/>
        </w:rPr>
      </w:pPr>
      <w:r>
        <w:rPr>
          <w:rFonts w:hint="eastAsia" w:ascii="宋体" w:hAnsi="宋体" w:cs="宋体"/>
          <w:highlight w:val="none"/>
        </w:rPr>
        <w:t>3.9.8 勘察文件和咨询文件要求</w:t>
      </w:r>
    </w:p>
    <w:p w14:paraId="67A39202">
      <w:pPr>
        <w:spacing w:line="460" w:lineRule="exact"/>
        <w:ind w:firstLine="420" w:firstLineChars="200"/>
        <w:rPr>
          <w:rFonts w:hint="eastAsia" w:ascii="宋体" w:hAnsi="宋体" w:cs="宋体"/>
          <w:highlight w:val="none"/>
        </w:rPr>
      </w:pPr>
      <w:r>
        <w:rPr>
          <w:rFonts w:hint="eastAsia" w:ascii="宋体" w:hAnsi="宋体" w:cs="宋体"/>
          <w:highlight w:val="none"/>
        </w:rPr>
        <w:t>3.9.8.1 勘察文件、咨询文件的编制应符合法律法规、规范标准的强制性规定和发包人要求，相关勘察、咨询依据应完整、准确、可靠，勘察、咨询方案论证充分，计算成果规范可靠，并能够实施。</w:t>
      </w:r>
    </w:p>
    <w:p w14:paraId="2D29AD2F">
      <w:pPr>
        <w:spacing w:line="460" w:lineRule="exact"/>
        <w:ind w:firstLine="420" w:firstLineChars="200"/>
        <w:rPr>
          <w:rFonts w:hint="eastAsia" w:ascii="宋体" w:hAnsi="宋体" w:cs="宋体"/>
          <w:highlight w:val="none"/>
        </w:rPr>
      </w:pPr>
      <w:r>
        <w:rPr>
          <w:rFonts w:hint="eastAsia" w:ascii="宋体" w:hAnsi="宋体" w:cs="宋体"/>
          <w:highlight w:val="none"/>
        </w:rPr>
        <w:t>3.9.8.2 勘察文件、咨询文件的深度应符合国家和行业现行规定，满足本合同的规定要求，并应满足发包人的下步工作需要。</w:t>
      </w:r>
    </w:p>
    <w:p w14:paraId="130B25A1">
      <w:pPr>
        <w:spacing w:line="460" w:lineRule="exact"/>
        <w:ind w:firstLine="420" w:firstLineChars="200"/>
        <w:rPr>
          <w:rFonts w:hint="eastAsia" w:ascii="宋体" w:hAnsi="宋体" w:cs="宋体"/>
          <w:highlight w:val="none"/>
        </w:rPr>
      </w:pPr>
    </w:p>
    <w:p w14:paraId="66585DAA">
      <w:pPr>
        <w:spacing w:line="460" w:lineRule="exact"/>
        <w:ind w:firstLine="420" w:firstLineChars="200"/>
        <w:rPr>
          <w:rFonts w:hint="eastAsia" w:ascii="宋体" w:hAnsi="宋体" w:cs="宋体"/>
          <w:highlight w:val="none"/>
        </w:rPr>
      </w:pPr>
      <w:r>
        <w:rPr>
          <w:rFonts w:hint="eastAsia" w:ascii="宋体" w:hAnsi="宋体" w:cs="宋体"/>
          <w:highlight w:val="none"/>
        </w:rPr>
        <w:t>3.9.8.</w:t>
      </w:r>
      <w:r>
        <w:rPr>
          <w:rFonts w:hint="eastAsia" w:ascii="宋体" w:hAnsi="宋体" w:cs="宋体"/>
          <w:highlight w:val="none"/>
          <w:lang w:val="en-US" w:eastAsia="zh-CN"/>
        </w:rPr>
        <w:t>3</w:t>
      </w:r>
      <w:r>
        <w:rPr>
          <w:rFonts w:hint="eastAsia" w:ascii="宋体" w:hAnsi="宋体" w:cs="宋体"/>
          <w:highlight w:val="none"/>
        </w:rPr>
        <w:t>.勘察文件、咨询文件文件必须保证工程质量和施工安全等方面的要求，按照有关法律法规规定在勘察文件、咨询文件中提出保障施工作业人员安全和预防生产安全事故的措施建议。</w:t>
      </w:r>
    </w:p>
    <w:p w14:paraId="6B8407F1">
      <w:pPr>
        <w:spacing w:line="460" w:lineRule="exact"/>
        <w:ind w:firstLine="420" w:firstLineChars="200"/>
        <w:rPr>
          <w:rFonts w:hint="eastAsia" w:ascii="宋体" w:hAnsi="宋体" w:cs="宋体"/>
          <w:highlight w:val="none"/>
        </w:rPr>
      </w:pPr>
      <w:r>
        <w:rPr>
          <w:rFonts w:hint="eastAsia" w:ascii="宋体" w:hAnsi="宋体" w:cs="宋体"/>
          <w:highlight w:val="none"/>
        </w:rPr>
        <w:t>3.9.8.</w:t>
      </w:r>
      <w:r>
        <w:rPr>
          <w:rFonts w:hint="eastAsia" w:ascii="宋体" w:hAnsi="宋体" w:cs="宋体"/>
          <w:highlight w:val="none"/>
          <w:lang w:val="en-US" w:eastAsia="zh-CN"/>
        </w:rPr>
        <w:t>4</w:t>
      </w:r>
      <w:r>
        <w:rPr>
          <w:rFonts w:hint="eastAsia" w:ascii="宋体" w:hAnsi="宋体" w:cs="宋体"/>
          <w:highlight w:val="none"/>
        </w:rPr>
        <w:t xml:space="preserve"> 提供的成果须通过专家或主管部门、机构组织的评审，取得主管部门批复（如需要）。</w:t>
      </w:r>
    </w:p>
    <w:p w14:paraId="4F7B3CFC">
      <w:pPr>
        <w:spacing w:line="460" w:lineRule="exact"/>
        <w:ind w:firstLine="420" w:firstLineChars="200"/>
        <w:rPr>
          <w:rFonts w:hint="eastAsia" w:ascii="宋体" w:hAnsi="宋体" w:cs="宋体"/>
          <w:highlight w:val="none"/>
        </w:rPr>
      </w:pPr>
      <w:r>
        <w:rPr>
          <w:rFonts w:hint="eastAsia" w:ascii="宋体" w:hAnsi="宋体" w:cs="宋体"/>
          <w:highlight w:val="none"/>
        </w:rPr>
        <w:t>3.9.9存在与本项目相交叉或影响的铁路、航道、管线、电力电信缆线及其他设施或特殊保护区域的，承包人应按有关法律法规或部门的要求进行方案论证，办理勘察作业有关审批或备案手续，本项目涉及到铁路、航道、管线、电力电信缆线及其他设施或特殊保护区域的实施方案应取得有关部门、单位的批复同意。</w:t>
      </w:r>
    </w:p>
    <w:p w14:paraId="40A5DC8A">
      <w:pPr>
        <w:spacing w:line="460" w:lineRule="exact"/>
        <w:ind w:firstLine="420" w:firstLineChars="200"/>
        <w:rPr>
          <w:rFonts w:hint="eastAsia" w:ascii="宋体" w:hAnsi="宋体" w:cs="宋体"/>
          <w:highlight w:val="none"/>
        </w:rPr>
      </w:pPr>
      <w:r>
        <w:rPr>
          <w:rFonts w:hint="eastAsia" w:ascii="宋体" w:hAnsi="宋体" w:cs="宋体"/>
          <w:highlight w:val="none"/>
        </w:rPr>
        <w:t>3.9.10 承包人应接受发包人或咨询单位和上级主管部门的审查，凡审查意见中提出的问题，承包人应逐条给予反馈，提交书面的反馈意见并修改完善勘察文件、咨询文件。</w:t>
      </w:r>
    </w:p>
    <w:p w14:paraId="17A51F48">
      <w:pPr>
        <w:spacing w:line="460" w:lineRule="exact"/>
        <w:ind w:firstLine="420" w:firstLineChars="200"/>
        <w:rPr>
          <w:rFonts w:hint="eastAsia" w:ascii="宋体" w:hAnsi="宋体" w:cs="宋体"/>
          <w:highlight w:val="none"/>
        </w:rPr>
      </w:pPr>
      <w:r>
        <w:rPr>
          <w:rFonts w:hint="eastAsia" w:ascii="宋体" w:hAnsi="宋体" w:cs="宋体"/>
          <w:highlight w:val="none"/>
        </w:rPr>
        <w:t>承包人应在收到发包人、咨询单位及上级主管部门提出的审查意见后，1</w:t>
      </w:r>
      <w:r>
        <w:rPr>
          <w:rFonts w:hint="eastAsia" w:ascii="宋体" w:hAnsi="宋体" w:cs="宋体"/>
          <w:highlight w:val="none"/>
          <w:lang w:val="en-US" w:eastAsia="zh-CN"/>
        </w:rPr>
        <w:t>5</w:t>
      </w:r>
      <w:r>
        <w:rPr>
          <w:rFonts w:hint="eastAsia" w:ascii="宋体" w:hAnsi="宋体" w:cs="宋体"/>
          <w:highlight w:val="none"/>
        </w:rPr>
        <w:t>日内完成对勘察咨询文件的修改。</w:t>
      </w:r>
    </w:p>
    <w:p w14:paraId="1C609249">
      <w:pPr>
        <w:spacing w:line="460" w:lineRule="exact"/>
        <w:ind w:firstLine="420" w:firstLineChars="200"/>
        <w:rPr>
          <w:rFonts w:hint="eastAsia" w:ascii="宋体" w:hAnsi="宋体" w:cs="宋体"/>
          <w:highlight w:val="none"/>
        </w:rPr>
      </w:pPr>
      <w:r>
        <w:rPr>
          <w:rFonts w:hint="eastAsia" w:ascii="宋体" w:hAnsi="宋体" w:cs="宋体"/>
          <w:highlight w:val="none"/>
        </w:rPr>
        <w:t>由此发生的所有修改、赶工的费用，均已包含在投标报价中，发包人不再另行支付。</w:t>
      </w:r>
    </w:p>
    <w:p w14:paraId="7AEE5094">
      <w:pPr>
        <w:spacing w:line="460" w:lineRule="exact"/>
        <w:ind w:firstLine="420" w:firstLineChars="200"/>
        <w:rPr>
          <w:rFonts w:hint="eastAsia" w:ascii="宋体" w:hAnsi="宋体" w:cs="宋体"/>
          <w:highlight w:val="none"/>
        </w:rPr>
      </w:pPr>
      <w:r>
        <w:rPr>
          <w:rFonts w:hint="eastAsia" w:ascii="宋体" w:hAnsi="宋体" w:cs="宋体"/>
          <w:highlight w:val="none"/>
        </w:rPr>
        <w:t>3.9.11 发包人组织专家或委托咨询单位对勘察文件、咨询文件的审查，以及主管部门对勘察咨询文件的审查，审查、报批过程中所需的相关会务、劳务费用等全部费用均含在投标报价内，发包人不再另行支付。</w:t>
      </w:r>
    </w:p>
    <w:p w14:paraId="5D41862B">
      <w:pPr>
        <w:spacing w:line="460" w:lineRule="exact"/>
        <w:ind w:firstLine="420" w:firstLineChars="200"/>
        <w:rPr>
          <w:rFonts w:hint="eastAsia" w:ascii="宋体" w:hAnsi="宋体" w:cs="宋体"/>
          <w:highlight w:val="none"/>
        </w:rPr>
      </w:pPr>
      <w:r>
        <w:rPr>
          <w:rFonts w:hint="eastAsia" w:ascii="宋体" w:hAnsi="宋体" w:cs="宋体"/>
          <w:highlight w:val="none"/>
        </w:rPr>
        <w:t>3.9.12 承包人应承担的后续服务内容包括：配合发包人做好勘察设计招标工作，应发包人的要求提供本项目下一阶段勘察设计招标需要的勘察设计技术要求、勘察测量工程量清单等资料。后续服务的费用已包含在合同总价中，发包人不再另行支付。</w:t>
      </w:r>
    </w:p>
    <w:p w14:paraId="4A441E51">
      <w:pPr>
        <w:spacing w:line="460" w:lineRule="exact"/>
        <w:ind w:firstLine="420" w:firstLineChars="200"/>
        <w:rPr>
          <w:rFonts w:hint="eastAsia"/>
          <w:highlight w:val="none"/>
        </w:rPr>
      </w:pPr>
      <w:r>
        <w:rPr>
          <w:rFonts w:hint="eastAsia" w:ascii="宋体" w:hAnsi="宋体" w:cs="宋体"/>
          <w:highlight w:val="none"/>
        </w:rPr>
        <w:t>3.9.13 本项目严禁转包和违规分包。各专题研究可合法分包，但须经发包人同意。分包人的资质要求应符合法律法规规定要求，且与其分包工作的标准和规模相适应。</w:t>
      </w:r>
    </w:p>
    <w:p w14:paraId="71B2FF4D">
      <w:pPr>
        <w:spacing w:line="460" w:lineRule="exact"/>
        <w:ind w:firstLine="420" w:firstLineChars="200"/>
        <w:rPr>
          <w:rFonts w:hint="eastAsia"/>
          <w:highlight w:val="none"/>
        </w:rPr>
      </w:pPr>
    </w:p>
    <w:p w14:paraId="3FD13BB6">
      <w:pPr>
        <w:pStyle w:val="34"/>
        <w:spacing w:before="480" w:beforeLines="0" w:after="240" w:afterLines="0"/>
        <w:outlineLvl w:val="2"/>
        <w:rPr>
          <w:rFonts w:hAnsi="宋体"/>
          <w:b/>
          <w:color w:val="auto"/>
          <w:highlight w:val="none"/>
        </w:rPr>
      </w:pPr>
      <w:bookmarkStart w:id="286" w:name="_Toc346269080"/>
      <w:bookmarkStart w:id="287" w:name="_Toc326241913"/>
      <w:bookmarkStart w:id="288" w:name="_Toc335722000"/>
      <w:bookmarkStart w:id="289" w:name="_Toc346269500"/>
      <w:bookmarkStart w:id="290" w:name="_Toc446919488"/>
      <w:bookmarkStart w:id="291" w:name="_Toc335660918"/>
      <w:bookmarkStart w:id="292" w:name="_Toc17876"/>
      <w:bookmarkStart w:id="293" w:name="_Toc11403"/>
      <w:bookmarkStart w:id="294" w:name="_Toc25937"/>
      <w:bookmarkStart w:id="295" w:name="_Toc20549"/>
      <w:bookmarkStart w:id="296" w:name="_Toc10223"/>
      <w:bookmarkStart w:id="297" w:name="_Toc20292"/>
      <w:bookmarkStart w:id="298" w:name="_Toc28423"/>
      <w:bookmarkStart w:id="299" w:name="_Toc11745"/>
      <w:bookmarkStart w:id="300" w:name="_Toc89866145"/>
      <w:r>
        <w:rPr>
          <w:rFonts w:hAnsi="宋体"/>
          <w:b/>
          <w:color w:val="auto"/>
          <w:highlight w:val="none"/>
        </w:rPr>
        <w:t>4.</w:t>
      </w:r>
      <w:bookmarkEnd w:id="286"/>
      <w:bookmarkEnd w:id="287"/>
      <w:bookmarkEnd w:id="288"/>
      <w:bookmarkEnd w:id="289"/>
      <w:bookmarkEnd w:id="290"/>
      <w:bookmarkEnd w:id="291"/>
      <w:r>
        <w:rPr>
          <w:rFonts w:hint="eastAsia" w:hAnsi="宋体"/>
          <w:b/>
          <w:color w:val="auto"/>
          <w:highlight w:val="none"/>
        </w:rPr>
        <w:t>工作</w:t>
      </w:r>
      <w:r>
        <w:rPr>
          <w:rFonts w:hAnsi="宋体"/>
          <w:b/>
          <w:color w:val="auto"/>
          <w:highlight w:val="none"/>
        </w:rPr>
        <w:t>周期及成果提交</w:t>
      </w:r>
      <w:bookmarkEnd w:id="292"/>
      <w:bookmarkEnd w:id="293"/>
      <w:bookmarkEnd w:id="294"/>
      <w:bookmarkEnd w:id="295"/>
      <w:bookmarkEnd w:id="296"/>
      <w:bookmarkEnd w:id="297"/>
      <w:bookmarkEnd w:id="298"/>
      <w:bookmarkEnd w:id="299"/>
      <w:bookmarkEnd w:id="300"/>
    </w:p>
    <w:p w14:paraId="61CF684E">
      <w:pPr>
        <w:spacing w:line="460" w:lineRule="exact"/>
        <w:ind w:firstLine="420" w:firstLineChars="200"/>
        <w:rPr>
          <w:highlight w:val="none"/>
        </w:rPr>
      </w:pPr>
      <w:r>
        <w:rPr>
          <w:rFonts w:hint="eastAsia" w:ascii="宋体" w:hAnsi="宋体" w:cs="宋体"/>
          <w:highlight w:val="none"/>
        </w:rPr>
        <w:t xml:space="preserve">4.1 </w:t>
      </w:r>
      <w:r>
        <w:rPr>
          <w:highlight w:val="none"/>
        </w:rPr>
        <w:t>工期及成果提交</w:t>
      </w:r>
    </w:p>
    <w:p w14:paraId="7D133585">
      <w:pPr>
        <w:spacing w:line="460" w:lineRule="exact"/>
        <w:ind w:firstLine="422" w:firstLineChars="200"/>
        <w:rPr>
          <w:rFonts w:hint="eastAsia"/>
          <w:b/>
          <w:bCs/>
          <w:highlight w:val="none"/>
        </w:rPr>
      </w:pPr>
      <w:r>
        <w:rPr>
          <w:rFonts w:hint="eastAsia"/>
          <w:b/>
          <w:bCs/>
          <w:highlight w:val="none"/>
        </w:rPr>
        <w:t>4.1.1本款约定为：</w:t>
      </w:r>
    </w:p>
    <w:p w14:paraId="65028E9B">
      <w:pPr>
        <w:spacing w:line="460" w:lineRule="exact"/>
        <w:ind w:firstLine="422" w:firstLineChars="200"/>
        <w:rPr>
          <w:rFonts w:hint="eastAsia"/>
          <w:b/>
          <w:bCs/>
          <w:highlight w:val="none"/>
        </w:rPr>
      </w:pPr>
      <w:r>
        <w:rPr>
          <w:rFonts w:hint="eastAsia"/>
          <w:b/>
          <w:bCs/>
          <w:highlight w:val="none"/>
        </w:rPr>
        <w:t>总工期为</w:t>
      </w:r>
      <w:r>
        <w:rPr>
          <w:rFonts w:hint="eastAsia"/>
          <w:b/>
          <w:bCs/>
          <w:highlight w:val="none"/>
          <w:lang w:val="en-US" w:eastAsia="zh-CN"/>
        </w:rPr>
        <w:t>6</w:t>
      </w:r>
      <w:r>
        <w:rPr>
          <w:rFonts w:hint="eastAsia"/>
          <w:b/>
          <w:bCs/>
          <w:highlight w:val="none"/>
        </w:rPr>
        <w:t>0日历天。具体如下：签订合同后45日历天内提交工程可行性研究报告送审稿，并在工程可行性研究报告评审会后15日历天内完成报批稿。并配合采购人最终取得批复。</w:t>
      </w:r>
    </w:p>
    <w:p w14:paraId="49E7DC80">
      <w:pPr>
        <w:spacing w:line="460" w:lineRule="exact"/>
        <w:ind w:firstLine="422" w:firstLineChars="200"/>
        <w:rPr>
          <w:rFonts w:hint="eastAsia"/>
          <w:b/>
          <w:bCs/>
          <w:highlight w:val="none"/>
        </w:rPr>
      </w:pPr>
      <w:r>
        <w:rPr>
          <w:rFonts w:hint="eastAsia"/>
          <w:b/>
          <w:bCs/>
          <w:highlight w:val="none"/>
        </w:rPr>
        <w:t>主管部门审查、审批时间另行计算。</w:t>
      </w:r>
    </w:p>
    <w:p w14:paraId="17FC5248">
      <w:pPr>
        <w:spacing w:line="460" w:lineRule="exact"/>
        <w:ind w:firstLine="422" w:firstLineChars="200"/>
        <w:rPr>
          <w:rFonts w:hint="eastAsia"/>
          <w:b/>
          <w:bCs/>
          <w:highlight w:val="none"/>
        </w:rPr>
      </w:pPr>
      <w:r>
        <w:rPr>
          <w:rFonts w:hint="eastAsia"/>
          <w:b/>
          <w:bCs/>
          <w:highlight w:val="none"/>
        </w:rPr>
        <w:t>4.1.2提交成果要求：</w:t>
      </w:r>
    </w:p>
    <w:p w14:paraId="1D009F03">
      <w:pPr>
        <w:spacing w:line="460" w:lineRule="exact"/>
        <w:ind w:firstLine="422" w:firstLineChars="200"/>
        <w:rPr>
          <w:rFonts w:hint="eastAsia"/>
          <w:b/>
          <w:bCs/>
          <w:highlight w:val="none"/>
        </w:rPr>
      </w:pPr>
      <w:r>
        <w:rPr>
          <w:rFonts w:hint="eastAsia"/>
          <w:b/>
          <w:bCs/>
          <w:highlight w:val="none"/>
        </w:rPr>
        <w:t>（1）测量成果要求：</w:t>
      </w:r>
    </w:p>
    <w:p w14:paraId="7E049F31">
      <w:pPr>
        <w:spacing w:line="460" w:lineRule="exact"/>
        <w:ind w:firstLine="422" w:firstLineChars="200"/>
        <w:rPr>
          <w:rFonts w:hint="eastAsia"/>
          <w:b/>
          <w:bCs/>
          <w:highlight w:val="none"/>
        </w:rPr>
      </w:pPr>
      <w:r>
        <w:rPr>
          <w:rFonts w:hint="eastAsia"/>
          <w:b/>
          <w:bCs/>
          <w:highlight w:val="none"/>
        </w:rPr>
        <w:t>①提交所有最终测量成果纸质文件一式</w:t>
      </w:r>
      <w:r>
        <w:rPr>
          <w:rFonts w:hint="eastAsia"/>
          <w:b/>
          <w:bCs/>
          <w:highlight w:val="none"/>
          <w:lang w:val="en-US" w:eastAsia="zh-CN"/>
        </w:rPr>
        <w:t>5</w:t>
      </w:r>
      <w:r>
        <w:rPr>
          <w:rFonts w:hint="eastAsia"/>
          <w:b/>
          <w:bCs/>
          <w:highlight w:val="none"/>
        </w:rPr>
        <w:t xml:space="preserve">份。 </w:t>
      </w:r>
    </w:p>
    <w:p w14:paraId="4A6E32FE">
      <w:pPr>
        <w:spacing w:line="460" w:lineRule="exact"/>
        <w:ind w:firstLine="422" w:firstLineChars="200"/>
        <w:rPr>
          <w:rFonts w:hint="eastAsia"/>
          <w:b/>
          <w:bCs/>
          <w:highlight w:val="none"/>
        </w:rPr>
      </w:pPr>
      <w:r>
        <w:rPr>
          <w:rFonts w:hint="eastAsia"/>
          <w:b/>
          <w:bCs/>
          <w:highlight w:val="none"/>
        </w:rPr>
        <w:t>②最终成果</w:t>
      </w:r>
      <w:r>
        <w:rPr>
          <w:rFonts w:hint="eastAsia"/>
          <w:b/>
          <w:bCs/>
          <w:highlight w:val="none"/>
          <w:lang w:eastAsia="zh-CN"/>
        </w:rPr>
        <w:t>电子</w:t>
      </w:r>
      <w:r>
        <w:rPr>
          <w:rFonts w:hint="eastAsia"/>
          <w:b/>
          <w:bCs/>
          <w:highlight w:val="none"/>
        </w:rPr>
        <w:t>文件一式2份，包括可编辑文档（文字为 WORD 格式、图纸为可编辑的 CAD 格式）和按要求签章的PDF成果文件，分别使用光盘和U盘贮存。</w:t>
      </w:r>
    </w:p>
    <w:p w14:paraId="7D529604">
      <w:pPr>
        <w:spacing w:line="460" w:lineRule="exact"/>
        <w:ind w:firstLine="422" w:firstLineChars="200"/>
        <w:rPr>
          <w:rFonts w:hint="eastAsia"/>
          <w:b/>
          <w:bCs/>
          <w:highlight w:val="none"/>
        </w:rPr>
      </w:pPr>
      <w:r>
        <w:rPr>
          <w:rFonts w:hint="eastAsia"/>
          <w:b/>
          <w:bCs/>
          <w:highlight w:val="none"/>
        </w:rPr>
        <w:t>（2）工程可行性研究成果要求：</w:t>
      </w:r>
    </w:p>
    <w:p w14:paraId="2B5CC3B0">
      <w:pPr>
        <w:spacing w:line="460" w:lineRule="exact"/>
        <w:ind w:firstLine="422" w:firstLineChars="200"/>
        <w:rPr>
          <w:rFonts w:hint="eastAsia"/>
          <w:b/>
          <w:bCs/>
          <w:highlight w:val="none"/>
        </w:rPr>
      </w:pPr>
      <w:r>
        <w:rPr>
          <w:rFonts w:hint="eastAsia"/>
          <w:b/>
          <w:bCs/>
          <w:highlight w:val="none"/>
        </w:rPr>
        <w:t>①提交一式30份项目研究报告初稿及30份附件和图纸用于组织初审。</w:t>
      </w:r>
    </w:p>
    <w:p w14:paraId="41B54A5C">
      <w:pPr>
        <w:spacing w:line="460" w:lineRule="exact"/>
        <w:ind w:firstLine="422" w:firstLineChars="200"/>
        <w:rPr>
          <w:rFonts w:hint="eastAsia"/>
          <w:b/>
          <w:bCs/>
          <w:highlight w:val="none"/>
        </w:rPr>
      </w:pPr>
      <w:r>
        <w:rPr>
          <w:rFonts w:hint="eastAsia"/>
          <w:b/>
          <w:bCs/>
          <w:highlight w:val="none"/>
        </w:rPr>
        <w:t>②提交一式30份符合要求的项目研究报告及30份附件和图纸，供行业主管部门审查。</w:t>
      </w:r>
    </w:p>
    <w:p w14:paraId="575C90C8">
      <w:pPr>
        <w:spacing w:line="460" w:lineRule="exact"/>
        <w:ind w:firstLine="422" w:firstLineChars="200"/>
        <w:rPr>
          <w:rFonts w:hint="eastAsia"/>
          <w:b/>
          <w:bCs/>
          <w:highlight w:val="none"/>
        </w:rPr>
      </w:pPr>
      <w:r>
        <w:rPr>
          <w:rFonts w:hint="eastAsia"/>
          <w:b/>
          <w:bCs/>
          <w:highlight w:val="none"/>
        </w:rPr>
        <w:t>③提交一式10份修改完善后的研究报告及10份附件和图纸，上报</w:t>
      </w:r>
      <w:r>
        <w:rPr>
          <w:rFonts w:hint="eastAsia"/>
          <w:b/>
          <w:bCs/>
          <w:highlight w:val="none"/>
          <w:lang w:eastAsia="zh-CN"/>
        </w:rPr>
        <w:t>主管</w:t>
      </w:r>
      <w:r>
        <w:rPr>
          <w:rFonts w:hint="eastAsia"/>
          <w:b/>
          <w:bCs/>
          <w:highlight w:val="none"/>
        </w:rPr>
        <w:t>部门审批。</w:t>
      </w:r>
    </w:p>
    <w:p w14:paraId="50167065">
      <w:pPr>
        <w:spacing w:line="460" w:lineRule="exact"/>
        <w:ind w:firstLine="422" w:firstLineChars="200"/>
        <w:rPr>
          <w:rFonts w:hint="eastAsia"/>
          <w:b/>
          <w:bCs/>
          <w:highlight w:val="none"/>
        </w:rPr>
      </w:pPr>
      <w:r>
        <w:rPr>
          <w:rFonts w:hint="eastAsia"/>
          <w:b/>
          <w:bCs/>
          <w:highlight w:val="none"/>
        </w:rPr>
        <w:t>④最终成果报告纸质文件各10份；所有最终成果</w:t>
      </w:r>
      <w:r>
        <w:rPr>
          <w:rFonts w:hint="eastAsia"/>
          <w:b/>
          <w:bCs/>
          <w:highlight w:val="none"/>
          <w:lang w:eastAsia="zh-CN"/>
        </w:rPr>
        <w:t>电子</w:t>
      </w:r>
      <w:r>
        <w:rPr>
          <w:rFonts w:hint="eastAsia"/>
          <w:b/>
          <w:bCs/>
          <w:highlight w:val="none"/>
        </w:rPr>
        <w:t>文件一式2份，包括可编辑文档（文字为 WORD 格式、图纸为可编辑的 CAD 格式）和按要求签章的PDF成果文件，分别使用光盘和U盘贮存。</w:t>
      </w:r>
    </w:p>
    <w:p w14:paraId="4DC3BFF5">
      <w:pPr>
        <w:pStyle w:val="34"/>
        <w:spacing w:before="480" w:beforeLines="0" w:after="240" w:afterLines="0"/>
        <w:outlineLvl w:val="2"/>
        <w:rPr>
          <w:rFonts w:hAnsi="宋体"/>
          <w:b/>
          <w:color w:val="auto"/>
          <w:highlight w:val="none"/>
        </w:rPr>
      </w:pPr>
      <w:bookmarkStart w:id="301" w:name="_Toc89866146"/>
      <w:bookmarkStart w:id="302" w:name="_Toc31085"/>
      <w:bookmarkStart w:id="303" w:name="_Toc346269081"/>
      <w:bookmarkStart w:id="304" w:name="_Toc27491"/>
      <w:bookmarkStart w:id="305" w:name="_Toc32346"/>
      <w:bookmarkStart w:id="306" w:name="_Toc335722001"/>
      <w:bookmarkStart w:id="307" w:name="_Toc346269501"/>
      <w:bookmarkStart w:id="308" w:name="_Toc446919490"/>
      <w:bookmarkStart w:id="309" w:name="_Toc4282"/>
      <w:bookmarkStart w:id="310" w:name="_Toc27168"/>
      <w:bookmarkStart w:id="311" w:name="_Toc29687"/>
      <w:bookmarkStart w:id="312" w:name="_Toc27338"/>
      <w:bookmarkStart w:id="313" w:name="_Toc326241914"/>
      <w:bookmarkStart w:id="314" w:name="_Toc335660919"/>
      <w:bookmarkStart w:id="315" w:name="_Toc72"/>
      <w:r>
        <w:rPr>
          <w:rFonts w:hAnsi="宋体"/>
          <w:b/>
          <w:color w:val="auto"/>
          <w:highlight w:val="none"/>
        </w:rPr>
        <w:t>5. 违约与赔偿</w:t>
      </w:r>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p>
    <w:p w14:paraId="0E683DB7">
      <w:pPr>
        <w:spacing w:line="460" w:lineRule="exact"/>
        <w:ind w:firstLine="420" w:firstLineChars="200"/>
        <w:rPr>
          <w:rFonts w:hint="eastAsia" w:ascii="宋体" w:hAnsi="宋体" w:cs="宋体"/>
          <w:highlight w:val="none"/>
        </w:rPr>
      </w:pPr>
      <w:r>
        <w:rPr>
          <w:rFonts w:hint="eastAsia" w:ascii="宋体" w:hAnsi="宋体" w:cs="宋体"/>
          <w:highlight w:val="none"/>
        </w:rPr>
        <w:t>5.1.2 发包人未按规定的时间和金额支付勘察咨询费的赔偿责任：</w:t>
      </w:r>
    </w:p>
    <w:p w14:paraId="3FAA7626">
      <w:pPr>
        <w:spacing w:line="460" w:lineRule="exact"/>
        <w:ind w:firstLine="420" w:firstLineChars="200"/>
        <w:rPr>
          <w:rFonts w:hint="eastAsia" w:ascii="宋体" w:hAnsi="宋体" w:cs="宋体"/>
          <w:highlight w:val="none"/>
        </w:rPr>
      </w:pPr>
      <w:r>
        <w:rPr>
          <w:rFonts w:hint="eastAsia" w:ascii="宋体" w:hAnsi="宋体" w:cs="宋体"/>
          <w:highlight w:val="none"/>
        </w:rPr>
        <w:t>发包人应按本合同规定的金额和日期向承包人支付合同价款。发包人未按期向承包人支付预付款的，承包人有权推迟开工时间，且交付文件的时间相应顺延。发包人未按规定时间向承包人支付进度款的，每逾期支付一天，应承担应支付金额万分之一的逾期违约金（因政府、财政部门未及时将建设资金拨付发包人的情形除外，在此情况下，发包人不承担逾期付款违约责任），但承包人提交成果文件的时间不能相应顺延。发包人的逾期违约金上限为合同总价款的3%。</w:t>
      </w:r>
    </w:p>
    <w:p w14:paraId="0D4B6640">
      <w:pPr>
        <w:spacing w:line="460" w:lineRule="exact"/>
        <w:ind w:firstLine="420" w:firstLineChars="200"/>
        <w:rPr>
          <w:rFonts w:hint="eastAsia" w:ascii="宋体" w:hAnsi="宋体" w:cs="宋体"/>
          <w:highlight w:val="none"/>
        </w:rPr>
      </w:pPr>
      <w:r>
        <w:rPr>
          <w:rFonts w:hint="eastAsia" w:ascii="宋体" w:hAnsi="宋体" w:cs="宋体"/>
          <w:highlight w:val="none"/>
        </w:rPr>
        <w:t>5.1.3 发包人的其他违约与赔偿责任:本合同所约定的承包人违约责任如有不一致或矛盾的，以对承包人较重的为准；所约定的发包人的违约责任如有不一致或矛盾的，以对发包人较轻的为准。</w:t>
      </w:r>
    </w:p>
    <w:p w14:paraId="296F674A">
      <w:pPr>
        <w:spacing w:line="460" w:lineRule="exact"/>
        <w:ind w:firstLine="420" w:firstLineChars="200"/>
        <w:rPr>
          <w:rFonts w:hint="eastAsia" w:ascii="宋体" w:hAnsi="宋体" w:cs="宋体"/>
          <w:highlight w:val="none"/>
        </w:rPr>
      </w:pPr>
      <w:r>
        <w:rPr>
          <w:rFonts w:hint="eastAsia" w:ascii="宋体" w:hAnsi="宋体" w:cs="宋体"/>
          <w:highlight w:val="none"/>
        </w:rPr>
        <w:t>5.2.1 由于承包人的责任给发包人造成损失的违约责任：发包人有权视违约的情况决定中止或解除本合同，每发生一次，计扣承包人合同总价10%的违约金，给发包人造成损失的还应当赔偿。</w:t>
      </w:r>
    </w:p>
    <w:p w14:paraId="6C3445A9">
      <w:pPr>
        <w:spacing w:line="460" w:lineRule="exact"/>
        <w:ind w:firstLine="420" w:firstLineChars="200"/>
        <w:rPr>
          <w:rFonts w:hint="eastAsia" w:ascii="宋体" w:hAnsi="宋体" w:cs="宋体"/>
          <w:highlight w:val="none"/>
        </w:rPr>
      </w:pPr>
      <w:r>
        <w:rPr>
          <w:rFonts w:hint="eastAsia" w:ascii="宋体" w:hAnsi="宋体" w:cs="宋体"/>
          <w:highlight w:val="none"/>
        </w:rPr>
        <w:t>5.2.2 承包人其他违约与赔偿责任：</w:t>
      </w:r>
    </w:p>
    <w:p w14:paraId="63646FC1">
      <w:pPr>
        <w:spacing w:line="460" w:lineRule="exact"/>
        <w:ind w:firstLine="420" w:firstLineChars="200"/>
        <w:rPr>
          <w:rFonts w:hint="eastAsia" w:ascii="宋体" w:hAnsi="宋体" w:cs="宋体"/>
          <w:highlight w:val="none"/>
        </w:rPr>
      </w:pPr>
      <w:r>
        <w:rPr>
          <w:rFonts w:hint="eastAsia" w:ascii="宋体" w:hAnsi="宋体" w:cs="宋体"/>
          <w:highlight w:val="none"/>
        </w:rPr>
        <w:t>（1）如果承包人未能按照采购文件规定的时间提供相应的成果文件和资料的，或逾期未能通过验收的，则每延期1天，发包人将按合同价格的</w:t>
      </w:r>
      <w:r>
        <w:rPr>
          <w:rFonts w:hint="eastAsia" w:ascii="宋体" w:hAnsi="宋体" w:cs="宋体"/>
          <w:highlight w:val="none"/>
          <w:lang w:val="en-US" w:eastAsia="zh-CN"/>
        </w:rPr>
        <w:t>0.</w:t>
      </w:r>
      <w:r>
        <w:rPr>
          <w:rFonts w:hint="eastAsia" w:ascii="宋体" w:hAnsi="宋体" w:cs="宋体"/>
          <w:highlight w:val="none"/>
        </w:rPr>
        <w:t>5‰扣除承包人的违约金；同时，承包人应承担因此而导致其他合同的承包人的赶工费。</w:t>
      </w:r>
    </w:p>
    <w:p w14:paraId="26F4B3EB">
      <w:pPr>
        <w:spacing w:line="460" w:lineRule="exact"/>
        <w:ind w:firstLine="420" w:firstLineChars="200"/>
        <w:rPr>
          <w:rFonts w:hint="eastAsia" w:ascii="宋体" w:hAnsi="宋体" w:cs="宋体"/>
          <w:highlight w:val="none"/>
        </w:rPr>
      </w:pPr>
      <w:r>
        <w:rPr>
          <w:rFonts w:hint="eastAsia" w:ascii="宋体" w:hAnsi="宋体" w:cs="宋体"/>
          <w:highlight w:val="none"/>
        </w:rPr>
        <w:t>(2)承包人未按审查意见并在规定期限内完成修改的，则每延期1天，发包人将分别按相应阶段合同价的1‰计扣承包人违约金，累计扣减的违约金不超过合同总价的5%。</w:t>
      </w:r>
    </w:p>
    <w:p w14:paraId="7A952AAC">
      <w:pPr>
        <w:spacing w:line="460" w:lineRule="exact"/>
        <w:ind w:firstLine="420" w:firstLineChars="200"/>
        <w:rPr>
          <w:rFonts w:hint="eastAsia" w:ascii="宋体" w:hAnsi="宋体" w:cs="宋体"/>
          <w:highlight w:val="none"/>
        </w:rPr>
      </w:pPr>
      <w:r>
        <w:rPr>
          <w:rFonts w:hint="eastAsia" w:ascii="宋体" w:hAnsi="宋体" w:cs="宋体"/>
          <w:highlight w:val="none"/>
        </w:rPr>
        <w:t>(3)由于承包人的过失或责任引起本项目发生重大变更或较大变更，导致项目工期拖延或者给发包人造成经济损失的，承包人除应负责继续完善相关勘察、可行性研究报告及各专题论证编制工作并对发包人的损失做出相应赔偿外，发包人还将视承包人造成的项目工期延误和费用损失等情况，计扣承包人勘察设计合同总价5%～10%的违约金。</w:t>
      </w:r>
    </w:p>
    <w:p w14:paraId="753A39FF">
      <w:pPr>
        <w:spacing w:line="460" w:lineRule="exact"/>
        <w:ind w:firstLine="420" w:firstLineChars="200"/>
        <w:rPr>
          <w:rFonts w:hint="eastAsia" w:ascii="宋体" w:hAnsi="宋体" w:cs="宋体"/>
          <w:highlight w:val="none"/>
        </w:rPr>
      </w:pPr>
      <w:r>
        <w:rPr>
          <w:rFonts w:hint="eastAsia" w:ascii="宋体" w:hAnsi="宋体" w:cs="宋体"/>
          <w:highlight w:val="none"/>
        </w:rPr>
        <w:t>(4)承包人违反响应文件中的承诺更换项目负责人、分项负责人的，发包人将处以每人次5万元的违约金，该违约金将从任何应付的勘察咨询费中扣除；对于违反响应文件中的承诺，更换项目负责人或分项负责人的，导致承包人无法继续履行合同或严重影响到本项目勘察咨询进度和质量的，发包人将有权解除合同，并将向承包人追究由此给发包人造成的经济损失。但对承包人更换项目负责人或分项负责人，是因疾病、意外伤亡或调离，承包人不得不进行更换合格的人员，且更换的人员的资格和能力不低于原来所报人员，并经发包人批准同意的，可不予处以违约金。</w:t>
      </w:r>
    </w:p>
    <w:p w14:paraId="13DB93E3">
      <w:pPr>
        <w:spacing w:line="460" w:lineRule="exact"/>
        <w:ind w:firstLine="420" w:firstLineChars="200"/>
        <w:rPr>
          <w:rFonts w:hint="eastAsia" w:ascii="宋体" w:hAnsi="宋体" w:cs="宋体"/>
          <w:highlight w:val="none"/>
        </w:rPr>
      </w:pPr>
      <w:r>
        <w:rPr>
          <w:rFonts w:hint="eastAsia" w:ascii="宋体" w:hAnsi="宋体" w:cs="宋体"/>
          <w:highlight w:val="none"/>
        </w:rPr>
        <w:t>(5)当承包人发生本款约定的违约情况时，发包人有权向承包人处以违约金，具体约定如下：</w:t>
      </w:r>
    </w:p>
    <w:p w14:paraId="48E3A529">
      <w:pPr>
        <w:spacing w:line="460" w:lineRule="exact"/>
        <w:ind w:firstLine="420" w:firstLineChars="200"/>
        <w:rPr>
          <w:rFonts w:hint="eastAsia" w:ascii="宋体" w:hAnsi="宋体" w:cs="宋体"/>
          <w:highlight w:val="none"/>
        </w:rPr>
      </w:pPr>
    </w:p>
    <w:p w14:paraId="431D9513">
      <w:pPr>
        <w:spacing w:line="460" w:lineRule="exact"/>
        <w:ind w:firstLine="420" w:firstLineChars="200"/>
        <w:rPr>
          <w:rFonts w:hint="eastAsia" w:ascii="宋体" w:hAnsi="宋体" w:cs="宋体"/>
          <w:highlight w:val="none"/>
        </w:rPr>
      </w:pPr>
      <w:r>
        <w:rPr>
          <w:rFonts w:hint="eastAsia" w:ascii="宋体" w:hAnsi="宋体" w:cs="宋体"/>
          <w:highlight w:val="none"/>
        </w:rPr>
        <w:t>承包人在勘察咨询或在后续服务过程中，泄露应该保密的资料或信息，作出有损国家或发包人利益的行为，视具体情况，发包人将按合同价的5％-10％计扣违约金，构成犯罪的依法追究刑事责任。</w:t>
      </w:r>
    </w:p>
    <w:p w14:paraId="1F0C3E24">
      <w:pPr>
        <w:spacing w:line="460" w:lineRule="exact"/>
        <w:ind w:firstLine="420" w:firstLineChars="200"/>
        <w:rPr>
          <w:highlight w:val="none"/>
        </w:rPr>
      </w:pPr>
      <w:r>
        <w:rPr>
          <w:rFonts w:hint="eastAsia" w:ascii="宋体" w:hAnsi="宋体" w:cs="宋体"/>
          <w:highlight w:val="none"/>
        </w:rPr>
        <w:t>（6）因承包人的原因而导致本合同被解除的，承包人应返还已收取的所有款项，并按合同约定总金额的10%向发包人支付违约金。</w:t>
      </w:r>
    </w:p>
    <w:p w14:paraId="6DA6707A">
      <w:pPr>
        <w:pStyle w:val="34"/>
        <w:spacing w:before="480" w:beforeLines="0" w:after="240" w:afterLines="0"/>
        <w:outlineLvl w:val="2"/>
        <w:rPr>
          <w:rFonts w:hAnsi="宋体"/>
          <w:b/>
          <w:color w:val="auto"/>
          <w:highlight w:val="none"/>
        </w:rPr>
      </w:pPr>
      <w:bookmarkStart w:id="316" w:name="_Toc17488"/>
      <w:bookmarkStart w:id="317" w:name="_Toc335722005"/>
      <w:bookmarkStart w:id="318" w:name="_Toc21142"/>
      <w:bookmarkStart w:id="319" w:name="_Toc446919493"/>
      <w:bookmarkStart w:id="320" w:name="_Toc6514"/>
      <w:bookmarkStart w:id="321" w:name="_Toc27477"/>
      <w:bookmarkStart w:id="322" w:name="_Toc30711"/>
      <w:bookmarkStart w:id="323" w:name="_Toc28500"/>
      <w:bookmarkStart w:id="324" w:name="_Toc89866147"/>
      <w:bookmarkStart w:id="325" w:name="_Toc16919"/>
      <w:bookmarkStart w:id="326" w:name="_Toc1492"/>
      <w:bookmarkStart w:id="327" w:name="_Toc346269504"/>
      <w:bookmarkStart w:id="328" w:name="_Toc346269084"/>
      <w:bookmarkStart w:id="329" w:name="_Toc335660923"/>
      <w:bookmarkStart w:id="330" w:name="_Toc326241915"/>
      <w:r>
        <w:rPr>
          <w:rFonts w:hAnsi="宋体"/>
          <w:b/>
          <w:color w:val="auto"/>
          <w:highlight w:val="none"/>
        </w:rPr>
        <w:t>7. 费用与支付</w:t>
      </w:r>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p>
    <w:p w14:paraId="12A4B555">
      <w:pPr>
        <w:snapToGrid w:val="0"/>
        <w:spacing w:line="360" w:lineRule="auto"/>
        <w:ind w:firstLine="420" w:firstLineChars="200"/>
        <w:rPr>
          <w:rFonts w:hint="eastAsia" w:ascii="宋体" w:hAnsi="宋体" w:cs="宋体"/>
          <w:highlight w:val="none"/>
        </w:rPr>
      </w:pPr>
      <w:r>
        <w:rPr>
          <w:rFonts w:hint="eastAsia" w:ascii="宋体" w:hAnsi="宋体" w:cs="宋体"/>
          <w:highlight w:val="none"/>
        </w:rPr>
        <w:t>7.1 本合同费用为：人民币   （¥  ），  。</w:t>
      </w:r>
    </w:p>
    <w:p w14:paraId="03D2CF56">
      <w:pPr>
        <w:snapToGrid w:val="0"/>
        <w:spacing w:line="360" w:lineRule="auto"/>
        <w:ind w:firstLine="420" w:firstLineChars="200"/>
        <w:rPr>
          <w:rFonts w:hint="eastAsia" w:ascii="宋体" w:hAnsi="宋体" w:cs="宋体"/>
          <w:highlight w:val="none"/>
        </w:rPr>
      </w:pPr>
      <w:r>
        <w:rPr>
          <w:rFonts w:hint="eastAsia" w:ascii="宋体" w:hAnsi="宋体" w:cs="宋体"/>
          <w:highlight w:val="none"/>
        </w:rPr>
        <w:t>本次合同价格采用总价包干，包含但不限于从前期踏勘、资料收集、水上水下施工许可证办理费用、报告编制费、现场管理费、会议、专家咨询费、调研差旅费、管理费、文印费、设备耗材费、税费及合同包含的所有风险、责任及措施等费用，包含为完成桂江（莲花大桥至桂江河口）航道扩建工程工程可行性研究服务项目的全部工作以及可能发生的各种费用,不作任何调整；按合同价进行结算。</w:t>
      </w:r>
    </w:p>
    <w:p w14:paraId="61C34E19">
      <w:pPr>
        <w:snapToGrid w:val="0"/>
        <w:spacing w:line="360" w:lineRule="auto"/>
        <w:ind w:firstLine="420" w:firstLineChars="200"/>
        <w:rPr>
          <w:rFonts w:hint="eastAsia" w:ascii="宋体" w:hAnsi="宋体" w:cs="宋体"/>
          <w:highlight w:val="none"/>
        </w:rPr>
      </w:pPr>
      <w:r>
        <w:rPr>
          <w:rFonts w:hint="eastAsia" w:ascii="宋体" w:hAnsi="宋体" w:cs="宋体"/>
          <w:highlight w:val="none"/>
        </w:rPr>
        <w:t>7.2 本项目合同费用支付方式如下：</w:t>
      </w:r>
    </w:p>
    <w:p w14:paraId="20DC3D71">
      <w:pPr>
        <w:snapToGrid w:val="0"/>
        <w:spacing w:line="360" w:lineRule="auto"/>
        <w:ind w:firstLine="420" w:firstLineChars="200"/>
        <w:rPr>
          <w:rFonts w:hint="eastAsia" w:ascii="宋体" w:hAnsi="宋体" w:cs="宋体"/>
          <w:highlight w:val="none"/>
        </w:rPr>
      </w:pPr>
      <w:r>
        <w:rPr>
          <w:rFonts w:hint="eastAsia" w:ascii="宋体" w:hAnsi="宋体" w:cs="宋体"/>
          <w:highlight w:val="none"/>
        </w:rPr>
        <w:t>7.2.1 发包人根据承包人的工作进度，分期支付合同价款。</w:t>
      </w:r>
    </w:p>
    <w:p w14:paraId="322ADD39">
      <w:pPr>
        <w:snapToGrid w:val="0"/>
        <w:spacing w:line="360" w:lineRule="auto"/>
        <w:ind w:firstLine="420" w:firstLineChars="200"/>
        <w:rPr>
          <w:rFonts w:hint="eastAsia" w:ascii="宋体" w:hAnsi="宋体" w:cs="宋体"/>
          <w:highlight w:val="none"/>
        </w:rPr>
      </w:pPr>
      <w:r>
        <w:rPr>
          <w:rFonts w:hint="eastAsia" w:ascii="宋体" w:hAnsi="宋体" w:cs="宋体"/>
          <w:highlight w:val="none"/>
        </w:rPr>
        <w:t>（1）第一期支付</w:t>
      </w:r>
    </w:p>
    <w:p w14:paraId="3891C31B">
      <w:pPr>
        <w:snapToGrid w:val="0"/>
        <w:spacing w:line="360" w:lineRule="auto"/>
        <w:ind w:firstLine="420" w:firstLineChars="200"/>
        <w:rPr>
          <w:rFonts w:hint="eastAsia" w:ascii="宋体" w:hAnsi="宋体" w:cs="宋体"/>
          <w:highlight w:val="none"/>
        </w:rPr>
      </w:pPr>
      <w:r>
        <w:rPr>
          <w:rFonts w:hint="eastAsia" w:ascii="宋体" w:hAnsi="宋体" w:cs="宋体"/>
          <w:highlight w:val="none"/>
        </w:rPr>
        <w:t>承包人</w:t>
      </w:r>
      <w:r>
        <w:rPr>
          <w:rFonts w:hint="eastAsia" w:ascii="宋体" w:hAnsi="宋体" w:cs="宋体"/>
          <w:highlight w:val="none"/>
          <w:lang w:eastAsia="zh-CN"/>
        </w:rPr>
        <w:t>完成地形测量和工程可行性研究报告送审稿后</w:t>
      </w:r>
      <w:r>
        <w:rPr>
          <w:rFonts w:hint="eastAsia" w:ascii="宋体" w:hAnsi="宋体" w:cs="宋体"/>
          <w:highlight w:val="none"/>
        </w:rPr>
        <w:t>，由承包人提交进度款支付申请，发包人收到进度款支付申请后的14天内，向承包人支付签约合同价的80%；承包人应当提供等额的增值税发票。</w:t>
      </w:r>
    </w:p>
    <w:p w14:paraId="1CB01B70">
      <w:pPr>
        <w:snapToGrid w:val="0"/>
        <w:spacing w:line="360" w:lineRule="auto"/>
        <w:ind w:firstLine="420" w:firstLineChars="200"/>
        <w:rPr>
          <w:rFonts w:hint="eastAsia" w:ascii="宋体" w:hAnsi="宋体" w:cs="宋体"/>
          <w:highlight w:val="none"/>
        </w:rPr>
      </w:pPr>
      <w:r>
        <w:rPr>
          <w:rFonts w:hint="eastAsia" w:ascii="宋体" w:hAnsi="宋体" w:cs="宋体"/>
          <w:highlight w:val="none"/>
        </w:rPr>
        <w:t>（2）第二期支付</w:t>
      </w:r>
    </w:p>
    <w:p w14:paraId="49C3439A">
      <w:pPr>
        <w:snapToGrid w:val="0"/>
        <w:spacing w:line="360" w:lineRule="auto"/>
        <w:ind w:firstLine="420" w:firstLineChars="200"/>
        <w:rPr>
          <w:rFonts w:hint="eastAsia" w:ascii="宋体" w:hAnsi="宋体" w:cs="宋体"/>
          <w:highlight w:val="none"/>
        </w:rPr>
      </w:pPr>
      <w:r>
        <w:rPr>
          <w:rFonts w:hint="eastAsia" w:ascii="宋体" w:hAnsi="宋体" w:cs="宋体"/>
          <w:highlight w:val="none"/>
        </w:rPr>
        <w:t>承包人提交工程可行性研究报告报批稿后，由承包人提交进度款支付申请，发包人收到进度款支付申请后的14天内，向承包人支付</w:t>
      </w:r>
      <w:r>
        <w:rPr>
          <w:rFonts w:hint="eastAsia" w:ascii="宋体" w:hAnsi="宋体" w:cs="宋体"/>
          <w:highlight w:val="none"/>
          <w:lang w:eastAsia="zh-CN"/>
        </w:rPr>
        <w:t>至</w:t>
      </w:r>
      <w:r>
        <w:rPr>
          <w:rFonts w:hint="eastAsia" w:ascii="宋体" w:hAnsi="宋体" w:cs="宋体"/>
          <w:highlight w:val="none"/>
        </w:rPr>
        <w:t>签约合同价的</w:t>
      </w:r>
      <w:r>
        <w:rPr>
          <w:rFonts w:hint="eastAsia" w:ascii="宋体" w:hAnsi="宋体" w:cs="宋体"/>
          <w:highlight w:val="none"/>
          <w:lang w:val="en-US" w:eastAsia="zh-CN"/>
        </w:rPr>
        <w:t>100</w:t>
      </w:r>
      <w:r>
        <w:rPr>
          <w:rFonts w:hint="eastAsia" w:ascii="宋体" w:hAnsi="宋体" w:cs="宋体"/>
          <w:highlight w:val="none"/>
        </w:rPr>
        <w:t>%；承包人应当提供等额的增值税发票。</w:t>
      </w:r>
    </w:p>
    <w:p w14:paraId="51E23523">
      <w:pPr>
        <w:snapToGrid w:val="0"/>
        <w:spacing w:line="360" w:lineRule="auto"/>
        <w:ind w:firstLine="420" w:firstLineChars="200"/>
        <w:rPr>
          <w:rFonts w:hint="eastAsia" w:ascii="宋体" w:hAnsi="宋体" w:cs="宋体"/>
          <w:highlight w:val="none"/>
        </w:rPr>
      </w:pPr>
    </w:p>
    <w:p w14:paraId="7F772E4F">
      <w:pPr>
        <w:snapToGrid w:val="0"/>
        <w:spacing w:line="360" w:lineRule="auto"/>
        <w:ind w:firstLine="420" w:firstLineChars="200"/>
        <w:rPr>
          <w:rFonts w:hint="eastAsia" w:ascii="宋体" w:hAnsi="宋体" w:cs="宋体"/>
          <w:highlight w:val="none"/>
        </w:rPr>
      </w:pPr>
      <w:r>
        <w:rPr>
          <w:rFonts w:hint="eastAsia" w:ascii="宋体" w:hAnsi="宋体" w:cs="宋体"/>
          <w:highlight w:val="none"/>
        </w:rPr>
        <w:t>7.2.2 由于财政资金未按时到位或财政资金管理原因暂时不能支付的，合同价款的支付时间相应顺延，并且发包人不因此承担逾期付款的违约责任。</w:t>
      </w:r>
    </w:p>
    <w:p w14:paraId="3D963FE7">
      <w:pPr>
        <w:snapToGrid w:val="0"/>
        <w:spacing w:line="360" w:lineRule="auto"/>
        <w:ind w:firstLine="420" w:firstLineChars="200"/>
        <w:rPr>
          <w:rFonts w:hint="eastAsia" w:ascii="宋体" w:hAnsi="宋体" w:cs="宋体"/>
          <w:highlight w:val="none"/>
        </w:rPr>
      </w:pPr>
      <w:r>
        <w:rPr>
          <w:rFonts w:hint="eastAsia" w:ascii="宋体" w:hAnsi="宋体" w:cs="宋体"/>
          <w:highlight w:val="none"/>
        </w:rPr>
        <w:t>7.2.3 有异议的支付</w:t>
      </w:r>
    </w:p>
    <w:p w14:paraId="241EE0CE">
      <w:pPr>
        <w:snapToGrid w:val="0"/>
        <w:spacing w:line="360" w:lineRule="auto"/>
        <w:ind w:firstLine="420" w:firstLineChars="200"/>
        <w:rPr>
          <w:rFonts w:hint="eastAsia" w:ascii="宋体" w:hAnsi="宋体" w:cs="宋体"/>
          <w:highlight w:val="none"/>
        </w:rPr>
      </w:pPr>
      <w:r>
        <w:rPr>
          <w:rFonts w:hint="eastAsia" w:ascii="宋体" w:hAnsi="宋体" w:cs="宋体"/>
          <w:highlight w:val="none"/>
        </w:rPr>
        <w:t>如果发包人对承包人提交的付款申请有异议时，发包人应在7个工作日内发出书面通知要求承包人澄清，此时，应在收到承包人书面澄清(以发包人签收的日期为准)之日起28天内支付，发包人不认可承包人书面澄清的情况除外。如果承包人在收到要求书面澄清的通知后15天内未做任何书面答复，则不予支付，直到承包人作出书面澄清并取得认可为止。澄清期间不视为发包人逾期付款。</w:t>
      </w:r>
    </w:p>
    <w:p w14:paraId="03DBFD78">
      <w:pPr>
        <w:snapToGrid w:val="0"/>
        <w:spacing w:line="360" w:lineRule="auto"/>
        <w:ind w:firstLine="420" w:firstLineChars="200"/>
        <w:rPr>
          <w:rFonts w:hint="eastAsia" w:ascii="宋体" w:hAnsi="宋体" w:cs="宋体"/>
          <w:highlight w:val="none"/>
        </w:rPr>
      </w:pPr>
      <w:r>
        <w:rPr>
          <w:rFonts w:hint="eastAsia" w:ascii="宋体" w:hAnsi="宋体" w:cs="宋体"/>
          <w:highlight w:val="none"/>
        </w:rPr>
        <w:t>7.2.4 承包人收款账户信息如下：</w:t>
      </w:r>
    </w:p>
    <w:p w14:paraId="27BA329F">
      <w:pPr>
        <w:snapToGrid w:val="0"/>
        <w:spacing w:line="360" w:lineRule="auto"/>
        <w:ind w:firstLine="420" w:firstLineChars="200"/>
        <w:rPr>
          <w:rFonts w:hint="eastAsia" w:ascii="宋体" w:hAnsi="宋体" w:cs="宋体"/>
          <w:highlight w:val="none"/>
        </w:rPr>
      </w:pPr>
      <w:r>
        <w:rPr>
          <w:rFonts w:hint="eastAsia" w:ascii="宋体" w:hAnsi="宋体" w:cs="宋体"/>
          <w:highlight w:val="none"/>
        </w:rPr>
        <w:t xml:space="preserve">           </w:t>
      </w:r>
    </w:p>
    <w:p w14:paraId="5F1D03C4">
      <w:pPr>
        <w:snapToGrid w:val="0"/>
        <w:spacing w:line="360" w:lineRule="auto"/>
        <w:ind w:firstLine="420" w:firstLineChars="200"/>
        <w:rPr>
          <w:rFonts w:hint="eastAsia" w:ascii="宋体" w:hAnsi="宋体" w:cs="宋体"/>
          <w:highlight w:val="none"/>
        </w:rPr>
      </w:pPr>
      <w:r>
        <w:rPr>
          <w:rFonts w:hint="eastAsia" w:ascii="宋体" w:hAnsi="宋体" w:cs="宋体"/>
          <w:highlight w:val="none"/>
        </w:rPr>
        <w:t>承包人收款账户发生变更的，应当在变更当日书面告知发包人，否则由此产生的损失由承包人承担；发包人不接受承包人委托第三方收款。</w:t>
      </w:r>
    </w:p>
    <w:p w14:paraId="5211298B">
      <w:pPr>
        <w:snapToGrid w:val="0"/>
        <w:spacing w:line="360" w:lineRule="auto"/>
        <w:ind w:firstLine="420" w:firstLineChars="200"/>
        <w:rPr>
          <w:rFonts w:hint="eastAsia" w:ascii="宋体" w:hAnsi="宋体" w:cs="宋体"/>
          <w:highlight w:val="none"/>
        </w:rPr>
      </w:pPr>
      <w:r>
        <w:rPr>
          <w:rFonts w:hint="eastAsia" w:ascii="宋体" w:hAnsi="宋体" w:cs="宋体"/>
          <w:highlight w:val="none"/>
        </w:rPr>
        <w:t>7.3 暂列金额</w:t>
      </w:r>
    </w:p>
    <w:p w14:paraId="67F59BCA">
      <w:pPr>
        <w:snapToGrid w:val="0"/>
        <w:spacing w:line="360" w:lineRule="auto"/>
        <w:ind w:firstLine="420" w:firstLineChars="200"/>
        <w:rPr>
          <w:rFonts w:hint="eastAsia" w:ascii="宋体" w:hAnsi="宋体" w:cs="宋体"/>
          <w:highlight w:val="none"/>
        </w:rPr>
      </w:pPr>
      <w:r>
        <w:rPr>
          <w:rFonts w:hint="eastAsia" w:ascii="宋体" w:hAnsi="宋体" w:cs="宋体"/>
          <w:highlight w:val="none"/>
        </w:rPr>
        <w:t>本合同的暂列金额为 / 万元。这项金额应按发包人的书面指示全部或部分地使用，或根本不予动用。</w:t>
      </w:r>
    </w:p>
    <w:p w14:paraId="5EC22838">
      <w:pPr>
        <w:snapToGrid w:val="0"/>
        <w:spacing w:line="360" w:lineRule="auto"/>
        <w:ind w:firstLine="420" w:firstLineChars="200"/>
        <w:rPr>
          <w:rFonts w:hint="eastAsia" w:ascii="宋体" w:hAnsi="宋体" w:cs="宋体"/>
          <w:highlight w:val="none"/>
        </w:rPr>
      </w:pPr>
      <w:r>
        <w:rPr>
          <w:rFonts w:hint="eastAsia" w:ascii="宋体" w:hAnsi="宋体" w:cs="宋体"/>
          <w:highlight w:val="none"/>
        </w:rPr>
        <w:t>如果使用暂列金额进行某项额外勘察咨询工作，其费用应按承包人投标报价中相应项目的基本单价和实际发生的工作量经发包人核定后支付，或者按实际发生的工作费用经发包人核实后支付。</w:t>
      </w:r>
    </w:p>
    <w:p w14:paraId="423B5D4F">
      <w:pPr>
        <w:snapToGrid w:val="0"/>
        <w:spacing w:line="360" w:lineRule="auto"/>
        <w:ind w:firstLine="420" w:firstLineChars="200"/>
        <w:rPr>
          <w:rFonts w:hint="eastAsia" w:ascii="宋体" w:hAnsi="宋体" w:cs="宋体"/>
          <w:highlight w:val="none"/>
        </w:rPr>
      </w:pPr>
      <w:r>
        <w:rPr>
          <w:rFonts w:hint="eastAsia" w:ascii="宋体" w:hAnsi="宋体" w:cs="宋体"/>
          <w:highlight w:val="none"/>
        </w:rPr>
        <w:t>7.4 费用的调整</w:t>
      </w:r>
    </w:p>
    <w:p w14:paraId="016DF888">
      <w:pPr>
        <w:snapToGrid w:val="0"/>
        <w:spacing w:line="360" w:lineRule="auto"/>
        <w:ind w:firstLine="420" w:firstLineChars="200"/>
        <w:rPr>
          <w:rFonts w:hint="eastAsia" w:ascii="宋体" w:hAnsi="宋体" w:cs="宋体"/>
          <w:highlight w:val="none"/>
        </w:rPr>
      </w:pPr>
      <w:r>
        <w:rPr>
          <w:rFonts w:hint="eastAsia" w:ascii="宋体" w:hAnsi="宋体" w:cs="宋体"/>
          <w:highlight w:val="none"/>
        </w:rPr>
        <w:t>本款约定为：</w:t>
      </w:r>
    </w:p>
    <w:p w14:paraId="506EFD6F">
      <w:pPr>
        <w:snapToGrid w:val="0"/>
        <w:spacing w:line="360" w:lineRule="auto"/>
        <w:ind w:firstLine="420" w:firstLineChars="200"/>
        <w:rPr>
          <w:rFonts w:hint="eastAsia" w:ascii="宋体" w:hAnsi="宋体" w:cs="宋体"/>
          <w:highlight w:val="none"/>
        </w:rPr>
      </w:pPr>
      <w:r>
        <w:rPr>
          <w:rFonts w:hint="eastAsia" w:ascii="宋体" w:hAnsi="宋体" w:cs="宋体"/>
          <w:highlight w:val="none"/>
        </w:rPr>
        <w:t>7.4.1 在合同实施期间勘察咨询费不随国家政策变化和物价波动等原因进行调整，方案变更、法律、法规、规范和标准变更等均不能作为承包人的索赔依据，承包人应将该风险考虑在投标报价中。</w:t>
      </w:r>
    </w:p>
    <w:p w14:paraId="55670139">
      <w:pPr>
        <w:snapToGrid w:val="0"/>
        <w:spacing w:line="360" w:lineRule="auto"/>
        <w:ind w:firstLine="420" w:firstLineChars="200"/>
        <w:rPr>
          <w:rFonts w:hint="eastAsia" w:ascii="宋体" w:hAnsi="宋体" w:cs="宋体"/>
          <w:highlight w:val="none"/>
        </w:rPr>
      </w:pPr>
    </w:p>
    <w:p w14:paraId="7E9A5B1E">
      <w:pPr>
        <w:snapToGrid w:val="0"/>
        <w:spacing w:line="360" w:lineRule="auto"/>
        <w:ind w:firstLine="420" w:firstLineChars="200"/>
        <w:rPr>
          <w:rFonts w:hint="eastAsia" w:ascii="宋体" w:hAnsi="宋体" w:cs="宋体"/>
          <w:highlight w:val="none"/>
        </w:rPr>
      </w:pPr>
      <w:r>
        <w:rPr>
          <w:rFonts w:hint="eastAsia" w:ascii="宋体" w:hAnsi="宋体" w:cs="宋体"/>
          <w:highlight w:val="none"/>
        </w:rPr>
        <w:t>7.5.1 承包人在签订合同之前，向发包人提交金额为签约合同价的5%（或2%，如承包人为中小微企业时）的履约保证金。承包人未按约定提交履约保证金的，视为放弃中标资格，发包人有权不予与其签订合同；因此给发包人造成损失的，承包人还应承担相应的赔偿责任。</w:t>
      </w:r>
    </w:p>
    <w:p w14:paraId="424C7CDA">
      <w:pPr>
        <w:snapToGrid w:val="0"/>
        <w:spacing w:line="360" w:lineRule="auto"/>
        <w:ind w:firstLine="420" w:firstLineChars="200"/>
        <w:rPr>
          <w:rFonts w:hint="eastAsia" w:ascii="宋体" w:hAnsi="宋体" w:cs="宋体"/>
          <w:highlight w:val="none"/>
        </w:rPr>
      </w:pPr>
      <w:r>
        <w:rPr>
          <w:rFonts w:hint="eastAsia" w:ascii="宋体" w:hAnsi="宋体" w:cs="宋体"/>
          <w:highlight w:val="none"/>
        </w:rPr>
        <w:t>7.5.2 履约保证金以支票、汇票、本票或者金融机构、担保机构出具的保函等非现金形式提交。</w:t>
      </w:r>
    </w:p>
    <w:p w14:paraId="0572393C">
      <w:pPr>
        <w:snapToGrid w:val="0"/>
        <w:spacing w:line="360" w:lineRule="auto"/>
        <w:ind w:firstLine="420" w:firstLineChars="200"/>
        <w:rPr>
          <w:rFonts w:hint="eastAsia" w:ascii="宋体" w:hAnsi="宋体" w:cs="宋体"/>
          <w:highlight w:val="none"/>
        </w:rPr>
      </w:pPr>
      <w:r>
        <w:rPr>
          <w:rFonts w:hint="eastAsia" w:ascii="宋体" w:hAnsi="宋体" w:cs="宋体"/>
          <w:highlight w:val="none"/>
        </w:rPr>
        <w:t>（1）若采用银行保函形式，应采用采购文件所附的格式，由国有商业或股份制商业银行出具。并保证其有效。执行本条规定所需的费用由承包人承担。保函的正本由发包人保存。</w:t>
      </w:r>
    </w:p>
    <w:p w14:paraId="0FF9B8B5">
      <w:pPr>
        <w:snapToGrid w:val="0"/>
        <w:spacing w:line="360" w:lineRule="auto"/>
        <w:ind w:firstLine="420" w:firstLineChars="200"/>
        <w:rPr>
          <w:rFonts w:hint="eastAsia" w:ascii="宋体" w:hAnsi="宋体" w:cs="宋体"/>
          <w:highlight w:val="none"/>
        </w:rPr>
      </w:pPr>
      <w:r>
        <w:rPr>
          <w:rFonts w:hint="eastAsia" w:ascii="宋体" w:hAnsi="宋体" w:cs="宋体"/>
          <w:highlight w:val="none"/>
        </w:rPr>
        <w:t>（2）若采用银行转账形式，应当从承包人基本账户转出，且全额一次性转入发包人指定账号，并注明</w:t>
      </w:r>
      <w:r>
        <w:rPr>
          <w:rFonts w:hint="eastAsia" w:ascii="宋体" w:hAnsi="宋体" w:cs="宋体"/>
          <w:b/>
          <w:bCs/>
          <w:highlight w:val="none"/>
        </w:rPr>
        <w:t>“</w:t>
      </w:r>
      <w:r>
        <w:rPr>
          <w:rFonts w:hint="eastAsia" w:ascii="宋体" w:hAnsi="宋体" w:cs="宋体"/>
          <w:b/>
          <w:bCs/>
          <w:highlight w:val="none"/>
          <w:lang w:eastAsia="zh-CN"/>
        </w:rPr>
        <w:t>桂江（莲花大桥至桂江河口）航道扩建工程工程可行性研究服务</w:t>
      </w:r>
      <w:r>
        <w:rPr>
          <w:rFonts w:hint="eastAsia" w:ascii="宋体" w:hAnsi="宋体" w:cs="宋体"/>
          <w:b/>
          <w:bCs/>
          <w:highlight w:val="none"/>
        </w:rPr>
        <w:t>采购项目履约保证金”</w:t>
      </w:r>
      <w:r>
        <w:rPr>
          <w:rFonts w:hint="eastAsia" w:ascii="宋体" w:hAnsi="宋体" w:cs="宋体"/>
          <w:highlight w:val="none"/>
        </w:rPr>
        <w:t>，并且确保在中标通知书发出之日起25日内到账，否则，其履约担保视为无效。</w:t>
      </w:r>
    </w:p>
    <w:p w14:paraId="16050F82">
      <w:pPr>
        <w:snapToGrid w:val="0"/>
        <w:spacing w:line="360" w:lineRule="auto"/>
        <w:ind w:firstLine="420" w:firstLineChars="200"/>
        <w:rPr>
          <w:rFonts w:hint="eastAsia" w:ascii="宋体" w:hAnsi="宋体" w:cs="宋体"/>
          <w:b/>
          <w:bCs/>
          <w:szCs w:val="21"/>
          <w:highlight w:val="none"/>
        </w:rPr>
      </w:pPr>
      <w:r>
        <w:rPr>
          <w:rFonts w:hint="eastAsia" w:ascii="宋体" w:hAnsi="宋体" w:cs="宋体"/>
          <w:highlight w:val="none"/>
        </w:rPr>
        <w:t>7.5.3 履约担保有效期自发包人与承包人签订的合同生效之日起至承包人履行完毕本合同项下所有工作内容且有关报告取得主管部门批复之日。履约担保在承包人按合同要求完成全部勘察咨询工作并提交全部合格的资料，并且有关报告取得主管部门批复后28天内退还承包人，履约保证金不计利息。</w:t>
      </w:r>
    </w:p>
    <w:p w14:paraId="24975C74">
      <w:pPr>
        <w:spacing w:line="460" w:lineRule="exact"/>
        <w:ind w:firstLine="420" w:firstLineChars="200"/>
        <w:rPr>
          <w:szCs w:val="21"/>
          <w:highlight w:val="none"/>
        </w:rPr>
      </w:pPr>
    </w:p>
    <w:p w14:paraId="2881FC5D">
      <w:pPr>
        <w:snapToGrid w:val="0"/>
        <w:spacing w:line="360" w:lineRule="auto"/>
        <w:ind w:firstLine="422" w:firstLineChars="200"/>
        <w:rPr>
          <w:rFonts w:hint="eastAsia" w:ascii="宋体" w:hAnsi="宋体" w:cs="宋体"/>
          <w:b/>
          <w:bCs/>
          <w:szCs w:val="21"/>
          <w:highlight w:val="none"/>
        </w:rPr>
      </w:pPr>
    </w:p>
    <w:p w14:paraId="615AB62D">
      <w:pPr>
        <w:pStyle w:val="34"/>
        <w:spacing w:before="480" w:beforeLines="0" w:after="240" w:afterLines="0"/>
        <w:outlineLvl w:val="2"/>
        <w:rPr>
          <w:rFonts w:hAnsi="宋体"/>
          <w:b/>
          <w:color w:val="auto"/>
          <w:highlight w:val="none"/>
        </w:rPr>
      </w:pPr>
      <w:bookmarkStart w:id="331" w:name="_Toc335722006"/>
      <w:bookmarkStart w:id="332" w:name="_Toc335660924"/>
      <w:bookmarkStart w:id="333" w:name="_Toc326241916"/>
      <w:bookmarkStart w:id="334" w:name="_Toc3928"/>
      <w:bookmarkStart w:id="335" w:name="_Toc3241"/>
      <w:bookmarkStart w:id="336" w:name="_Toc346269085"/>
      <w:bookmarkStart w:id="337" w:name="_Toc446919494"/>
      <w:bookmarkStart w:id="338" w:name="_Toc19183"/>
      <w:bookmarkStart w:id="339" w:name="_Toc20927"/>
      <w:bookmarkStart w:id="340" w:name="_Toc1517"/>
      <w:bookmarkStart w:id="341" w:name="_Toc16811"/>
      <w:bookmarkStart w:id="342" w:name="_Toc32674"/>
      <w:bookmarkStart w:id="343" w:name="_Toc89866148"/>
      <w:bookmarkStart w:id="344" w:name="_Toc346269505"/>
      <w:bookmarkStart w:id="345" w:name="_Toc2643"/>
      <w:r>
        <w:rPr>
          <w:rFonts w:hAnsi="宋体"/>
          <w:b/>
          <w:color w:val="auto"/>
          <w:highlight w:val="none"/>
        </w:rPr>
        <w:t xml:space="preserve">8. </w:t>
      </w:r>
      <w:bookmarkEnd w:id="331"/>
      <w:bookmarkEnd w:id="332"/>
      <w:bookmarkEnd w:id="333"/>
      <w:r>
        <w:rPr>
          <w:rFonts w:hAnsi="宋体"/>
          <w:b/>
          <w:color w:val="auto"/>
          <w:highlight w:val="none"/>
        </w:rPr>
        <w:t>其他</w:t>
      </w:r>
      <w:bookmarkEnd w:id="334"/>
      <w:bookmarkEnd w:id="335"/>
      <w:bookmarkEnd w:id="336"/>
      <w:bookmarkEnd w:id="337"/>
      <w:bookmarkEnd w:id="338"/>
      <w:bookmarkEnd w:id="339"/>
      <w:bookmarkEnd w:id="340"/>
      <w:bookmarkEnd w:id="341"/>
      <w:bookmarkEnd w:id="342"/>
      <w:bookmarkEnd w:id="343"/>
      <w:bookmarkEnd w:id="344"/>
      <w:bookmarkEnd w:id="345"/>
    </w:p>
    <w:p w14:paraId="797FECC7">
      <w:pPr>
        <w:spacing w:line="360" w:lineRule="auto"/>
        <w:ind w:firstLine="420" w:firstLineChars="200"/>
        <w:rPr>
          <w:rFonts w:hint="eastAsia" w:ascii="宋体" w:hAnsi="宋体" w:cs="宋体"/>
          <w:highlight w:val="none"/>
        </w:rPr>
      </w:pPr>
      <w:r>
        <w:rPr>
          <w:rFonts w:hint="eastAsia" w:ascii="宋体" w:hAnsi="宋体" w:cs="宋体"/>
          <w:highlight w:val="none"/>
        </w:rPr>
        <w:t>8.3 争议的解决</w:t>
      </w:r>
    </w:p>
    <w:p w14:paraId="3179EB91">
      <w:pPr>
        <w:spacing w:line="360" w:lineRule="auto"/>
        <w:ind w:firstLine="420" w:firstLineChars="200"/>
        <w:rPr>
          <w:rFonts w:hint="eastAsia" w:ascii="宋体" w:hAnsi="宋体" w:cs="宋体"/>
          <w:highlight w:val="none"/>
        </w:rPr>
      </w:pPr>
      <w:r>
        <w:rPr>
          <w:rFonts w:hint="eastAsia" w:ascii="宋体" w:hAnsi="宋体" w:cs="宋体"/>
          <w:highlight w:val="none"/>
        </w:rPr>
        <w:t>本款约定为：争议的终解决方式：向北海海事法院诉讼。</w:t>
      </w:r>
    </w:p>
    <w:p w14:paraId="37D4CD17">
      <w:pPr>
        <w:spacing w:line="360" w:lineRule="auto"/>
        <w:ind w:firstLine="420" w:firstLineChars="200"/>
        <w:rPr>
          <w:rFonts w:hint="eastAsia" w:ascii="宋体" w:hAnsi="宋体" w:cs="宋体"/>
          <w:highlight w:val="none"/>
        </w:rPr>
      </w:pPr>
      <w:r>
        <w:rPr>
          <w:rFonts w:hint="eastAsia" w:ascii="宋体" w:hAnsi="宋体" w:cs="宋体"/>
          <w:highlight w:val="none"/>
        </w:rPr>
        <w:t>因本合同一方违约而产生的一切法律纠纷，守约方为解决争议所产生的诉讼费、仲裁费、差旅费、律师代理费、鉴定费、公证费、合理调查费、保全费、诉讼财产保全保险费及执行费等，均由违约方承担。</w:t>
      </w:r>
    </w:p>
    <w:p w14:paraId="4C66D2BF">
      <w:pPr>
        <w:spacing w:line="360" w:lineRule="auto"/>
        <w:ind w:firstLine="420" w:firstLineChars="200"/>
        <w:rPr>
          <w:rFonts w:hint="eastAsia" w:ascii="宋体" w:hAnsi="宋体" w:cs="宋体"/>
          <w:highlight w:val="none"/>
        </w:rPr>
      </w:pPr>
      <w:r>
        <w:rPr>
          <w:rFonts w:hint="eastAsia" w:ascii="宋体" w:hAnsi="宋体" w:cs="宋体"/>
          <w:highlight w:val="none"/>
        </w:rPr>
        <w:t>8.4 农民工工资的发放：在合同实施期间，承包人应按国家、地方有关规定保障足额发放所聘参与本工程的农民工的工资，不得以任何理由和借口拖欠农民工的工资。</w:t>
      </w:r>
    </w:p>
    <w:p w14:paraId="3B1EFF42">
      <w:pPr>
        <w:spacing w:line="360" w:lineRule="auto"/>
        <w:ind w:firstLine="420" w:firstLineChars="200"/>
        <w:rPr>
          <w:rFonts w:hint="eastAsia" w:ascii="宋体" w:hAnsi="宋体" w:cs="宋体"/>
          <w:highlight w:val="none"/>
        </w:rPr>
      </w:pPr>
      <w:r>
        <w:rPr>
          <w:rFonts w:hint="eastAsia" w:ascii="宋体" w:hAnsi="宋体" w:cs="宋体"/>
          <w:highlight w:val="none"/>
        </w:rPr>
        <w:t>因拖欠农民工工资引起的一切纠纷，均由承包人自行承担责任。</w:t>
      </w:r>
    </w:p>
    <w:p w14:paraId="741D04CB">
      <w:pPr>
        <w:spacing w:line="360" w:lineRule="auto"/>
        <w:ind w:firstLine="420" w:firstLineChars="200"/>
        <w:rPr>
          <w:rFonts w:hint="eastAsia" w:ascii="宋体" w:hAnsi="宋体" w:cs="宋体"/>
          <w:highlight w:val="none"/>
        </w:rPr>
      </w:pPr>
      <w:r>
        <w:rPr>
          <w:rFonts w:hint="eastAsia" w:ascii="宋体" w:hAnsi="宋体" w:cs="宋体"/>
          <w:highlight w:val="none"/>
        </w:rPr>
        <w:t>8.5 资料保密</w:t>
      </w:r>
    </w:p>
    <w:p w14:paraId="506DD0F0">
      <w:pPr>
        <w:spacing w:line="360" w:lineRule="auto"/>
        <w:ind w:firstLine="420" w:firstLineChars="200"/>
        <w:rPr>
          <w:rFonts w:hint="eastAsia" w:ascii="宋体" w:hAnsi="宋体" w:cs="宋体"/>
          <w:highlight w:val="none"/>
        </w:rPr>
      </w:pPr>
      <w:r>
        <w:rPr>
          <w:rFonts w:hint="eastAsia" w:ascii="宋体" w:hAnsi="宋体" w:cs="宋体"/>
          <w:highlight w:val="none"/>
        </w:rPr>
        <w:t>除法律规定或合同另有约定外，未经发包人同意，承包人不得将发包人提供的图纸、文件以及声明需要保密的资料信息等商业秘密泄露给第三方。保密义务长期有效，不因本合同的终止、解除等事由失去效力。</w:t>
      </w:r>
    </w:p>
    <w:p w14:paraId="244ECC76">
      <w:pPr>
        <w:spacing w:line="360" w:lineRule="auto"/>
        <w:ind w:firstLine="420" w:firstLineChars="200"/>
        <w:rPr>
          <w:rFonts w:hint="eastAsia" w:ascii="宋体" w:hAnsi="宋体" w:cs="宋体"/>
          <w:highlight w:val="none"/>
        </w:rPr>
      </w:pPr>
      <w:r>
        <w:rPr>
          <w:rFonts w:hint="eastAsia" w:ascii="宋体" w:hAnsi="宋体" w:cs="宋体"/>
          <w:highlight w:val="none"/>
        </w:rPr>
        <w:t>8.6通知送达</w:t>
      </w:r>
    </w:p>
    <w:p w14:paraId="20613D23">
      <w:pPr>
        <w:spacing w:line="360" w:lineRule="auto"/>
        <w:ind w:firstLine="420" w:firstLineChars="200"/>
        <w:rPr>
          <w:rFonts w:hint="eastAsia" w:ascii="宋体" w:hAnsi="宋体" w:cs="宋体"/>
          <w:szCs w:val="21"/>
          <w:highlight w:val="none"/>
        </w:rPr>
      </w:pPr>
      <w:r>
        <w:rPr>
          <w:rFonts w:hint="eastAsia" w:ascii="宋体" w:hAnsi="宋体" w:cs="宋体"/>
          <w:highlight w:val="none"/>
        </w:rPr>
        <w:t>本合同一方发给对方的文件均以本合同载明的地址、电话等通讯方式为准，若一方变更地址、电话等通讯信息的，应即时以书面形式通知对方，否则，通知人按合同中对方的地址、电话等通讯方式发给对方的文件即视为通知人履行了送达文件的义务。如因合同中一方地址错误或地址变更没有书面通知造成送达不能的，由该方自行承担一切损失和责任。各类书面通知以书面文件为准，接收方签收之时起即为送达。无法直接传送的，市区内自文件邮寄之日起三天后视为已送达，市区外自发送之日起五天后视为已送达。</w:t>
      </w:r>
    </w:p>
    <w:p w14:paraId="150AE4B0">
      <w:pPr>
        <w:spacing w:line="360" w:lineRule="auto"/>
        <w:ind w:firstLine="420" w:firstLineChars="200"/>
        <w:rPr>
          <w:rFonts w:hint="eastAsia"/>
          <w:szCs w:val="21"/>
          <w:highlight w:val="none"/>
        </w:rPr>
      </w:pPr>
      <w:r>
        <w:rPr>
          <w:rFonts w:hint="eastAsia"/>
          <w:szCs w:val="21"/>
          <w:highlight w:val="none"/>
        </w:rPr>
        <w:t>若本合同一方或有关机关（包括但不限于人民法院、仲裁机构、公证处等）按上述约定的地址向对方发出邮件后，无论被签收或被退回或者被拒收的，均应视为该邮件内容已送达给对方，由此而产生的责任及后果由对方自行承担。</w:t>
      </w:r>
    </w:p>
    <w:p w14:paraId="793E888B">
      <w:pPr>
        <w:spacing w:line="360" w:lineRule="auto"/>
        <w:ind w:firstLine="420" w:firstLineChars="200"/>
        <w:rPr>
          <w:rFonts w:hint="eastAsia" w:ascii="宋体" w:hAnsi="宋体" w:cs="宋体"/>
          <w:szCs w:val="21"/>
          <w:highlight w:val="none"/>
        </w:rPr>
      </w:pPr>
      <w:r>
        <w:rPr>
          <w:rFonts w:hint="eastAsia" w:ascii="宋体" w:hAnsi="宋体" w:cs="宋体"/>
          <w:highlight w:val="none"/>
        </w:rPr>
        <w:t>8.8</w:t>
      </w:r>
      <w:r>
        <w:rPr>
          <w:rFonts w:hint="eastAsia" w:ascii="宋体" w:hAnsi="宋体" w:cs="宋体"/>
          <w:szCs w:val="21"/>
          <w:highlight w:val="none"/>
        </w:rPr>
        <w:t>履约验收方案</w:t>
      </w:r>
    </w:p>
    <w:p w14:paraId="419C32A6">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8.8.1 履约验收主体</w:t>
      </w:r>
    </w:p>
    <w:p w14:paraId="055A74C0">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由采购人</w:t>
      </w:r>
      <w:r>
        <w:rPr>
          <w:szCs w:val="21"/>
          <w:highlight w:val="none"/>
        </w:rPr>
        <w:t>按照《广西壮族自治区港航发展中心自行采购管理办法》</w:t>
      </w:r>
      <w:r>
        <w:rPr>
          <w:rFonts w:hint="eastAsia" w:ascii="宋体" w:hAnsi="宋体" w:cs="宋体"/>
          <w:szCs w:val="21"/>
          <w:highlight w:val="none"/>
        </w:rPr>
        <w:t>规定的验收程序与要求，对采购合同的履约情况进行验收。</w:t>
      </w:r>
    </w:p>
    <w:p w14:paraId="5D46F43F">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8.8.2 履约验收时间</w:t>
      </w:r>
    </w:p>
    <w:p w14:paraId="1195D9CF">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按照</w:t>
      </w:r>
      <w:r>
        <w:rPr>
          <w:szCs w:val="21"/>
          <w:highlight w:val="none"/>
        </w:rPr>
        <w:t>《广西壮族自治区港航发展中心自行采购管理办法》</w:t>
      </w:r>
      <w:r>
        <w:rPr>
          <w:rFonts w:hint="eastAsia" w:ascii="宋体" w:hAnsi="宋体" w:cs="宋体"/>
          <w:szCs w:val="21"/>
          <w:highlight w:val="none"/>
        </w:rPr>
        <w:t xml:space="preserve">规定，自成交供应商履行完合同义务之日起七个工作日内组织验收,并提出验收意见。 </w:t>
      </w:r>
    </w:p>
    <w:p w14:paraId="1C2909A8">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8.8.3 履约验收方式</w:t>
      </w:r>
    </w:p>
    <w:p w14:paraId="75AF1D53">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 xml:space="preserve"> 由采购人成立验收小组，按照采购合同对供应商的履约情况进行验收   。 </w:t>
      </w:r>
    </w:p>
    <w:p w14:paraId="77F8C1D8">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8.8.4 履约验收程序</w:t>
      </w:r>
    </w:p>
    <w:p w14:paraId="115D5685">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参照《广西壮族自治区政府采购项目履约验收管理办法》，验收程序和要求如下：</w:t>
      </w:r>
    </w:p>
    <w:p w14:paraId="25913629">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（1）成立验收小组。验收小组原则上应由三人以上单数组成，验收小组组长由采购部门的负责人担任，成员为原临时合议小组人员，并从相关业务部门安排1人作为监督人。</w:t>
      </w:r>
    </w:p>
    <w:p w14:paraId="2827D5D5">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（2）组织验收。验收小组应当按照采购合同对供应商的履约情况进行验收。</w:t>
      </w:r>
    </w:p>
    <w:p w14:paraId="3B110AC4">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验收小组应当结合合同项目验收清单和标准，对供应商的完成合同情况进行验收。</w:t>
      </w:r>
    </w:p>
    <w:p w14:paraId="1EC40BAB">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（3）出具验收书。验收小组完成验收后，应当出具验收书，由所有验收人签字，作为支付采购尾款的必备资料。</w:t>
      </w:r>
    </w:p>
    <w:p w14:paraId="5CB554D3">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（4）验收结果公告。将验收结果（验收书）在本单位范围内进行公告，公告期不得少于5个工作日。</w:t>
      </w:r>
    </w:p>
    <w:p w14:paraId="1C399BB2">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8.8.5 履约验收内容</w:t>
      </w:r>
    </w:p>
    <w:p w14:paraId="18ABE078">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按合同约定完成</w:t>
      </w:r>
      <w:r>
        <w:rPr>
          <w:rFonts w:hint="eastAsia" w:ascii="宋体" w:hAnsi="宋体" w:cs="宋体"/>
          <w:szCs w:val="21"/>
          <w:highlight w:val="none"/>
          <w:lang w:eastAsia="zh-CN"/>
        </w:rPr>
        <w:t>桂江（莲花大桥至桂江河口）航道扩建工程工程可行性研究服务</w:t>
      </w:r>
      <w:r>
        <w:rPr>
          <w:rFonts w:hint="eastAsia" w:ascii="宋体" w:hAnsi="宋体" w:cs="宋体"/>
          <w:szCs w:val="21"/>
          <w:highlight w:val="none"/>
        </w:rPr>
        <w:t>。</w:t>
      </w:r>
    </w:p>
    <w:p w14:paraId="5FF301C3">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8.8.6 履约验收验收标准</w:t>
      </w:r>
    </w:p>
    <w:p w14:paraId="79FC894B">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合同签订后60日历天。具体如下：签订合同后45日历天内提交工程可行性研究报告送审稿，并在工程可行性研究报告</w:t>
      </w:r>
      <w:r>
        <w:rPr>
          <w:rFonts w:hint="eastAsia" w:ascii="宋体" w:hAnsi="宋体" w:cs="宋体"/>
          <w:szCs w:val="21"/>
          <w:highlight w:val="none"/>
          <w:lang w:eastAsia="zh-CN"/>
        </w:rPr>
        <w:t>评审会后15日内</w:t>
      </w:r>
      <w:r>
        <w:rPr>
          <w:rFonts w:hint="eastAsia" w:ascii="宋体" w:hAnsi="宋体" w:cs="宋体"/>
          <w:szCs w:val="21"/>
          <w:highlight w:val="none"/>
        </w:rPr>
        <w:t>完成报批稿。并配合采购人最终取得批复。</w:t>
      </w:r>
    </w:p>
    <w:p w14:paraId="301F9AEC">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主管部门审查、审批时间另行计算。</w:t>
      </w:r>
    </w:p>
    <w:p w14:paraId="6B7E6FC0">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8.8.7 履约验收其他事项</w:t>
      </w:r>
    </w:p>
    <w:p w14:paraId="39D682C8">
      <w:pPr>
        <w:spacing w:line="360" w:lineRule="auto"/>
        <w:ind w:firstLine="420" w:firstLineChars="200"/>
        <w:rPr>
          <w:rFonts w:hint="eastAsia" w:ascii="宋体" w:hAnsi="宋体" w:cs="宋体"/>
          <w:szCs w:val="21"/>
          <w:highlight w:val="none"/>
        </w:rPr>
      </w:pPr>
      <w:r>
        <w:rPr>
          <w:szCs w:val="21"/>
          <w:highlight w:val="none"/>
        </w:rPr>
        <w:t>履约验收相关费用（如有）由承包人承担</w:t>
      </w:r>
      <w:r>
        <w:rPr>
          <w:rFonts w:hint="eastAsia" w:ascii="宋体" w:hAnsi="宋体" w:cs="宋体"/>
          <w:szCs w:val="21"/>
          <w:highlight w:val="none"/>
        </w:rPr>
        <w:t>。</w:t>
      </w:r>
    </w:p>
    <w:p w14:paraId="19158CFC">
      <w:pPr>
        <w:spacing w:line="360" w:lineRule="auto"/>
        <w:outlineLvl w:val="1"/>
        <w:rPr>
          <w:rFonts w:hint="eastAsia" w:ascii="宋体" w:hAnsi="宋体" w:cs="宋体"/>
          <w:szCs w:val="21"/>
          <w:highlight w:val="none"/>
        </w:rPr>
      </w:pPr>
      <w:r>
        <w:rPr>
          <w:rFonts w:ascii="宋体" w:hAnsi="宋体" w:cs="宋体"/>
          <w:szCs w:val="21"/>
          <w:highlight w:val="none"/>
        </w:rPr>
        <w:br w:type="page"/>
      </w:r>
      <w:bookmarkStart w:id="346" w:name="_Toc18557"/>
      <w:bookmarkStart w:id="347" w:name="_Toc21223"/>
      <w:bookmarkStart w:id="348" w:name="_Toc38903737"/>
      <w:bookmarkStart w:id="349" w:name="_Toc20218"/>
      <w:bookmarkStart w:id="350" w:name="_Toc3500"/>
      <w:bookmarkStart w:id="351" w:name="_Toc6962"/>
      <w:bookmarkStart w:id="352" w:name="_Toc6279"/>
      <w:bookmarkStart w:id="353" w:name="_Toc89866149"/>
      <w:bookmarkStart w:id="354" w:name="_Toc20796"/>
      <w:bookmarkStart w:id="355" w:name="_Toc8973"/>
      <w:r>
        <w:rPr>
          <w:rFonts w:hint="eastAsia" w:ascii="宋体" w:hAnsi="宋体" w:cs="宋体"/>
          <w:szCs w:val="21"/>
          <w:highlight w:val="none"/>
        </w:rPr>
        <w:t>附件1  合同协议书</w:t>
      </w:r>
      <w:bookmarkEnd w:id="346"/>
      <w:bookmarkEnd w:id="347"/>
      <w:bookmarkEnd w:id="348"/>
      <w:bookmarkEnd w:id="349"/>
      <w:bookmarkEnd w:id="350"/>
      <w:bookmarkEnd w:id="351"/>
      <w:bookmarkEnd w:id="352"/>
      <w:bookmarkEnd w:id="353"/>
      <w:bookmarkEnd w:id="354"/>
      <w:bookmarkEnd w:id="355"/>
    </w:p>
    <w:p w14:paraId="311A47C9">
      <w:pPr>
        <w:snapToGrid w:val="0"/>
        <w:spacing w:line="360" w:lineRule="auto"/>
        <w:jc w:val="center"/>
        <w:rPr>
          <w:rFonts w:hint="eastAsia" w:ascii="宋体" w:hAnsi="宋体" w:cs="宋体"/>
          <w:szCs w:val="21"/>
          <w:highlight w:val="none"/>
        </w:rPr>
      </w:pPr>
    </w:p>
    <w:p w14:paraId="689CC5B9">
      <w:pPr>
        <w:snapToGrid w:val="0"/>
        <w:spacing w:line="360" w:lineRule="auto"/>
        <w:jc w:val="center"/>
        <w:rPr>
          <w:rFonts w:hint="eastAsia" w:ascii="宋体" w:hAnsi="宋体" w:cs="宋体"/>
          <w:b/>
          <w:szCs w:val="21"/>
          <w:highlight w:val="none"/>
        </w:rPr>
      </w:pPr>
      <w:r>
        <w:rPr>
          <w:rFonts w:hint="eastAsia" w:ascii="宋体" w:hAnsi="宋体" w:cs="宋体"/>
          <w:b/>
          <w:szCs w:val="21"/>
          <w:highlight w:val="none"/>
        </w:rPr>
        <w:t>合同协议书</w:t>
      </w:r>
    </w:p>
    <w:p w14:paraId="3A3F3DA2">
      <w:pPr>
        <w:snapToGrid w:val="0"/>
        <w:spacing w:line="360" w:lineRule="auto"/>
        <w:jc w:val="center"/>
        <w:rPr>
          <w:rFonts w:hint="eastAsia" w:ascii="宋体" w:hAnsi="宋体" w:cs="宋体"/>
          <w:b/>
          <w:szCs w:val="21"/>
          <w:highlight w:val="none"/>
        </w:rPr>
      </w:pPr>
    </w:p>
    <w:p w14:paraId="317D6B2E">
      <w:pPr>
        <w:snapToGrid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u w:val="single"/>
        </w:rPr>
        <w:t xml:space="preserve">广西壮族自治区港航发展中心 </w:t>
      </w:r>
      <w:r>
        <w:rPr>
          <w:rFonts w:hint="eastAsia" w:ascii="宋体" w:hAnsi="宋体" w:cs="宋体"/>
          <w:szCs w:val="21"/>
          <w:highlight w:val="none"/>
        </w:rPr>
        <w:t>(以下简称“甲方（发包人）”)通过</w:t>
      </w:r>
      <w:r>
        <w:rPr>
          <w:rFonts w:hint="eastAsia" w:ascii="宋体" w:hAnsi="宋体" w:cs="宋体"/>
          <w:szCs w:val="21"/>
          <w:highlight w:val="none"/>
          <w:u w:val="single"/>
        </w:rPr>
        <w:t xml:space="preserve">      </w:t>
      </w:r>
      <w:r>
        <w:rPr>
          <w:rFonts w:hint="eastAsia" w:ascii="宋体" w:hAnsi="宋体" w:cs="宋体"/>
          <w:szCs w:val="21"/>
          <w:highlight w:val="none"/>
        </w:rPr>
        <w:t>年</w:t>
      </w:r>
      <w:r>
        <w:rPr>
          <w:rFonts w:hint="eastAsia" w:ascii="宋体" w:hAnsi="宋体" w:cs="宋体"/>
          <w:szCs w:val="21"/>
          <w:highlight w:val="none"/>
          <w:u w:val="single"/>
        </w:rPr>
        <w:t xml:space="preserve">    </w:t>
      </w:r>
      <w:r>
        <w:rPr>
          <w:rFonts w:hint="eastAsia" w:ascii="宋体" w:hAnsi="宋体" w:cs="宋体"/>
          <w:szCs w:val="21"/>
          <w:highlight w:val="none"/>
        </w:rPr>
        <w:t>月</w:t>
      </w:r>
      <w:r>
        <w:rPr>
          <w:rFonts w:hint="eastAsia" w:ascii="宋体" w:hAnsi="宋体" w:cs="宋体"/>
          <w:szCs w:val="21"/>
          <w:highlight w:val="none"/>
          <w:u w:val="single"/>
        </w:rPr>
        <w:t xml:space="preserve">     </w:t>
      </w:r>
      <w:r>
        <w:rPr>
          <w:rFonts w:hint="eastAsia" w:ascii="宋体" w:hAnsi="宋体" w:cs="宋体"/>
          <w:szCs w:val="21"/>
          <w:highlight w:val="none"/>
        </w:rPr>
        <w:t>日的中标通知书，接受了</w:t>
      </w:r>
      <w:r>
        <w:rPr>
          <w:rFonts w:hint="eastAsia" w:ascii="宋体" w:hAnsi="宋体" w:cs="宋体"/>
          <w:szCs w:val="21"/>
          <w:highlight w:val="none"/>
          <w:u w:val="single"/>
        </w:rPr>
        <w:t xml:space="preserve">            </w:t>
      </w:r>
      <w:r>
        <w:rPr>
          <w:rFonts w:hint="eastAsia" w:ascii="宋体" w:hAnsi="宋体" w:cs="宋体"/>
          <w:szCs w:val="21"/>
          <w:highlight w:val="none"/>
        </w:rPr>
        <w:t>(以下简称“乙方（承包人）”)为</w:t>
      </w:r>
      <w:r>
        <w:rPr>
          <w:rFonts w:hint="eastAsia" w:ascii="宋体" w:hAnsi="宋体" w:cs="宋体"/>
          <w:szCs w:val="21"/>
          <w:highlight w:val="none"/>
          <w:u w:val="single"/>
        </w:rPr>
        <w:t xml:space="preserve">           </w:t>
      </w:r>
      <w:r>
        <w:rPr>
          <w:rFonts w:hint="eastAsia" w:ascii="宋体" w:hAnsi="宋体" w:cs="宋体"/>
          <w:szCs w:val="21"/>
          <w:highlight w:val="none"/>
        </w:rPr>
        <w:t>的工作承担单位。为此，甲、乙双方达成如下协议：</w:t>
      </w:r>
    </w:p>
    <w:p w14:paraId="0816C74D">
      <w:pPr>
        <w:snapToGrid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1.本协议书中所用术语的含义与合同条款中的含义相同。</w:t>
      </w:r>
    </w:p>
    <w:p w14:paraId="6246D788">
      <w:pPr>
        <w:snapToGrid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2.下列文件应作为本合同的组成部分，并互为补充和解释，但如有含义不清或互相矛盾之处，以如下排序在前者优先：</w:t>
      </w:r>
    </w:p>
    <w:p w14:paraId="4D1DBDE2">
      <w:pPr>
        <w:snapToGrid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(1)合同协议书及各种合同附件；</w:t>
      </w:r>
    </w:p>
    <w:p w14:paraId="7C8C0640">
      <w:pPr>
        <w:snapToGrid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(2)中标通知书；</w:t>
      </w:r>
    </w:p>
    <w:p w14:paraId="37BB3886">
      <w:pPr>
        <w:snapToGrid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(3)</w:t>
      </w:r>
      <w:r>
        <w:rPr>
          <w:rFonts w:hint="eastAsia" w:ascii="宋体" w:hAnsi="宋体" w:cs="宋体"/>
          <w:szCs w:val="21"/>
          <w:highlight w:val="none"/>
          <w:lang w:eastAsia="zh-CN"/>
        </w:rPr>
        <w:t>投标</w:t>
      </w:r>
      <w:r>
        <w:rPr>
          <w:rFonts w:hint="eastAsia" w:ascii="宋体" w:hAnsi="宋体" w:cs="宋体"/>
          <w:szCs w:val="21"/>
          <w:highlight w:val="none"/>
        </w:rPr>
        <w:t>函；</w:t>
      </w:r>
    </w:p>
    <w:p w14:paraId="4D3A61B1">
      <w:pPr>
        <w:snapToGrid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(4)专用合同条款；</w:t>
      </w:r>
    </w:p>
    <w:p w14:paraId="69411EC8">
      <w:pPr>
        <w:snapToGrid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(5)通用合同条款；</w:t>
      </w:r>
    </w:p>
    <w:p w14:paraId="17615EFD">
      <w:pPr>
        <w:snapToGrid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(6)采购</w:t>
      </w:r>
      <w:r>
        <w:rPr>
          <w:rFonts w:hint="eastAsia" w:ascii="宋体" w:hAnsi="宋体" w:cs="宋体"/>
          <w:szCs w:val="21"/>
          <w:highlight w:val="none"/>
          <w:lang w:eastAsia="zh-CN"/>
        </w:rPr>
        <w:t>需</w:t>
      </w:r>
      <w:r>
        <w:rPr>
          <w:rFonts w:hint="eastAsia" w:ascii="宋体" w:hAnsi="宋体" w:cs="宋体"/>
          <w:szCs w:val="21"/>
          <w:highlight w:val="none"/>
        </w:rPr>
        <w:t>求；</w:t>
      </w:r>
    </w:p>
    <w:p w14:paraId="65980F9C">
      <w:pPr>
        <w:snapToGrid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(7)报价清单；</w:t>
      </w:r>
    </w:p>
    <w:p w14:paraId="6AAC9331">
      <w:pPr>
        <w:snapToGrid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(8)</w:t>
      </w:r>
      <w:r>
        <w:rPr>
          <w:rFonts w:hint="eastAsia" w:ascii="宋体" w:hAnsi="宋体" w:cs="宋体"/>
          <w:szCs w:val="21"/>
          <w:highlight w:val="none"/>
          <w:lang w:eastAsia="zh-CN"/>
        </w:rPr>
        <w:t>工程可行性研究</w:t>
      </w:r>
      <w:r>
        <w:rPr>
          <w:rFonts w:hint="eastAsia" w:ascii="宋体" w:hAnsi="宋体" w:cs="宋体"/>
          <w:szCs w:val="21"/>
          <w:highlight w:val="none"/>
        </w:rPr>
        <w:t>方案；</w:t>
      </w:r>
    </w:p>
    <w:p w14:paraId="7E4B915F">
      <w:pPr>
        <w:snapToGrid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(9)构成本合同组成部分的其他文件(补遗书、澄清函)。</w:t>
      </w:r>
    </w:p>
    <w:p w14:paraId="29CFD506">
      <w:pPr>
        <w:snapToGrid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3.甲方（发包人）和乙方（承包人）双方的责任和义务及违约条款遵照合同条款的规定。</w:t>
      </w:r>
    </w:p>
    <w:p w14:paraId="658921C9">
      <w:pPr>
        <w:snapToGrid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4.合同总金额为人民币</w:t>
      </w:r>
      <w:r>
        <w:rPr>
          <w:rFonts w:hint="eastAsia" w:ascii="宋体" w:hAnsi="宋体" w:cs="宋体"/>
          <w:szCs w:val="21"/>
          <w:highlight w:val="none"/>
          <w:u w:val="single"/>
        </w:rPr>
        <w:t xml:space="preserve">         </w:t>
      </w:r>
      <w:r>
        <w:rPr>
          <w:rFonts w:hint="eastAsia" w:ascii="宋体" w:hAnsi="宋体" w:cs="宋体"/>
          <w:szCs w:val="21"/>
          <w:highlight w:val="none"/>
        </w:rPr>
        <w:t>，工期：</w:t>
      </w:r>
      <w:r>
        <w:rPr>
          <w:rFonts w:hint="eastAsia" w:ascii="宋体" w:hAnsi="宋体" w:cs="宋体"/>
          <w:szCs w:val="21"/>
          <w:highlight w:val="none"/>
          <w:u w:val="single"/>
        </w:rPr>
        <w:t xml:space="preserve">           </w:t>
      </w:r>
      <w:r>
        <w:rPr>
          <w:rFonts w:hint="eastAsia" w:ascii="宋体" w:hAnsi="宋体" w:cs="宋体"/>
          <w:szCs w:val="21"/>
          <w:highlight w:val="none"/>
        </w:rPr>
        <w:t>。本合同的总金额是完成本合同所规定义务的签约合同价，最终的合同结算价按合同专用条款7.2款约定计算。甲方（发包人）将按进度和合同条款相应规定支付。</w:t>
      </w:r>
    </w:p>
    <w:p w14:paraId="630FC416">
      <w:pPr>
        <w:snapToGrid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5.本合同协议书未尽事宜由双方协商解决。双方经协商可另行签订补充协议，补充协议是合同的组成部分。补充协议与合同不一致之处，以补充协议为准。</w:t>
      </w:r>
    </w:p>
    <w:p w14:paraId="17A04828">
      <w:pPr>
        <w:snapToGrid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6.本合同协议书经双方法定代表人或其委托代理人签章，并加盖双方单位公章后生效，合同费用结清后、在双方履行完本合同项下全部权利义务后终止。双方要恪守信誉，严格履行。</w:t>
      </w:r>
    </w:p>
    <w:p w14:paraId="4E7BE9E3">
      <w:pPr>
        <w:snapToGrid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6.本合同壹拾份，</w:t>
      </w:r>
      <w:r>
        <w:rPr>
          <w:rFonts w:hint="eastAsia" w:ascii="宋体" w:hAnsi="宋体" w:cs="宋体"/>
          <w:szCs w:val="21"/>
          <w:highlight w:val="none"/>
          <w:lang w:eastAsia="zh-CN"/>
        </w:rPr>
        <w:t>具有同等法律效力，甲方</w:t>
      </w:r>
      <w:r>
        <w:rPr>
          <w:rFonts w:hint="eastAsia" w:ascii="宋体" w:hAnsi="宋体" w:cs="宋体"/>
          <w:szCs w:val="21"/>
          <w:highlight w:val="none"/>
        </w:rPr>
        <w:t>执陆份</w:t>
      </w:r>
      <w:r>
        <w:rPr>
          <w:rFonts w:hint="eastAsia" w:ascii="宋体" w:hAnsi="宋体" w:cs="宋体"/>
          <w:szCs w:val="21"/>
          <w:highlight w:val="none"/>
          <w:lang w:eastAsia="zh-CN"/>
        </w:rPr>
        <w:t>，乙方执肆份</w:t>
      </w:r>
      <w:r>
        <w:rPr>
          <w:rFonts w:hint="eastAsia" w:ascii="宋体" w:hAnsi="宋体" w:cs="宋体"/>
          <w:szCs w:val="21"/>
          <w:highlight w:val="none"/>
        </w:rPr>
        <w:t>。</w:t>
      </w:r>
    </w:p>
    <w:p w14:paraId="444F2F50">
      <w:pPr>
        <w:snapToGrid w:val="0"/>
        <w:spacing w:line="360" w:lineRule="auto"/>
        <w:ind w:firstLine="420" w:firstLineChars="200"/>
        <w:rPr>
          <w:rFonts w:ascii="宋体" w:hAnsi="宋体" w:cs="宋体"/>
          <w:szCs w:val="21"/>
          <w:highlight w:val="none"/>
        </w:rPr>
      </w:pPr>
    </w:p>
    <w:p w14:paraId="4F36E6E2">
      <w:pPr>
        <w:snapToGrid w:val="0"/>
        <w:spacing w:line="360" w:lineRule="auto"/>
        <w:ind w:firstLine="420" w:firstLineChars="200"/>
        <w:rPr>
          <w:rFonts w:ascii="宋体" w:hAnsi="宋体" w:cs="宋体"/>
          <w:szCs w:val="21"/>
          <w:highlight w:val="none"/>
        </w:rPr>
      </w:pPr>
    </w:p>
    <w:p w14:paraId="1BDB0476">
      <w:pPr>
        <w:snapToGrid w:val="0"/>
        <w:spacing w:line="360" w:lineRule="auto"/>
        <w:ind w:firstLine="420" w:firstLineChars="200"/>
        <w:rPr>
          <w:rFonts w:ascii="宋体" w:hAnsi="宋体" w:cs="宋体"/>
          <w:szCs w:val="21"/>
          <w:highlight w:val="none"/>
        </w:rPr>
      </w:pPr>
    </w:p>
    <w:p w14:paraId="70060563">
      <w:pPr>
        <w:snapToGrid w:val="0"/>
        <w:spacing w:line="360" w:lineRule="auto"/>
        <w:ind w:firstLine="420" w:firstLineChars="200"/>
        <w:rPr>
          <w:rFonts w:ascii="宋体" w:hAnsi="宋体" w:cs="宋体"/>
          <w:szCs w:val="21"/>
          <w:highlight w:val="none"/>
        </w:rPr>
      </w:pPr>
    </w:p>
    <w:p w14:paraId="5F82DEAF">
      <w:pPr>
        <w:snapToGrid w:val="0"/>
        <w:spacing w:line="360" w:lineRule="auto"/>
        <w:ind w:firstLine="420" w:firstLineChars="200"/>
        <w:rPr>
          <w:rFonts w:hint="eastAsia" w:ascii="宋体" w:hAnsi="宋体" w:cs="宋体"/>
          <w:szCs w:val="21"/>
          <w:highlight w:val="none"/>
        </w:rPr>
      </w:pPr>
    </w:p>
    <w:tbl>
      <w:tblPr>
        <w:tblStyle w:val="25"/>
        <w:tblW w:w="8745" w:type="dxa"/>
        <w:jc w:val="center"/>
        <w:tblLayout w:type="autofit"/>
        <w:tblCellMar>
          <w:top w:w="0" w:type="dxa"/>
          <w:left w:w="108" w:type="dxa"/>
          <w:bottom w:w="0" w:type="dxa"/>
          <w:right w:w="108" w:type="dxa"/>
        </w:tblCellMar>
      </w:tblPr>
      <w:tblGrid>
        <w:gridCol w:w="4144"/>
        <w:gridCol w:w="240"/>
        <w:gridCol w:w="240"/>
        <w:gridCol w:w="4121"/>
      </w:tblGrid>
      <w:tr w14:paraId="145275FC">
        <w:tblPrEx>
          <w:tblCellMar>
            <w:top w:w="0" w:type="dxa"/>
            <w:left w:w="108" w:type="dxa"/>
            <w:bottom w:w="0" w:type="dxa"/>
            <w:right w:w="108" w:type="dxa"/>
          </w:tblCellMar>
        </w:tblPrEx>
        <w:trPr>
          <w:trHeight w:val="1662" w:hRule="atLeast"/>
          <w:jc w:val="center"/>
        </w:trPr>
        <w:tc>
          <w:tcPr>
            <w:tcW w:w="4144" w:type="dxa"/>
            <w:noWrap w:val="0"/>
            <w:vAlign w:val="top"/>
          </w:tcPr>
          <w:p w14:paraId="6B549D8E">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甲方：广西壮族自治区港航发展中心（盖章）</w:t>
            </w:r>
          </w:p>
        </w:tc>
        <w:tc>
          <w:tcPr>
            <w:tcW w:w="240" w:type="dxa"/>
            <w:noWrap w:val="0"/>
            <w:vAlign w:val="top"/>
          </w:tcPr>
          <w:p w14:paraId="57410BBC">
            <w:pPr>
              <w:pStyle w:val="5"/>
              <w:spacing w:line="360" w:lineRule="auto"/>
              <w:rPr>
                <w:rFonts w:hint="eastAsia" w:ascii="宋体" w:hAnsi="宋体" w:cs="宋体"/>
                <w:szCs w:val="21"/>
                <w:highlight w:val="none"/>
              </w:rPr>
            </w:pPr>
          </w:p>
        </w:tc>
        <w:tc>
          <w:tcPr>
            <w:tcW w:w="240" w:type="dxa"/>
            <w:noWrap w:val="0"/>
            <w:vAlign w:val="top"/>
          </w:tcPr>
          <w:p w14:paraId="5FECFB34">
            <w:pPr>
              <w:pStyle w:val="5"/>
              <w:spacing w:line="360" w:lineRule="auto"/>
              <w:rPr>
                <w:rFonts w:hint="eastAsia" w:ascii="宋体" w:hAnsi="宋体" w:cs="宋体"/>
                <w:szCs w:val="21"/>
                <w:highlight w:val="none"/>
              </w:rPr>
            </w:pPr>
          </w:p>
        </w:tc>
        <w:tc>
          <w:tcPr>
            <w:tcW w:w="4121" w:type="dxa"/>
            <w:noWrap w:val="0"/>
            <w:vAlign w:val="top"/>
          </w:tcPr>
          <w:p w14:paraId="2A7826B8">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乙方：</w:t>
            </w:r>
            <w:r>
              <w:rPr>
                <w:rFonts w:hint="eastAsia" w:ascii="宋体" w:hAnsi="宋体" w:cs="宋体"/>
                <w:szCs w:val="21"/>
                <w:highlight w:val="none"/>
                <w:u w:val="single"/>
              </w:rPr>
              <w:t xml:space="preserve">                     </w:t>
            </w:r>
            <w:r>
              <w:rPr>
                <w:rFonts w:hint="eastAsia" w:ascii="宋体" w:hAnsi="宋体" w:cs="宋体"/>
                <w:szCs w:val="21"/>
                <w:highlight w:val="none"/>
              </w:rPr>
              <w:t>（盖章）</w:t>
            </w:r>
          </w:p>
        </w:tc>
      </w:tr>
      <w:tr w14:paraId="20B4A0E5">
        <w:tblPrEx>
          <w:tblCellMar>
            <w:top w:w="0" w:type="dxa"/>
            <w:left w:w="108" w:type="dxa"/>
            <w:bottom w:w="0" w:type="dxa"/>
            <w:right w:w="108" w:type="dxa"/>
          </w:tblCellMar>
        </w:tblPrEx>
        <w:trPr>
          <w:jc w:val="center"/>
        </w:trPr>
        <w:tc>
          <w:tcPr>
            <w:tcW w:w="4144" w:type="dxa"/>
            <w:noWrap w:val="0"/>
            <w:vAlign w:val="top"/>
          </w:tcPr>
          <w:p w14:paraId="16D51882">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法定代表人</w:t>
            </w:r>
          </w:p>
        </w:tc>
        <w:tc>
          <w:tcPr>
            <w:tcW w:w="240" w:type="dxa"/>
            <w:noWrap w:val="0"/>
            <w:vAlign w:val="top"/>
          </w:tcPr>
          <w:p w14:paraId="2EB75BE3">
            <w:pPr>
              <w:pStyle w:val="5"/>
              <w:spacing w:line="360" w:lineRule="auto"/>
              <w:rPr>
                <w:rFonts w:hint="eastAsia" w:ascii="宋体" w:hAnsi="宋体" w:cs="宋体"/>
                <w:szCs w:val="21"/>
                <w:highlight w:val="none"/>
              </w:rPr>
            </w:pPr>
          </w:p>
        </w:tc>
        <w:tc>
          <w:tcPr>
            <w:tcW w:w="240" w:type="dxa"/>
            <w:noWrap w:val="0"/>
            <w:vAlign w:val="top"/>
          </w:tcPr>
          <w:p w14:paraId="1D8178C4">
            <w:pPr>
              <w:pStyle w:val="5"/>
              <w:spacing w:line="360" w:lineRule="auto"/>
              <w:rPr>
                <w:rFonts w:hint="eastAsia" w:ascii="宋体" w:hAnsi="宋体" w:cs="宋体"/>
                <w:szCs w:val="21"/>
                <w:highlight w:val="none"/>
              </w:rPr>
            </w:pPr>
          </w:p>
        </w:tc>
        <w:tc>
          <w:tcPr>
            <w:tcW w:w="4121" w:type="dxa"/>
            <w:noWrap w:val="0"/>
            <w:vAlign w:val="top"/>
          </w:tcPr>
          <w:p w14:paraId="1E0F78FC">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法定代表人</w:t>
            </w:r>
          </w:p>
        </w:tc>
      </w:tr>
      <w:tr w14:paraId="6CF81552">
        <w:tblPrEx>
          <w:tblCellMar>
            <w:top w:w="0" w:type="dxa"/>
            <w:left w:w="108" w:type="dxa"/>
            <w:bottom w:w="0" w:type="dxa"/>
            <w:right w:w="108" w:type="dxa"/>
          </w:tblCellMar>
        </w:tblPrEx>
        <w:trPr>
          <w:jc w:val="center"/>
        </w:trPr>
        <w:tc>
          <w:tcPr>
            <w:tcW w:w="4144" w:type="dxa"/>
            <w:noWrap w:val="0"/>
            <w:vAlign w:val="top"/>
          </w:tcPr>
          <w:p w14:paraId="47AC57B3">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或其委托代理人：</w:t>
            </w:r>
          </w:p>
          <w:p w14:paraId="2DDA6418">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（签章）</w:t>
            </w:r>
          </w:p>
        </w:tc>
        <w:tc>
          <w:tcPr>
            <w:tcW w:w="240" w:type="dxa"/>
            <w:noWrap w:val="0"/>
            <w:vAlign w:val="top"/>
          </w:tcPr>
          <w:p w14:paraId="06E93BB7">
            <w:pPr>
              <w:pStyle w:val="5"/>
              <w:spacing w:line="360" w:lineRule="auto"/>
              <w:rPr>
                <w:rFonts w:hint="eastAsia" w:ascii="宋体" w:hAnsi="宋体" w:cs="宋体"/>
                <w:szCs w:val="21"/>
                <w:highlight w:val="none"/>
              </w:rPr>
            </w:pPr>
          </w:p>
        </w:tc>
        <w:tc>
          <w:tcPr>
            <w:tcW w:w="240" w:type="dxa"/>
            <w:noWrap w:val="0"/>
            <w:vAlign w:val="top"/>
          </w:tcPr>
          <w:p w14:paraId="17236DB5">
            <w:pPr>
              <w:pStyle w:val="5"/>
              <w:spacing w:line="360" w:lineRule="auto"/>
              <w:rPr>
                <w:rFonts w:hint="eastAsia" w:ascii="宋体" w:hAnsi="宋体" w:cs="宋体"/>
                <w:szCs w:val="21"/>
                <w:highlight w:val="none"/>
              </w:rPr>
            </w:pPr>
          </w:p>
        </w:tc>
        <w:tc>
          <w:tcPr>
            <w:tcW w:w="4121" w:type="dxa"/>
            <w:noWrap w:val="0"/>
            <w:vAlign w:val="top"/>
          </w:tcPr>
          <w:p w14:paraId="223A7D76">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或其委托代理人：</w:t>
            </w:r>
          </w:p>
          <w:p w14:paraId="7EB7D915">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（签章）</w:t>
            </w:r>
          </w:p>
        </w:tc>
      </w:tr>
      <w:tr w14:paraId="00C01455">
        <w:tblPrEx>
          <w:tblCellMar>
            <w:top w:w="0" w:type="dxa"/>
            <w:left w:w="108" w:type="dxa"/>
            <w:bottom w:w="0" w:type="dxa"/>
            <w:right w:w="108" w:type="dxa"/>
          </w:tblCellMar>
        </w:tblPrEx>
        <w:trPr>
          <w:jc w:val="center"/>
        </w:trPr>
        <w:tc>
          <w:tcPr>
            <w:tcW w:w="4144" w:type="dxa"/>
            <w:noWrap w:val="0"/>
            <w:vAlign w:val="top"/>
          </w:tcPr>
          <w:p w14:paraId="2C1BE843">
            <w:pPr>
              <w:pStyle w:val="5"/>
              <w:spacing w:line="360" w:lineRule="auto"/>
              <w:ind w:firstLine="0"/>
              <w:rPr>
                <w:rFonts w:hint="eastAsia" w:ascii="宋体" w:hAnsi="宋体" w:cs="宋体"/>
                <w:szCs w:val="21"/>
                <w:highlight w:val="none"/>
              </w:rPr>
            </w:pPr>
          </w:p>
        </w:tc>
        <w:tc>
          <w:tcPr>
            <w:tcW w:w="240" w:type="dxa"/>
            <w:noWrap w:val="0"/>
            <w:vAlign w:val="top"/>
          </w:tcPr>
          <w:p w14:paraId="7301A709">
            <w:pPr>
              <w:pStyle w:val="5"/>
              <w:spacing w:line="360" w:lineRule="auto"/>
              <w:rPr>
                <w:rFonts w:hint="eastAsia" w:ascii="宋体" w:hAnsi="宋体" w:cs="宋体"/>
                <w:szCs w:val="21"/>
                <w:highlight w:val="none"/>
              </w:rPr>
            </w:pPr>
          </w:p>
        </w:tc>
        <w:tc>
          <w:tcPr>
            <w:tcW w:w="240" w:type="dxa"/>
            <w:noWrap w:val="0"/>
            <w:vAlign w:val="top"/>
          </w:tcPr>
          <w:p w14:paraId="51E53932">
            <w:pPr>
              <w:pStyle w:val="5"/>
              <w:spacing w:line="360" w:lineRule="auto"/>
              <w:rPr>
                <w:rFonts w:hint="eastAsia" w:ascii="宋体" w:hAnsi="宋体" w:cs="宋体"/>
                <w:szCs w:val="21"/>
                <w:highlight w:val="none"/>
              </w:rPr>
            </w:pPr>
          </w:p>
        </w:tc>
        <w:tc>
          <w:tcPr>
            <w:tcW w:w="4121" w:type="dxa"/>
            <w:noWrap w:val="0"/>
            <w:vAlign w:val="top"/>
          </w:tcPr>
          <w:p w14:paraId="293FB3EE">
            <w:pPr>
              <w:pStyle w:val="5"/>
              <w:spacing w:line="360" w:lineRule="auto"/>
              <w:ind w:firstLine="0"/>
              <w:rPr>
                <w:rFonts w:ascii="宋体" w:hAnsi="宋体" w:cs="宋体"/>
                <w:szCs w:val="21"/>
                <w:highlight w:val="none"/>
              </w:rPr>
            </w:pPr>
            <w:r>
              <w:rPr>
                <w:rFonts w:hint="eastAsia" w:ascii="宋体" w:hAnsi="宋体" w:cs="宋体"/>
                <w:szCs w:val="21"/>
                <w:highlight w:val="none"/>
              </w:rPr>
              <w:t>收款单位全称：</w:t>
            </w:r>
            <w:r>
              <w:rPr>
                <w:rFonts w:hint="eastAsia" w:ascii="宋体" w:hAnsi="宋体" w:cs="宋体"/>
                <w:szCs w:val="21"/>
                <w:highlight w:val="none"/>
                <w:u w:val="single"/>
              </w:rPr>
              <w:t xml:space="preserve">              </w:t>
            </w:r>
          </w:p>
        </w:tc>
      </w:tr>
      <w:tr w14:paraId="3D690EA3">
        <w:tblPrEx>
          <w:tblCellMar>
            <w:top w:w="0" w:type="dxa"/>
            <w:left w:w="108" w:type="dxa"/>
            <w:bottom w:w="0" w:type="dxa"/>
            <w:right w:w="108" w:type="dxa"/>
          </w:tblCellMar>
        </w:tblPrEx>
        <w:trPr>
          <w:jc w:val="center"/>
        </w:trPr>
        <w:tc>
          <w:tcPr>
            <w:tcW w:w="4144" w:type="dxa"/>
            <w:noWrap w:val="0"/>
            <w:vAlign w:val="top"/>
          </w:tcPr>
          <w:p w14:paraId="5428348E">
            <w:pPr>
              <w:pStyle w:val="5"/>
              <w:spacing w:line="360" w:lineRule="auto"/>
              <w:ind w:firstLine="0"/>
              <w:rPr>
                <w:rFonts w:hint="eastAsia" w:ascii="宋体" w:hAnsi="宋体" w:cs="宋体"/>
                <w:szCs w:val="21"/>
                <w:highlight w:val="none"/>
              </w:rPr>
            </w:pPr>
          </w:p>
        </w:tc>
        <w:tc>
          <w:tcPr>
            <w:tcW w:w="240" w:type="dxa"/>
            <w:noWrap w:val="0"/>
            <w:vAlign w:val="top"/>
          </w:tcPr>
          <w:p w14:paraId="1504033A">
            <w:pPr>
              <w:pStyle w:val="5"/>
              <w:spacing w:line="360" w:lineRule="auto"/>
              <w:rPr>
                <w:rFonts w:hint="eastAsia" w:ascii="宋体" w:hAnsi="宋体" w:cs="宋体"/>
                <w:szCs w:val="21"/>
                <w:highlight w:val="none"/>
              </w:rPr>
            </w:pPr>
          </w:p>
        </w:tc>
        <w:tc>
          <w:tcPr>
            <w:tcW w:w="240" w:type="dxa"/>
            <w:noWrap w:val="0"/>
            <w:vAlign w:val="top"/>
          </w:tcPr>
          <w:p w14:paraId="0120D6C2">
            <w:pPr>
              <w:pStyle w:val="5"/>
              <w:spacing w:line="360" w:lineRule="auto"/>
              <w:rPr>
                <w:rFonts w:hint="eastAsia" w:ascii="宋体" w:hAnsi="宋体" w:cs="宋体"/>
                <w:szCs w:val="21"/>
                <w:highlight w:val="none"/>
              </w:rPr>
            </w:pPr>
          </w:p>
        </w:tc>
        <w:tc>
          <w:tcPr>
            <w:tcW w:w="4121" w:type="dxa"/>
            <w:noWrap w:val="0"/>
            <w:vAlign w:val="top"/>
          </w:tcPr>
          <w:p w14:paraId="5122A793">
            <w:pPr>
              <w:pStyle w:val="5"/>
              <w:spacing w:line="360" w:lineRule="auto"/>
              <w:ind w:firstLine="0"/>
              <w:rPr>
                <w:rFonts w:ascii="宋体" w:hAnsi="宋体" w:cs="宋体"/>
                <w:szCs w:val="21"/>
                <w:highlight w:val="none"/>
                <w:u w:val="single"/>
              </w:rPr>
            </w:pPr>
            <w:r>
              <w:rPr>
                <w:rFonts w:hint="eastAsia" w:ascii="宋体" w:hAnsi="宋体" w:cs="宋体"/>
                <w:szCs w:val="21"/>
                <w:highlight w:val="none"/>
              </w:rPr>
              <w:t xml:space="preserve">银行账号： </w:t>
            </w:r>
            <w:r>
              <w:rPr>
                <w:rFonts w:hint="eastAsia" w:ascii="宋体" w:hAnsi="宋体" w:cs="宋体"/>
                <w:szCs w:val="21"/>
                <w:highlight w:val="none"/>
                <w:u w:val="single"/>
              </w:rPr>
              <w:t xml:space="preserve">                   </w:t>
            </w:r>
          </w:p>
        </w:tc>
      </w:tr>
      <w:tr w14:paraId="1F305A94">
        <w:tblPrEx>
          <w:tblCellMar>
            <w:top w:w="0" w:type="dxa"/>
            <w:left w:w="108" w:type="dxa"/>
            <w:bottom w:w="0" w:type="dxa"/>
            <w:right w:w="108" w:type="dxa"/>
          </w:tblCellMar>
        </w:tblPrEx>
        <w:trPr>
          <w:jc w:val="center"/>
        </w:trPr>
        <w:tc>
          <w:tcPr>
            <w:tcW w:w="4144" w:type="dxa"/>
            <w:noWrap w:val="0"/>
            <w:vAlign w:val="top"/>
          </w:tcPr>
          <w:p w14:paraId="4D230381">
            <w:pPr>
              <w:pStyle w:val="5"/>
              <w:spacing w:line="360" w:lineRule="auto"/>
              <w:ind w:firstLine="0"/>
              <w:rPr>
                <w:rFonts w:hint="eastAsia" w:ascii="宋体" w:hAnsi="宋体" w:cs="宋体"/>
                <w:szCs w:val="21"/>
                <w:highlight w:val="none"/>
              </w:rPr>
            </w:pPr>
          </w:p>
        </w:tc>
        <w:tc>
          <w:tcPr>
            <w:tcW w:w="240" w:type="dxa"/>
            <w:noWrap w:val="0"/>
            <w:vAlign w:val="top"/>
          </w:tcPr>
          <w:p w14:paraId="752EB975">
            <w:pPr>
              <w:pStyle w:val="5"/>
              <w:spacing w:line="360" w:lineRule="auto"/>
              <w:rPr>
                <w:rFonts w:hint="eastAsia" w:ascii="宋体" w:hAnsi="宋体" w:cs="宋体"/>
                <w:szCs w:val="21"/>
                <w:highlight w:val="none"/>
              </w:rPr>
            </w:pPr>
          </w:p>
        </w:tc>
        <w:tc>
          <w:tcPr>
            <w:tcW w:w="240" w:type="dxa"/>
            <w:noWrap w:val="0"/>
            <w:vAlign w:val="top"/>
          </w:tcPr>
          <w:p w14:paraId="24C96263">
            <w:pPr>
              <w:pStyle w:val="5"/>
              <w:spacing w:line="360" w:lineRule="auto"/>
              <w:rPr>
                <w:rFonts w:hint="eastAsia" w:ascii="宋体" w:hAnsi="宋体" w:cs="宋体"/>
                <w:szCs w:val="21"/>
                <w:highlight w:val="none"/>
              </w:rPr>
            </w:pPr>
          </w:p>
        </w:tc>
        <w:tc>
          <w:tcPr>
            <w:tcW w:w="4121" w:type="dxa"/>
            <w:noWrap w:val="0"/>
            <w:vAlign w:val="top"/>
          </w:tcPr>
          <w:p w14:paraId="2C973BAC">
            <w:pPr>
              <w:pStyle w:val="5"/>
              <w:spacing w:line="360" w:lineRule="auto"/>
              <w:ind w:firstLine="0"/>
              <w:rPr>
                <w:rFonts w:ascii="宋体" w:hAnsi="宋体" w:cs="宋体"/>
                <w:szCs w:val="21"/>
                <w:highlight w:val="none"/>
              </w:rPr>
            </w:pPr>
            <w:r>
              <w:rPr>
                <w:rFonts w:hint="eastAsia" w:ascii="宋体" w:hAnsi="宋体" w:cs="宋体"/>
                <w:szCs w:val="21"/>
                <w:highlight w:val="none"/>
              </w:rPr>
              <w:t>开户行：</w:t>
            </w:r>
            <w:r>
              <w:rPr>
                <w:rFonts w:hint="eastAsia" w:ascii="宋体" w:hAnsi="宋体" w:cs="宋体"/>
                <w:szCs w:val="21"/>
                <w:highlight w:val="none"/>
                <w:u w:val="single"/>
              </w:rPr>
              <w:t xml:space="preserve">                     </w:t>
            </w:r>
          </w:p>
        </w:tc>
      </w:tr>
      <w:tr w14:paraId="742ED007">
        <w:tblPrEx>
          <w:tblCellMar>
            <w:top w:w="0" w:type="dxa"/>
            <w:left w:w="108" w:type="dxa"/>
            <w:bottom w:w="0" w:type="dxa"/>
            <w:right w:w="108" w:type="dxa"/>
          </w:tblCellMar>
        </w:tblPrEx>
        <w:trPr>
          <w:jc w:val="center"/>
        </w:trPr>
        <w:tc>
          <w:tcPr>
            <w:tcW w:w="4144" w:type="dxa"/>
            <w:noWrap w:val="0"/>
            <w:vAlign w:val="top"/>
          </w:tcPr>
          <w:p w14:paraId="2B8DA4A6">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地址：南宁市百花岭路6号</w:t>
            </w:r>
          </w:p>
        </w:tc>
        <w:tc>
          <w:tcPr>
            <w:tcW w:w="240" w:type="dxa"/>
            <w:noWrap w:val="0"/>
            <w:vAlign w:val="top"/>
          </w:tcPr>
          <w:p w14:paraId="4DD79088">
            <w:pPr>
              <w:pStyle w:val="5"/>
              <w:spacing w:line="360" w:lineRule="auto"/>
              <w:rPr>
                <w:rFonts w:hint="eastAsia" w:ascii="宋体" w:hAnsi="宋体" w:cs="宋体"/>
                <w:szCs w:val="21"/>
                <w:highlight w:val="none"/>
              </w:rPr>
            </w:pPr>
          </w:p>
        </w:tc>
        <w:tc>
          <w:tcPr>
            <w:tcW w:w="240" w:type="dxa"/>
            <w:noWrap w:val="0"/>
            <w:vAlign w:val="top"/>
          </w:tcPr>
          <w:p w14:paraId="2BA864A8">
            <w:pPr>
              <w:pStyle w:val="5"/>
              <w:spacing w:line="360" w:lineRule="auto"/>
              <w:rPr>
                <w:rFonts w:hint="eastAsia" w:ascii="宋体" w:hAnsi="宋体" w:cs="宋体"/>
                <w:szCs w:val="21"/>
                <w:highlight w:val="none"/>
              </w:rPr>
            </w:pPr>
          </w:p>
        </w:tc>
        <w:tc>
          <w:tcPr>
            <w:tcW w:w="4121" w:type="dxa"/>
            <w:noWrap w:val="0"/>
            <w:vAlign w:val="top"/>
          </w:tcPr>
          <w:p w14:paraId="6BADCA1D">
            <w:pPr>
              <w:pStyle w:val="5"/>
              <w:spacing w:line="360" w:lineRule="auto"/>
              <w:ind w:firstLine="0"/>
              <w:rPr>
                <w:rFonts w:ascii="宋体" w:hAnsi="宋体" w:cs="宋体"/>
                <w:szCs w:val="21"/>
                <w:highlight w:val="none"/>
              </w:rPr>
            </w:pPr>
            <w:r>
              <w:rPr>
                <w:rFonts w:hint="eastAsia" w:ascii="宋体" w:hAnsi="宋体" w:cs="宋体"/>
                <w:szCs w:val="21"/>
                <w:highlight w:val="none"/>
              </w:rPr>
              <w:t>地址：</w:t>
            </w:r>
            <w:r>
              <w:rPr>
                <w:rFonts w:hint="eastAsia" w:ascii="宋体" w:hAnsi="宋体" w:cs="宋体"/>
                <w:szCs w:val="21"/>
                <w:highlight w:val="none"/>
                <w:u w:val="single"/>
              </w:rPr>
              <w:t xml:space="preserve">                            </w:t>
            </w:r>
          </w:p>
        </w:tc>
      </w:tr>
      <w:tr w14:paraId="423C84DA">
        <w:tblPrEx>
          <w:tblCellMar>
            <w:top w:w="0" w:type="dxa"/>
            <w:left w:w="108" w:type="dxa"/>
            <w:bottom w:w="0" w:type="dxa"/>
            <w:right w:w="108" w:type="dxa"/>
          </w:tblCellMar>
        </w:tblPrEx>
        <w:trPr>
          <w:jc w:val="center"/>
        </w:trPr>
        <w:tc>
          <w:tcPr>
            <w:tcW w:w="4144" w:type="dxa"/>
            <w:noWrap w:val="0"/>
            <w:vAlign w:val="top"/>
          </w:tcPr>
          <w:p w14:paraId="0E3A5F65">
            <w:pPr>
              <w:pStyle w:val="5"/>
              <w:spacing w:line="360" w:lineRule="auto"/>
              <w:ind w:firstLine="0"/>
              <w:rPr>
                <w:rFonts w:ascii="宋体" w:hAnsi="宋体" w:cs="宋体"/>
                <w:szCs w:val="21"/>
                <w:highlight w:val="none"/>
              </w:rPr>
            </w:pPr>
            <w:r>
              <w:rPr>
                <w:rFonts w:hint="eastAsia" w:ascii="宋体" w:hAnsi="宋体" w:cs="宋体"/>
                <w:szCs w:val="21"/>
                <w:highlight w:val="none"/>
              </w:rPr>
              <w:t>电话：</w:t>
            </w:r>
            <w:r>
              <w:rPr>
                <w:rFonts w:hint="eastAsia" w:ascii="宋体" w:hAnsi="宋体" w:cs="宋体"/>
                <w:szCs w:val="21"/>
                <w:highlight w:val="none"/>
                <w:u w:val="single"/>
              </w:rPr>
              <w:t>0771-2115319</w:t>
            </w:r>
          </w:p>
        </w:tc>
        <w:tc>
          <w:tcPr>
            <w:tcW w:w="240" w:type="dxa"/>
            <w:noWrap w:val="0"/>
            <w:vAlign w:val="top"/>
          </w:tcPr>
          <w:p w14:paraId="6D8B0E7C">
            <w:pPr>
              <w:pStyle w:val="5"/>
              <w:spacing w:line="360" w:lineRule="auto"/>
              <w:rPr>
                <w:rFonts w:hint="eastAsia" w:ascii="宋体" w:hAnsi="宋体" w:cs="宋体"/>
                <w:szCs w:val="21"/>
                <w:highlight w:val="none"/>
              </w:rPr>
            </w:pPr>
          </w:p>
        </w:tc>
        <w:tc>
          <w:tcPr>
            <w:tcW w:w="240" w:type="dxa"/>
            <w:noWrap w:val="0"/>
            <w:vAlign w:val="top"/>
          </w:tcPr>
          <w:p w14:paraId="1FC8B01A">
            <w:pPr>
              <w:pStyle w:val="5"/>
              <w:spacing w:line="360" w:lineRule="auto"/>
              <w:rPr>
                <w:rFonts w:hint="eastAsia" w:ascii="宋体" w:hAnsi="宋体" w:cs="宋体"/>
                <w:szCs w:val="21"/>
                <w:highlight w:val="none"/>
              </w:rPr>
            </w:pPr>
          </w:p>
        </w:tc>
        <w:tc>
          <w:tcPr>
            <w:tcW w:w="4121" w:type="dxa"/>
            <w:noWrap w:val="0"/>
            <w:vAlign w:val="top"/>
          </w:tcPr>
          <w:p w14:paraId="0094CECD">
            <w:pPr>
              <w:pStyle w:val="5"/>
              <w:spacing w:line="360" w:lineRule="auto"/>
              <w:ind w:firstLine="0"/>
              <w:rPr>
                <w:rFonts w:ascii="宋体" w:hAnsi="宋体" w:cs="宋体"/>
                <w:szCs w:val="21"/>
                <w:highlight w:val="none"/>
              </w:rPr>
            </w:pPr>
            <w:r>
              <w:rPr>
                <w:rFonts w:hint="eastAsia" w:ascii="宋体" w:hAnsi="宋体" w:cs="宋体"/>
                <w:szCs w:val="21"/>
                <w:highlight w:val="none"/>
              </w:rPr>
              <w:t>电话：</w:t>
            </w:r>
            <w:r>
              <w:rPr>
                <w:rFonts w:hint="eastAsia" w:ascii="宋体" w:hAnsi="宋体" w:cs="宋体"/>
                <w:szCs w:val="21"/>
                <w:highlight w:val="none"/>
                <w:u w:val="single"/>
              </w:rPr>
              <w:t xml:space="preserve">                  </w:t>
            </w:r>
          </w:p>
        </w:tc>
      </w:tr>
      <w:tr w14:paraId="1A90BCDA">
        <w:tblPrEx>
          <w:tblCellMar>
            <w:top w:w="0" w:type="dxa"/>
            <w:left w:w="108" w:type="dxa"/>
            <w:bottom w:w="0" w:type="dxa"/>
            <w:right w:w="108" w:type="dxa"/>
          </w:tblCellMar>
        </w:tblPrEx>
        <w:trPr>
          <w:jc w:val="center"/>
        </w:trPr>
        <w:tc>
          <w:tcPr>
            <w:tcW w:w="4144" w:type="dxa"/>
            <w:noWrap w:val="0"/>
            <w:vAlign w:val="top"/>
          </w:tcPr>
          <w:p w14:paraId="5CEB005D">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日期：</w:t>
            </w:r>
            <w:r>
              <w:rPr>
                <w:rFonts w:hint="eastAsia" w:ascii="宋体" w:hAnsi="宋体" w:cs="宋体"/>
                <w:szCs w:val="21"/>
                <w:highlight w:val="none"/>
                <w:u w:val="single"/>
              </w:rPr>
              <w:t>2025</w:t>
            </w:r>
            <w:r>
              <w:rPr>
                <w:rFonts w:hint="eastAsia" w:ascii="宋体" w:hAnsi="宋体" w:cs="宋体"/>
                <w:szCs w:val="21"/>
                <w:highlight w:val="none"/>
              </w:rPr>
              <w:t>年</w:t>
            </w:r>
            <w:r>
              <w:rPr>
                <w:rFonts w:hint="eastAsia" w:ascii="宋体" w:hAnsi="宋体" w:cs="宋体"/>
                <w:szCs w:val="21"/>
                <w:highlight w:val="none"/>
                <w:u w:val="single"/>
              </w:rPr>
              <w:t xml:space="preserve">   </w:t>
            </w:r>
            <w:r>
              <w:rPr>
                <w:rFonts w:hint="eastAsia" w:ascii="宋体" w:hAnsi="宋体" w:cs="宋体"/>
                <w:szCs w:val="21"/>
                <w:highlight w:val="none"/>
              </w:rPr>
              <w:t>月</w:t>
            </w:r>
            <w:r>
              <w:rPr>
                <w:rFonts w:hint="eastAsia" w:ascii="宋体" w:hAnsi="宋体" w:cs="宋体"/>
                <w:szCs w:val="21"/>
                <w:highlight w:val="none"/>
                <w:u w:val="single"/>
              </w:rPr>
              <w:t xml:space="preserve">    </w:t>
            </w:r>
            <w:r>
              <w:rPr>
                <w:rFonts w:hint="eastAsia" w:ascii="宋体" w:hAnsi="宋体" w:cs="宋体"/>
                <w:szCs w:val="21"/>
                <w:highlight w:val="none"/>
              </w:rPr>
              <w:t>日</w:t>
            </w:r>
          </w:p>
        </w:tc>
        <w:tc>
          <w:tcPr>
            <w:tcW w:w="240" w:type="dxa"/>
            <w:noWrap w:val="0"/>
            <w:vAlign w:val="top"/>
          </w:tcPr>
          <w:p w14:paraId="03DE3DA2">
            <w:pPr>
              <w:pStyle w:val="5"/>
              <w:spacing w:line="360" w:lineRule="auto"/>
              <w:rPr>
                <w:rFonts w:hint="eastAsia" w:ascii="宋体" w:hAnsi="宋体" w:cs="宋体"/>
                <w:szCs w:val="21"/>
                <w:highlight w:val="none"/>
              </w:rPr>
            </w:pPr>
          </w:p>
        </w:tc>
        <w:tc>
          <w:tcPr>
            <w:tcW w:w="240" w:type="dxa"/>
            <w:noWrap w:val="0"/>
            <w:vAlign w:val="top"/>
          </w:tcPr>
          <w:p w14:paraId="6A257CBF">
            <w:pPr>
              <w:pStyle w:val="5"/>
              <w:spacing w:line="360" w:lineRule="auto"/>
              <w:rPr>
                <w:rFonts w:hint="eastAsia" w:ascii="宋体" w:hAnsi="宋体" w:cs="宋体"/>
                <w:szCs w:val="21"/>
                <w:highlight w:val="none"/>
              </w:rPr>
            </w:pPr>
          </w:p>
        </w:tc>
        <w:tc>
          <w:tcPr>
            <w:tcW w:w="4121" w:type="dxa"/>
            <w:noWrap w:val="0"/>
            <w:vAlign w:val="top"/>
          </w:tcPr>
          <w:p w14:paraId="7C3A5F92">
            <w:pPr>
              <w:pStyle w:val="5"/>
              <w:spacing w:line="360" w:lineRule="auto"/>
              <w:ind w:firstLine="0"/>
              <w:rPr>
                <w:rFonts w:hint="eastAsia" w:ascii="宋体" w:hAnsi="宋体" w:cs="宋体"/>
                <w:szCs w:val="21"/>
                <w:highlight w:val="none"/>
              </w:rPr>
            </w:pPr>
            <w:r>
              <w:rPr>
                <w:rFonts w:hint="eastAsia" w:ascii="宋体" w:hAnsi="宋体" w:cs="宋体"/>
                <w:szCs w:val="21"/>
                <w:highlight w:val="none"/>
              </w:rPr>
              <w:t>日期</w:t>
            </w:r>
            <w:r>
              <w:rPr>
                <w:rFonts w:hint="eastAsia" w:ascii="宋体" w:hAnsi="宋体" w:cs="宋体"/>
                <w:szCs w:val="21"/>
                <w:highlight w:val="none"/>
                <w:u w:val="single"/>
              </w:rPr>
              <w:t>2025</w:t>
            </w:r>
            <w:r>
              <w:rPr>
                <w:rFonts w:hint="eastAsia" w:ascii="宋体" w:hAnsi="宋体" w:cs="宋体"/>
                <w:szCs w:val="21"/>
                <w:highlight w:val="none"/>
              </w:rPr>
              <w:t>年</w:t>
            </w:r>
            <w:r>
              <w:rPr>
                <w:rFonts w:hint="eastAsia" w:ascii="宋体" w:hAnsi="宋体" w:cs="宋体"/>
                <w:szCs w:val="21"/>
                <w:highlight w:val="none"/>
                <w:u w:val="single"/>
              </w:rPr>
              <w:t xml:space="preserve">   </w:t>
            </w:r>
            <w:r>
              <w:rPr>
                <w:rFonts w:hint="eastAsia" w:ascii="宋体" w:hAnsi="宋体" w:cs="宋体"/>
                <w:szCs w:val="21"/>
                <w:highlight w:val="none"/>
              </w:rPr>
              <w:t>月</w:t>
            </w:r>
            <w:r>
              <w:rPr>
                <w:rFonts w:hint="eastAsia" w:ascii="宋体" w:hAnsi="宋体" w:cs="宋体"/>
                <w:szCs w:val="21"/>
                <w:highlight w:val="none"/>
                <w:u w:val="single"/>
              </w:rPr>
              <w:t xml:space="preserve">    </w:t>
            </w:r>
            <w:r>
              <w:rPr>
                <w:rFonts w:hint="eastAsia" w:ascii="宋体" w:hAnsi="宋体" w:cs="宋体"/>
                <w:szCs w:val="21"/>
                <w:highlight w:val="none"/>
              </w:rPr>
              <w:t>日</w:t>
            </w:r>
          </w:p>
        </w:tc>
      </w:tr>
    </w:tbl>
    <w:p w14:paraId="17F45C25">
      <w:pPr>
        <w:snapToGrid w:val="0"/>
        <w:spacing w:line="360" w:lineRule="auto"/>
        <w:rPr>
          <w:rFonts w:hint="eastAsia" w:ascii="宋体" w:hAnsi="宋体" w:cs="宋体"/>
          <w:szCs w:val="21"/>
          <w:highlight w:val="none"/>
        </w:rPr>
      </w:pPr>
    </w:p>
    <w:p w14:paraId="7DEDF467">
      <w:pPr>
        <w:snapToGrid w:val="0"/>
        <w:spacing w:line="360" w:lineRule="auto"/>
        <w:rPr>
          <w:rFonts w:hint="eastAsia" w:ascii="宋体" w:hAnsi="宋体" w:cs="宋体"/>
          <w:szCs w:val="21"/>
          <w:highlight w:val="none"/>
        </w:rPr>
      </w:pPr>
    </w:p>
    <w:p w14:paraId="28E791DC">
      <w:pPr>
        <w:snapToGrid w:val="0"/>
        <w:spacing w:line="360" w:lineRule="auto"/>
        <w:rPr>
          <w:rFonts w:hint="eastAsia" w:ascii="宋体" w:hAnsi="宋体" w:cs="宋体"/>
          <w:bCs/>
          <w:szCs w:val="21"/>
          <w:highlight w:val="none"/>
        </w:rPr>
      </w:pPr>
    </w:p>
    <w:p w14:paraId="30CB7B2C">
      <w:pPr>
        <w:rPr>
          <w:rFonts w:hint="eastAsia"/>
          <w:highlight w:val="none"/>
        </w:rPr>
      </w:pPr>
      <w:bookmarkStart w:id="356" w:name="_Toc20065"/>
    </w:p>
    <w:p w14:paraId="2338C07C">
      <w:pPr>
        <w:rPr>
          <w:rFonts w:hint="eastAsia"/>
          <w:highlight w:val="none"/>
        </w:rPr>
      </w:pPr>
    </w:p>
    <w:p w14:paraId="07E925BD">
      <w:pPr>
        <w:rPr>
          <w:rFonts w:hint="eastAsia"/>
          <w:highlight w:val="none"/>
        </w:rPr>
      </w:pPr>
    </w:p>
    <w:p w14:paraId="549064ED">
      <w:pPr>
        <w:rPr>
          <w:rFonts w:hint="eastAsia"/>
          <w:highlight w:val="none"/>
        </w:rPr>
      </w:pPr>
      <w:r>
        <w:rPr>
          <w:rFonts w:hint="eastAsia"/>
          <w:highlight w:val="none"/>
        </w:rPr>
        <w:br w:type="page"/>
      </w:r>
    </w:p>
    <w:p w14:paraId="0989B334">
      <w:pPr>
        <w:spacing w:line="360" w:lineRule="auto"/>
        <w:jc w:val="left"/>
        <w:outlineLvl w:val="1"/>
        <w:rPr>
          <w:rFonts w:hint="eastAsia" w:ascii="宋体" w:hAnsi="宋体" w:cs="宋体"/>
          <w:szCs w:val="21"/>
          <w:highlight w:val="none"/>
        </w:rPr>
      </w:pPr>
      <w:bookmarkStart w:id="357" w:name="_Toc5217"/>
      <w:bookmarkStart w:id="358" w:name="_Toc13560"/>
      <w:bookmarkStart w:id="359" w:name="_Toc38903738"/>
      <w:bookmarkStart w:id="360" w:name="_Toc26301"/>
      <w:bookmarkStart w:id="361" w:name="_Toc20487"/>
      <w:bookmarkStart w:id="362" w:name="_Toc89866150"/>
      <w:bookmarkStart w:id="363" w:name="_Toc17013"/>
      <w:bookmarkStart w:id="364" w:name="_Toc20040"/>
      <w:bookmarkStart w:id="365" w:name="_Toc26667"/>
      <w:bookmarkStart w:id="366" w:name="_Toc32217"/>
      <w:r>
        <w:rPr>
          <w:rFonts w:hint="eastAsia" w:ascii="宋体" w:hAnsi="宋体" w:cs="宋体"/>
          <w:szCs w:val="21"/>
          <w:highlight w:val="none"/>
        </w:rPr>
        <w:t>附件2  廉政合同</w:t>
      </w:r>
      <w:bookmarkEnd w:id="356"/>
      <w:bookmarkEnd w:id="357"/>
      <w:bookmarkEnd w:id="358"/>
      <w:bookmarkEnd w:id="359"/>
      <w:bookmarkEnd w:id="360"/>
      <w:bookmarkEnd w:id="361"/>
      <w:bookmarkEnd w:id="362"/>
      <w:bookmarkEnd w:id="363"/>
      <w:bookmarkEnd w:id="364"/>
      <w:bookmarkEnd w:id="365"/>
      <w:bookmarkEnd w:id="366"/>
    </w:p>
    <w:p w14:paraId="1736E613">
      <w:pPr>
        <w:snapToGrid w:val="0"/>
        <w:spacing w:line="360" w:lineRule="auto"/>
        <w:jc w:val="center"/>
        <w:rPr>
          <w:rFonts w:hint="eastAsia" w:ascii="宋体" w:hAnsi="宋体" w:cs="宋体"/>
          <w:b/>
          <w:szCs w:val="21"/>
          <w:highlight w:val="none"/>
        </w:rPr>
      </w:pPr>
      <w:r>
        <w:rPr>
          <w:rFonts w:hint="eastAsia" w:ascii="宋体" w:hAnsi="宋体" w:cs="宋体"/>
          <w:b/>
          <w:szCs w:val="21"/>
          <w:highlight w:val="none"/>
        </w:rPr>
        <w:t>廉政合同</w:t>
      </w:r>
    </w:p>
    <w:p w14:paraId="135A5514">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 xml:space="preserve">根据《关于在交通基础设施建设中加强廉政建设的若干意见》以及有关工程建设、廉政建设的规定，为做好工程建设中的党风廉政建设，保证工程建设高效优质，保证建设资金的安全和有效使用以及投资效益， </w:t>
      </w:r>
      <w:r>
        <w:rPr>
          <w:rFonts w:hint="eastAsia" w:ascii="宋体" w:hAnsi="宋体" w:cs="宋体"/>
          <w:szCs w:val="21"/>
          <w:highlight w:val="none"/>
          <w:u w:val="single"/>
        </w:rPr>
        <w:t xml:space="preserve"> 广西壮族自治区港航发展中心 </w:t>
      </w:r>
      <w:r>
        <w:rPr>
          <w:rFonts w:hint="eastAsia" w:ascii="宋体" w:hAnsi="宋体" w:cs="宋体"/>
          <w:szCs w:val="21"/>
          <w:highlight w:val="none"/>
        </w:rPr>
        <w:t>（以下简称:甲方（发包人））为一方与另一方</w:t>
      </w:r>
      <w:r>
        <w:rPr>
          <w:rFonts w:hint="eastAsia" w:ascii="宋体" w:hAnsi="宋体" w:cs="宋体"/>
          <w:szCs w:val="21"/>
          <w:highlight w:val="none"/>
          <w:u w:val="single"/>
        </w:rPr>
        <w:t xml:space="preserve">  全称    </w:t>
      </w:r>
      <w:r>
        <w:rPr>
          <w:rFonts w:hint="eastAsia" w:ascii="宋体" w:hAnsi="宋体" w:cs="宋体"/>
          <w:szCs w:val="21"/>
          <w:highlight w:val="none"/>
        </w:rPr>
        <w:t>（以下称乙方（承包人）），特订立如下合同。</w:t>
      </w:r>
    </w:p>
    <w:p w14:paraId="04150AD5">
      <w:pPr>
        <w:pStyle w:val="5"/>
        <w:snapToGrid w:val="0"/>
        <w:spacing w:line="360" w:lineRule="auto"/>
        <w:rPr>
          <w:rFonts w:hint="eastAsia" w:ascii="宋体" w:hAnsi="宋体" w:cs="宋体"/>
          <w:szCs w:val="21"/>
          <w:highlight w:val="none"/>
        </w:rPr>
      </w:pPr>
      <w:r>
        <w:rPr>
          <w:rFonts w:hint="eastAsia" w:ascii="宋体" w:hAnsi="宋体" w:cs="宋体"/>
          <w:szCs w:val="21"/>
          <w:highlight w:val="none"/>
        </w:rPr>
        <w:t>第一条  双方的权利和义务</w:t>
      </w:r>
    </w:p>
    <w:p w14:paraId="6A0907C0">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（一）严格遵守党和国家有关法律法规及交通运输部的有关规定。</w:t>
      </w:r>
    </w:p>
    <w:p w14:paraId="69727F1C">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（二）严格执行</w:t>
      </w:r>
      <w:r>
        <w:rPr>
          <w:rFonts w:hint="eastAsia" w:ascii="宋体" w:hAnsi="宋体" w:cs="宋体"/>
          <w:szCs w:val="21"/>
          <w:highlight w:val="none"/>
          <w:u w:val="single"/>
          <w:lang w:eastAsia="zh-CN"/>
        </w:rPr>
        <w:t>桂江（莲花大桥至桂江河口）航道扩建工程工程可行性研究服务</w:t>
      </w:r>
      <w:r>
        <w:rPr>
          <w:rFonts w:hint="eastAsia" w:ascii="宋体" w:hAnsi="宋体" w:cs="宋体"/>
          <w:szCs w:val="21"/>
          <w:highlight w:val="none"/>
          <w:u w:val="single"/>
        </w:rPr>
        <w:t xml:space="preserve"> </w:t>
      </w:r>
      <w:r>
        <w:rPr>
          <w:rFonts w:hint="eastAsia" w:ascii="宋体" w:hAnsi="宋体" w:cs="宋体"/>
          <w:szCs w:val="21"/>
          <w:highlight w:val="none"/>
        </w:rPr>
        <w:t>合同文件，自觉按合同办事。</w:t>
      </w:r>
    </w:p>
    <w:p w14:paraId="4979DD96">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（三）双方的业务活动坚持公开、公正、诚信、透明的原则（除法律认定的商业秘密和合同文件另有规定之外），不得损害国家和集体利益，违反工程建设管理规章制度。</w:t>
      </w:r>
    </w:p>
    <w:p w14:paraId="4EBE96E7">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（四）建立健全廉政制度，开展廉政教育，设立廉政告示牌，公布举报电话，监督并认真查处违法违纪行为。</w:t>
      </w:r>
    </w:p>
    <w:p w14:paraId="606807B4">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（五）发现对方在业务活动中有违反廉政规定的行为，有及时提醒对方纠正的权利和义务。</w:t>
      </w:r>
    </w:p>
    <w:p w14:paraId="62A3560C">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（六）发现对方严重违反本合同义务条款的行为，有向其上级有关部门举报、建议给予处理并要求告知处理结果的权利。</w:t>
      </w:r>
    </w:p>
    <w:p w14:paraId="42621F5A">
      <w:pPr>
        <w:pStyle w:val="5"/>
        <w:snapToGrid w:val="0"/>
        <w:spacing w:line="360" w:lineRule="auto"/>
        <w:ind w:firstLine="480"/>
        <w:rPr>
          <w:rFonts w:hint="eastAsia" w:ascii="宋体" w:hAnsi="宋体" w:cs="宋体"/>
          <w:szCs w:val="21"/>
          <w:highlight w:val="none"/>
        </w:rPr>
      </w:pPr>
      <w:r>
        <w:rPr>
          <w:rFonts w:hint="eastAsia" w:ascii="宋体" w:hAnsi="宋体" w:cs="宋体"/>
          <w:szCs w:val="21"/>
          <w:highlight w:val="none"/>
        </w:rPr>
        <w:t>第二条 甲方（发包人）的义务</w:t>
      </w:r>
    </w:p>
    <w:p w14:paraId="4A7CF077">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（一）甲方（发包人）及其工作人员不得索要或接受乙方（承包人）的礼金、有价证券和贵重物品，不得让乙方（承包人）报销任何应由甲方（发包人）或个人支付的费用等。</w:t>
      </w:r>
    </w:p>
    <w:p w14:paraId="3620D9E3">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（二）甲方（发包人）工作人员不得参加乙方（承包人）安排的超标准宴请和娱乐活动；不得接受乙方（承包人）提供的通讯工具、交通工具和高档办公用品等。</w:t>
      </w:r>
    </w:p>
    <w:p w14:paraId="6D2C0C61">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（三）甲方（发包人）及其工作人员不得要求或者接受乙方（承包人）为其住房装修、婚丧嫁娶活动、配偶子女的工作安排以及出国出境、旅游等提供方便等。</w:t>
      </w:r>
    </w:p>
    <w:p w14:paraId="0BF41BDF">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四）不准向乙方（承包人）和相关单位介绍或为配偶、子女、亲属参与同甲方（发包人）项目工程合同有关的咨询业务等活动。不得以任何理由要求乙方（承包人）和相关单位在咨询中使用某种产品、材料和设备。</w:t>
      </w:r>
    </w:p>
    <w:p w14:paraId="1DADCDA3">
      <w:pPr>
        <w:pStyle w:val="5"/>
        <w:snapToGrid w:val="0"/>
        <w:spacing w:line="360" w:lineRule="auto"/>
        <w:ind w:firstLine="480"/>
        <w:rPr>
          <w:rFonts w:hint="eastAsia" w:ascii="宋体" w:hAnsi="宋体" w:cs="宋体"/>
          <w:szCs w:val="21"/>
          <w:highlight w:val="none"/>
        </w:rPr>
      </w:pPr>
      <w:r>
        <w:rPr>
          <w:rFonts w:hint="eastAsia" w:ascii="宋体" w:hAnsi="宋体" w:cs="宋体"/>
          <w:szCs w:val="21"/>
          <w:highlight w:val="none"/>
        </w:rPr>
        <w:t>第三条  乙方（承包人）义务</w:t>
      </w:r>
    </w:p>
    <w:p w14:paraId="305DD4B8">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（一）乙方（承包人）不得以任何理由向甲方（发包人）及其工作人员行贿或馈赠礼金、有价证券、贵重礼品。</w:t>
      </w:r>
    </w:p>
    <w:p w14:paraId="62678212">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（二）乙方（承包人）不得以任何名义为甲方（发包人）及其工作人员报销应由甲方（发包人）单位或个人支付的任何费用。</w:t>
      </w:r>
    </w:p>
    <w:p w14:paraId="13C90749">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（三）乙方（承包人）不得以任何理由安排甲方（发包人）工作人员参加超标准宴请及娱乐活动。</w:t>
      </w:r>
    </w:p>
    <w:p w14:paraId="0BB20F92">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（四）乙方（承包人）不得为甲方（发包人）单位和个人购置或提供通讯工具、交通工具和高档办公用品等。</w:t>
      </w:r>
    </w:p>
    <w:p w14:paraId="747D546A">
      <w:pPr>
        <w:pStyle w:val="5"/>
        <w:snapToGrid w:val="0"/>
        <w:spacing w:line="360" w:lineRule="auto"/>
        <w:ind w:firstLine="480"/>
        <w:rPr>
          <w:rFonts w:hint="eastAsia" w:ascii="宋体" w:hAnsi="宋体" w:cs="宋体"/>
          <w:szCs w:val="21"/>
          <w:highlight w:val="none"/>
        </w:rPr>
      </w:pPr>
      <w:r>
        <w:rPr>
          <w:rFonts w:hint="eastAsia" w:ascii="宋体" w:hAnsi="宋体" w:cs="宋体"/>
          <w:szCs w:val="21"/>
          <w:highlight w:val="none"/>
        </w:rPr>
        <w:t>第四条  违约责任</w:t>
      </w:r>
    </w:p>
    <w:p w14:paraId="4D21610B">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一）甲方（发包人）及其工作人员违反本合同第一、二条，按管理权限，依据有关规定给予党纪、政纪处分或组织处理；涉嫌犯罪的，移交司法机关追究刑事责任；给乙方（承包人）单位造成经济损失的，应予以赔偿。</w:t>
      </w:r>
    </w:p>
    <w:p w14:paraId="2F37F7E3">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二）乙方（承包人）及其工作人员违反本合同第一、三条，按管理权限，依据有关规定给予党纪、政纪处分或组织处理；给甲方（发包人）单位造成经济损失的，应予以赔偿；情节严重的，甲方（发包人）建议交通工程建设主管部门给予乙方（承包人）一至三年内不得进入其主管的交通工程建设市场的处罚。</w:t>
      </w:r>
    </w:p>
    <w:p w14:paraId="29B4A570">
      <w:pPr>
        <w:pStyle w:val="5"/>
        <w:snapToGrid w:val="0"/>
        <w:spacing w:line="360" w:lineRule="auto"/>
        <w:ind w:firstLine="480"/>
        <w:rPr>
          <w:rFonts w:hint="eastAsia" w:ascii="宋体" w:hAnsi="宋体" w:cs="宋体"/>
          <w:szCs w:val="21"/>
          <w:highlight w:val="none"/>
        </w:rPr>
      </w:pPr>
      <w:r>
        <w:rPr>
          <w:rFonts w:hint="eastAsia" w:ascii="宋体" w:hAnsi="宋体" w:cs="宋体"/>
          <w:szCs w:val="21"/>
          <w:highlight w:val="none"/>
        </w:rPr>
        <w:t>第五条：双方约定：本合同由双方或双方上级单位的纪检监察机关负责监督。由甲方（发包人）或甲方（发包人）上级单位的纪检监察机关约请乙方（承包人）或乙方（承包人）上级单位纪检监察机关对本合同履行情况进行检查，提出在本合同规定范围内的裁定意见。</w:t>
      </w:r>
    </w:p>
    <w:p w14:paraId="761D8D54">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第六条  本合同自双方法定代表人或其委托代理人签字并加盖双方单位公章后、且发包人收到承包人的履约担保后生效，至本项目全部成果通过验收后终止。</w:t>
      </w:r>
    </w:p>
    <w:p w14:paraId="31DEC5E5">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第七条  本合同作为</w:t>
      </w:r>
      <w:r>
        <w:rPr>
          <w:rFonts w:hint="eastAsia" w:ascii="宋体" w:hAnsi="宋体" w:cs="宋体"/>
          <w:szCs w:val="21"/>
          <w:highlight w:val="none"/>
          <w:u w:val="single"/>
        </w:rPr>
        <w:t xml:space="preserve"> </w:t>
      </w:r>
      <w:r>
        <w:rPr>
          <w:rFonts w:hint="eastAsia" w:ascii="宋体" w:hAnsi="宋体" w:cs="宋体"/>
          <w:szCs w:val="21"/>
          <w:highlight w:val="none"/>
          <w:u w:val="single"/>
          <w:lang w:eastAsia="zh-CN"/>
        </w:rPr>
        <w:t>桂江（莲花大桥至桂江河口）航道扩建工程工程可行性研究服务</w:t>
      </w:r>
      <w:r>
        <w:rPr>
          <w:rFonts w:hint="eastAsia" w:ascii="宋体" w:hAnsi="宋体" w:cs="宋体"/>
          <w:szCs w:val="21"/>
          <w:highlight w:val="none"/>
          <w:u w:val="single"/>
        </w:rPr>
        <w:t xml:space="preserve"> </w:t>
      </w:r>
      <w:r>
        <w:rPr>
          <w:rFonts w:hint="eastAsia" w:ascii="宋体" w:hAnsi="宋体" w:cs="宋体"/>
          <w:szCs w:val="21"/>
          <w:highlight w:val="none"/>
        </w:rPr>
        <w:t>合同的附件，与咨询合同具有同等的法律效力。</w:t>
      </w:r>
    </w:p>
    <w:p w14:paraId="1775D4A7">
      <w:pPr>
        <w:pStyle w:val="5"/>
        <w:snapToGrid w:val="0"/>
        <w:spacing w:line="360" w:lineRule="auto"/>
        <w:ind w:firstLine="482"/>
        <w:rPr>
          <w:rFonts w:hint="eastAsia" w:ascii="宋体" w:hAnsi="宋体" w:cs="宋体"/>
          <w:szCs w:val="21"/>
          <w:highlight w:val="none"/>
        </w:rPr>
      </w:pPr>
      <w:r>
        <w:rPr>
          <w:rFonts w:hint="eastAsia" w:ascii="宋体" w:hAnsi="宋体" w:cs="宋体"/>
          <w:szCs w:val="21"/>
          <w:highlight w:val="none"/>
        </w:rPr>
        <w:t>第八条  本合同陆份，双方各执叁份。</w:t>
      </w:r>
    </w:p>
    <w:p w14:paraId="10C2D15F">
      <w:pPr>
        <w:pStyle w:val="5"/>
        <w:snapToGrid w:val="0"/>
        <w:spacing w:line="360" w:lineRule="auto"/>
        <w:ind w:firstLine="480"/>
        <w:rPr>
          <w:rFonts w:hint="eastAsia" w:ascii="宋体" w:hAnsi="宋体" w:cs="宋体"/>
          <w:szCs w:val="21"/>
          <w:highlight w:val="none"/>
        </w:rPr>
      </w:pPr>
    </w:p>
    <w:p w14:paraId="67022B9A">
      <w:pPr>
        <w:snapToGrid w:val="0"/>
        <w:spacing w:line="360" w:lineRule="auto"/>
        <w:rPr>
          <w:rFonts w:hint="eastAsia" w:ascii="宋体" w:hAnsi="宋体" w:cs="宋体"/>
          <w:szCs w:val="21"/>
          <w:highlight w:val="none"/>
        </w:rPr>
      </w:pPr>
    </w:p>
    <w:p w14:paraId="76A14A88">
      <w:pPr>
        <w:snapToGrid w:val="0"/>
        <w:spacing w:line="360" w:lineRule="auto"/>
        <w:rPr>
          <w:rFonts w:hint="eastAsia" w:ascii="宋体" w:hAnsi="宋体" w:cs="宋体"/>
          <w:szCs w:val="21"/>
          <w:highlight w:val="none"/>
        </w:rPr>
      </w:pPr>
      <w:r>
        <w:rPr>
          <w:rFonts w:hint="eastAsia" w:ascii="宋体" w:hAnsi="宋体" w:cs="宋体"/>
          <w:szCs w:val="21"/>
          <w:highlight w:val="none"/>
        </w:rPr>
        <w:t xml:space="preserve">甲方（发包人）：广西壮族自治区港航发展中心               乙方（承包人）：  （单位全称）  </w:t>
      </w:r>
    </w:p>
    <w:p w14:paraId="43B8ACA8">
      <w:pPr>
        <w:snapToGrid w:val="0"/>
        <w:spacing w:line="360" w:lineRule="auto"/>
        <w:rPr>
          <w:rFonts w:hint="eastAsia" w:ascii="宋体" w:hAnsi="宋体" w:cs="宋体"/>
          <w:szCs w:val="21"/>
          <w:highlight w:val="none"/>
        </w:rPr>
      </w:pPr>
      <w:r>
        <w:rPr>
          <w:rFonts w:hint="eastAsia" w:ascii="宋体" w:hAnsi="宋体" w:cs="宋体"/>
          <w:szCs w:val="21"/>
          <w:highlight w:val="none"/>
        </w:rPr>
        <w:t xml:space="preserve">           （盖章）                                    （盖章） </w:t>
      </w:r>
    </w:p>
    <w:p w14:paraId="681EE058">
      <w:pPr>
        <w:snapToGrid w:val="0"/>
        <w:spacing w:line="360" w:lineRule="auto"/>
        <w:rPr>
          <w:rFonts w:hint="eastAsia" w:ascii="宋体" w:hAnsi="宋体" w:cs="宋体"/>
          <w:szCs w:val="21"/>
          <w:highlight w:val="none"/>
        </w:rPr>
      </w:pPr>
      <w:r>
        <w:rPr>
          <w:rFonts w:hint="eastAsia" w:ascii="宋体" w:hAnsi="宋体" w:cs="宋体"/>
          <w:szCs w:val="21"/>
          <w:highlight w:val="none"/>
        </w:rPr>
        <w:t>法定代表人                                     法定代表人</w:t>
      </w:r>
    </w:p>
    <w:p w14:paraId="05FF64CF">
      <w:pPr>
        <w:snapToGrid w:val="0"/>
        <w:spacing w:line="360" w:lineRule="auto"/>
        <w:rPr>
          <w:rFonts w:hint="eastAsia" w:ascii="宋体" w:hAnsi="宋体" w:cs="宋体"/>
          <w:szCs w:val="21"/>
          <w:highlight w:val="none"/>
        </w:rPr>
      </w:pPr>
      <w:r>
        <w:rPr>
          <w:rFonts w:hint="eastAsia" w:ascii="宋体" w:hAnsi="宋体" w:cs="宋体"/>
          <w:szCs w:val="21"/>
          <w:highlight w:val="none"/>
        </w:rPr>
        <w:t>或                                             或</w:t>
      </w:r>
    </w:p>
    <w:p w14:paraId="770FA052">
      <w:pPr>
        <w:snapToGrid w:val="0"/>
        <w:spacing w:line="360" w:lineRule="auto"/>
        <w:rPr>
          <w:rFonts w:hint="eastAsia" w:ascii="宋体" w:hAnsi="宋体" w:cs="宋体"/>
          <w:szCs w:val="21"/>
          <w:highlight w:val="none"/>
        </w:rPr>
      </w:pPr>
      <w:r>
        <w:rPr>
          <w:rFonts w:hint="eastAsia" w:ascii="宋体" w:hAnsi="宋体" w:cs="宋体"/>
          <w:szCs w:val="21"/>
          <w:highlight w:val="none"/>
        </w:rPr>
        <w:t>委托代理人签章：                    　         委托代理人签章：</w:t>
      </w:r>
    </w:p>
    <w:p w14:paraId="00308905">
      <w:pPr>
        <w:snapToGrid w:val="0"/>
        <w:spacing w:line="360" w:lineRule="auto"/>
        <w:ind w:firstLine="4935" w:firstLineChars="2350"/>
        <w:rPr>
          <w:rFonts w:hint="eastAsia" w:ascii="宋体" w:hAnsi="宋体" w:cs="宋体"/>
          <w:szCs w:val="21"/>
          <w:highlight w:val="none"/>
        </w:rPr>
      </w:pPr>
      <w:r>
        <w:rPr>
          <w:rFonts w:hint="eastAsia" w:ascii="宋体" w:hAnsi="宋体" w:cs="宋体"/>
          <w:szCs w:val="21"/>
          <w:highlight w:val="none"/>
        </w:rPr>
        <w:t xml:space="preserve">  </w:t>
      </w:r>
    </w:p>
    <w:p w14:paraId="165BB596">
      <w:pPr>
        <w:snapToGrid w:val="0"/>
        <w:spacing w:line="360" w:lineRule="auto"/>
        <w:rPr>
          <w:rFonts w:hint="eastAsia" w:ascii="宋体" w:hAnsi="宋体" w:cs="宋体"/>
          <w:bCs/>
          <w:szCs w:val="21"/>
          <w:highlight w:val="none"/>
        </w:rPr>
      </w:pPr>
    </w:p>
    <w:p w14:paraId="0AFFE307">
      <w:pPr>
        <w:snapToGrid w:val="0"/>
        <w:spacing w:line="360" w:lineRule="auto"/>
        <w:rPr>
          <w:rFonts w:hint="eastAsia" w:ascii="宋体" w:hAnsi="宋体" w:cs="宋体"/>
          <w:bCs/>
          <w:szCs w:val="21"/>
          <w:highlight w:val="none"/>
        </w:rPr>
      </w:pPr>
      <w:r>
        <w:rPr>
          <w:rFonts w:hint="eastAsia" w:ascii="宋体" w:hAnsi="宋体" w:cs="宋体"/>
          <w:bCs/>
          <w:szCs w:val="21"/>
          <w:highlight w:val="none"/>
        </w:rPr>
        <w:t>日期：</w:t>
      </w:r>
      <w:r>
        <w:rPr>
          <w:rFonts w:hint="eastAsia" w:ascii="宋体" w:hAnsi="宋体" w:cs="宋体"/>
          <w:bCs/>
          <w:szCs w:val="21"/>
          <w:highlight w:val="none"/>
          <w:u w:val="single"/>
        </w:rPr>
        <w:t xml:space="preserve">               </w:t>
      </w:r>
      <w:r>
        <w:rPr>
          <w:rFonts w:hint="eastAsia" w:ascii="宋体" w:hAnsi="宋体" w:cs="宋体"/>
          <w:bCs/>
          <w:szCs w:val="21"/>
          <w:highlight w:val="none"/>
        </w:rPr>
        <w:t xml:space="preserve">                          日期：</w:t>
      </w:r>
      <w:r>
        <w:rPr>
          <w:rFonts w:hint="eastAsia" w:ascii="宋体" w:hAnsi="宋体" w:cs="宋体"/>
          <w:bCs/>
          <w:szCs w:val="21"/>
          <w:highlight w:val="none"/>
          <w:u w:val="single"/>
        </w:rPr>
        <w:t>　　　　　</w:t>
      </w:r>
    </w:p>
    <w:bookmarkEnd w:id="93"/>
    <w:bookmarkEnd w:id="94"/>
    <w:p w14:paraId="0138F1FF">
      <w:pPr>
        <w:pStyle w:val="29"/>
        <w:ind w:firstLine="0" w:firstLineChars="0"/>
        <w:jc w:val="both"/>
        <w:rPr>
          <w:b/>
          <w:bCs/>
          <w:sz w:val="44"/>
          <w:szCs w:val="44"/>
          <w:highlight w:val="none"/>
        </w:rPr>
      </w:pPr>
    </w:p>
    <w:sectPr>
      <w:footerReference r:id="rId9" w:type="first"/>
      <w:headerReference r:id="rId7" w:type="default"/>
      <w:footerReference r:id="rId8" w:type="default"/>
      <w:pgSz w:w="11906" w:h="16838"/>
      <w:pgMar w:top="1134" w:right="1134" w:bottom="1134" w:left="1134" w:header="851" w:footer="567"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幼圆">
    <w:panose1 w:val="0201050906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F9B684">
    <w:pPr>
      <w:pStyle w:val="17"/>
      <w:tabs>
        <w:tab w:val="center" w:pos="4439"/>
        <w:tab w:val="clear" w:pos="4153"/>
      </w:tabs>
      <w:jc w:val="both"/>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57785" cy="131445"/>
              <wp:effectExtent l="0" t="0" r="0" b="0"/>
              <wp:wrapNone/>
              <wp:docPr id="7" name="文本框 7"/>
              <wp:cNvGraphicFramePr/>
              <a:graphic xmlns:a="http://schemas.openxmlformats.org/drawingml/2006/main">
                <a:graphicData uri="http://schemas.microsoft.com/office/word/2010/wordprocessingShape">
                  <wps:wsp>
                    <wps:cNvSpPr txBox="1"/>
                    <wps:spPr>
                      <a:xfrm>
                        <a:off x="0" y="0"/>
                        <a:ext cx="57785" cy="131445"/>
                      </a:xfrm>
                      <a:prstGeom prst="rect">
                        <a:avLst/>
                      </a:prstGeom>
                      <a:noFill/>
                      <a:ln>
                        <a:noFill/>
                      </a:ln>
                    </wps:spPr>
                    <wps:txbx>
                      <w:txbxContent>
                        <w:p w14:paraId="5DF701A9">
                          <w:pPr>
                            <w:pStyle w:val="17"/>
                          </w:pPr>
                          <w:r>
                            <w:fldChar w:fldCharType="begin"/>
                          </w:r>
                          <w:r>
                            <w:instrText xml:space="preserve"> PAGE  \* MERGEFORMAT </w:instrText>
                          </w:r>
                          <w:r>
                            <w:fldChar w:fldCharType="separate"/>
                          </w:r>
                          <w:r>
                            <w:t>20</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0.35pt;width:4.55pt;mso-position-horizontal:center;mso-position-horizontal-relative:margin;mso-wrap-style:none;z-index:251661312;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4vdRNAAAAACAQAADwAAAAAAAAABACAAAAAiAAAAZHJzL2Rvd25yZXYueG1s&#10;UEsBAhQAFAAAAAgAh07iQNG89CvHAQAAigMAAA4AAAAAAAAAAQAgAAAAHwEAAGRycy9lMm9Eb2Mu&#10;eG1sUEsFBgAAAAAGAAYAWQEAAFgFAAAAAA==&#10;">
              <v:fill on="f" focussize="0,0"/>
              <v:stroke on="f"/>
              <v:imagedata o:title=""/>
              <o:lock v:ext="edit" aspectratio="f"/>
              <v:textbox inset="0mm,0mm,0mm,0mm" style="mso-fit-shape-to-text:t;">
                <w:txbxContent>
                  <w:p w14:paraId="5DF701A9">
                    <w:pPr>
                      <w:pStyle w:val="17"/>
                    </w:pPr>
                    <w:r>
                      <w:fldChar w:fldCharType="begin"/>
                    </w:r>
                    <w:r>
                      <w:instrText xml:space="preserve"> PAGE  \* MERGEFORMAT </w:instrText>
                    </w:r>
                    <w:r>
                      <w:fldChar w:fldCharType="separate"/>
                    </w:r>
                    <w:r>
                      <w:t>20</w:t>
                    </w:r>
                    <w:r>
                      <w:fldChar w:fldCharType="end"/>
                    </w:r>
                  </w:p>
                </w:txbxContent>
              </v:textbox>
            </v:shape>
          </w:pict>
        </mc:Fallback>
      </mc:AlternateContent>
    </w:r>
  </w:p>
  <w:p w14:paraId="23DBC6B0">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93F661">
    <w:pPr>
      <w:pStyle w:val="17"/>
      <w:tabs>
        <w:tab w:val="center" w:pos="4439"/>
        <w:tab w:val="clear" w:pos="4153"/>
      </w:tabs>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14935" cy="153035"/>
              <wp:effectExtent l="0" t="0" r="0" b="0"/>
              <wp:wrapNone/>
              <wp:docPr id="5" name="文本框 5"/>
              <wp:cNvGraphicFramePr/>
              <a:graphic xmlns:a="http://schemas.openxmlformats.org/drawingml/2006/main">
                <a:graphicData uri="http://schemas.microsoft.com/office/word/2010/wordprocessingShape">
                  <wps:wsp>
                    <wps:cNvSpPr txBox="1"/>
                    <wps:spPr>
                      <a:xfrm>
                        <a:off x="0" y="0"/>
                        <a:ext cx="114935" cy="153035"/>
                      </a:xfrm>
                      <a:prstGeom prst="rect">
                        <a:avLst/>
                      </a:prstGeom>
                      <a:noFill/>
                      <a:ln>
                        <a:noFill/>
                      </a:ln>
                    </wps:spPr>
                    <wps:txbx>
                      <w:txbxContent>
                        <w:p w14:paraId="74B1E883"/>
                      </w:txbxContent>
                    </wps:txbx>
                    <wps:bodyPr wrap="none" lIns="0" tIns="0" rIns="0" bIns="0">
                      <a:spAutoFit/>
                    </wps:bodyPr>
                  </wps:wsp>
                </a:graphicData>
              </a:graphic>
            </wp:anchor>
          </w:drawing>
        </mc:Choice>
        <mc:Fallback>
          <w:pict>
            <v:shape id="_x0000_s1026" o:spid="_x0000_s1026" o:spt="202" type="#_x0000_t202" style="position:absolute;left:0pt;margin-top:0pt;height:12.05pt;width:9.05pt;mso-position-horizontal:center;mso-position-horizontal-relative:margin;mso-wrap-style:none;z-index:251662336;mso-width-relative:page;mso-height-relative:page;" filled="f" stroked="f" coordsize="21600,21600" o:gfxdata="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AkFT5rQAAAAAwEAAA8AAAAAAAAAAQAgAAAAIgAAAGRycy9kb3ducmV2LnhtbFBL&#10;AQIUABQAAAAIAIdO4kBUxB8bxQEAAIsDAAAOAAAAAAAAAAEAIAAAAB8BAABkcnMvZTJvRG9jLnht&#10;bFBLBQYAAAAABgAGAFkBAABWBQAAAAA=&#10;">
              <v:fill on="f" focussize="0,0"/>
              <v:stroke on="f"/>
              <v:imagedata o:title=""/>
              <o:lock v:ext="edit" aspectratio="f"/>
              <v:textbox inset="0mm,0mm,0mm,0mm" style="mso-fit-shape-to-text:t;">
                <w:txbxContent>
                  <w:p w14:paraId="74B1E883"/>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5390B1">
    <w:pPr>
      <w:pStyle w:val="17"/>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31445"/>
              <wp:effectExtent l="0" t="0" r="0" b="0"/>
              <wp:wrapNone/>
              <wp:docPr id="6" name="文本框 6"/>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a:noFill/>
                      </a:ln>
                    </wps:spPr>
                    <wps:txbx>
                      <w:txbxContent>
                        <w:p w14:paraId="7649FD05">
                          <w:pPr>
                            <w:pStyle w:val="17"/>
                            <w:jc w:val="center"/>
                          </w:pPr>
                          <w:r>
                            <w:fldChar w:fldCharType="begin"/>
                          </w:r>
                          <w:r>
                            <w:instrText xml:space="preserve"> PAGE  \* MERGEFORMAT </w:instrText>
                          </w:r>
                          <w:r>
                            <w:fldChar w:fldCharType="separate"/>
                          </w:r>
                          <w:r>
                            <w:t>37</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0.35pt;width:9.05pt;mso-position-horizontal:center;mso-position-horizontal-relative:margin;mso-wrap-style:none;z-index:251659264;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BD5X5J0AAAAAMBAAAPAAAAAAAAAAEAIAAAACIAAABkcnMvZG93bnJldi54bWxQ&#10;SwECFAAUAAAACACHTuJAt87d2MYBAACLAwAADgAAAAAAAAABACAAAAAfAQAAZHJzL2Uyb0RvYy54&#10;bWxQSwUGAAAAAAYABgBZAQAAVwUAAAAA&#10;">
              <v:fill on="f" focussize="0,0"/>
              <v:stroke on="f"/>
              <v:imagedata o:title=""/>
              <o:lock v:ext="edit" aspectratio="f"/>
              <v:textbox inset="0mm,0mm,0mm,0mm" style="mso-fit-shape-to-text:t;">
                <w:txbxContent>
                  <w:p w14:paraId="7649FD05">
                    <w:pPr>
                      <w:pStyle w:val="17"/>
                      <w:jc w:val="center"/>
                    </w:pPr>
                    <w:r>
                      <w:fldChar w:fldCharType="begin"/>
                    </w:r>
                    <w:r>
                      <w:instrText xml:space="preserve"> PAGE  \* MERGEFORMAT </w:instrText>
                    </w:r>
                    <w:r>
                      <w:fldChar w:fldCharType="separate"/>
                    </w:r>
                    <w:r>
                      <w:t>37</w:t>
                    </w:r>
                    <w:r>
                      <w:fldChar w:fldCharType="end"/>
                    </w:r>
                  </w:p>
                </w:txbxContent>
              </v:textbox>
            </v:shape>
          </w:pict>
        </mc:Fallback>
      </mc:AlternateContent>
    </w:r>
  </w:p>
  <w:p w14:paraId="5CE2D5E7">
    <w:pPr>
      <w:pStyle w:val="1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5AC5E7">
    <w:pPr>
      <w:pStyle w:val="17"/>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14935" cy="131445"/>
              <wp:effectExtent l="0" t="0" r="0" b="0"/>
              <wp:wrapNone/>
              <wp:docPr id="1" name="文本框 1"/>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a:noFill/>
                      </a:ln>
                    </wps:spPr>
                    <wps:txbx>
                      <w:txbxContent>
                        <w:p w14:paraId="07C169C5">
                          <w:pPr>
                            <w:pStyle w:val="17"/>
                          </w:pPr>
                          <w:r>
                            <w:rPr>
                              <w:rFonts w:hint="eastAsia"/>
                            </w:rPr>
                            <w:fldChar w:fldCharType="begin"/>
                          </w:r>
                          <w:r>
                            <w:rPr>
                              <w:rFonts w:hint="eastAsia"/>
                            </w:rPr>
                            <w:instrText xml:space="preserve"> PAGE  \* MERGEFORMAT </w:instrText>
                          </w:r>
                          <w:r>
                            <w:rPr>
                              <w:rFonts w:hint="eastAsia"/>
                            </w:rPr>
                            <w:fldChar w:fldCharType="separate"/>
                          </w:r>
                          <w:r>
                            <w:t>29</w:t>
                          </w:r>
                          <w:r>
                            <w:rPr>
                              <w:rFonts w:hint="eastAsia"/>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0.35pt;width:9.05pt;mso-position-horizontal:center;mso-position-horizontal-relative:margin;mso-wrap-style:none;z-index:251660288;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Q+V+SdAAAAADAQAADwAAAAAAAAABACAAAAAiAAAAZHJzL2Rvd25yZXYueG1s&#10;UEsBAhQAFAAAAAgAh07iQDhQJ3LHAQAAiwMAAA4AAAAAAAAAAQAgAAAAHwEAAGRycy9lMm9Eb2Mu&#10;eG1sUEsFBgAAAAAGAAYAWQEAAFgFAAAAAA==&#10;">
              <v:fill on="f" focussize="0,0"/>
              <v:stroke on="f"/>
              <v:imagedata o:title=""/>
              <o:lock v:ext="edit" aspectratio="f"/>
              <v:textbox inset="0mm,0mm,0mm,0mm" style="mso-fit-shape-to-text:t;">
                <w:txbxContent>
                  <w:p w14:paraId="07C169C5">
                    <w:pPr>
                      <w:pStyle w:val="17"/>
                    </w:pPr>
                    <w:r>
                      <w:rPr>
                        <w:rFonts w:hint="eastAsia"/>
                      </w:rPr>
                      <w:fldChar w:fldCharType="begin"/>
                    </w:r>
                    <w:r>
                      <w:rPr>
                        <w:rFonts w:hint="eastAsia"/>
                      </w:rPr>
                      <w:instrText xml:space="preserve"> PAGE  \* MERGEFORMAT </w:instrText>
                    </w:r>
                    <w:r>
                      <w:rPr>
                        <w:rFonts w:hint="eastAsia"/>
                      </w:rPr>
                      <w:fldChar w:fldCharType="separate"/>
                    </w:r>
                    <w:r>
                      <w:t>29</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A95B99">
    <w:pPr>
      <w:pStyle w:val="1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BA1033">
    <w:pPr>
      <w:pStyle w:val="18"/>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0CA126">
    <w:pPr>
      <w:pStyle w:val="18"/>
      <w:pBdr>
        <w:bottom w:val="none" w:color="auto" w:sz="0" w:space="0"/>
      </w:pBdr>
      <w:tabs>
        <w:tab w:val="center" w:pos="0"/>
        <w:tab w:val="left" w:pos="8306"/>
        <w:tab w:val="clear" w:pos="4153"/>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oNotDisplayPageBoundaries w:val="1"/>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c1OTAyNjUwMzAwOTUzNDY4MDgzZGQ4NmQxNDljMzUifQ=="/>
  </w:docVars>
  <w:rsids>
    <w:rsidRoot w:val="34C93999"/>
    <w:rsid w:val="001077E5"/>
    <w:rsid w:val="00120044"/>
    <w:rsid w:val="001249E5"/>
    <w:rsid w:val="001370CC"/>
    <w:rsid w:val="002074A1"/>
    <w:rsid w:val="0024633E"/>
    <w:rsid w:val="002A321A"/>
    <w:rsid w:val="002E0DBD"/>
    <w:rsid w:val="002F2BC6"/>
    <w:rsid w:val="00337FF8"/>
    <w:rsid w:val="00376890"/>
    <w:rsid w:val="003914E4"/>
    <w:rsid w:val="004129E9"/>
    <w:rsid w:val="00437639"/>
    <w:rsid w:val="00445134"/>
    <w:rsid w:val="004759B0"/>
    <w:rsid w:val="004A514D"/>
    <w:rsid w:val="004B2FF5"/>
    <w:rsid w:val="004C2157"/>
    <w:rsid w:val="004C23B8"/>
    <w:rsid w:val="004F44A0"/>
    <w:rsid w:val="00513C9C"/>
    <w:rsid w:val="00560754"/>
    <w:rsid w:val="005750CF"/>
    <w:rsid w:val="00644C63"/>
    <w:rsid w:val="0067215E"/>
    <w:rsid w:val="006D1841"/>
    <w:rsid w:val="006D1962"/>
    <w:rsid w:val="006F21CF"/>
    <w:rsid w:val="0074337D"/>
    <w:rsid w:val="0075157B"/>
    <w:rsid w:val="00795E21"/>
    <w:rsid w:val="007C12D2"/>
    <w:rsid w:val="007C77CE"/>
    <w:rsid w:val="007F27CB"/>
    <w:rsid w:val="007F6099"/>
    <w:rsid w:val="00833F13"/>
    <w:rsid w:val="0087406B"/>
    <w:rsid w:val="008D7B67"/>
    <w:rsid w:val="00923A67"/>
    <w:rsid w:val="009545EB"/>
    <w:rsid w:val="009F2F68"/>
    <w:rsid w:val="00AF6A6D"/>
    <w:rsid w:val="00B2494B"/>
    <w:rsid w:val="00B47223"/>
    <w:rsid w:val="00B66956"/>
    <w:rsid w:val="00B74FA0"/>
    <w:rsid w:val="00B8222F"/>
    <w:rsid w:val="00BF6D0E"/>
    <w:rsid w:val="00C03FA9"/>
    <w:rsid w:val="00C26B47"/>
    <w:rsid w:val="00C30C5D"/>
    <w:rsid w:val="00C50E49"/>
    <w:rsid w:val="00C96759"/>
    <w:rsid w:val="00CC1689"/>
    <w:rsid w:val="00D028CA"/>
    <w:rsid w:val="00D45E9B"/>
    <w:rsid w:val="00D80D26"/>
    <w:rsid w:val="00D856B9"/>
    <w:rsid w:val="00DA6169"/>
    <w:rsid w:val="00DF6716"/>
    <w:rsid w:val="00E15E97"/>
    <w:rsid w:val="00E46AD2"/>
    <w:rsid w:val="00E73E52"/>
    <w:rsid w:val="00EA1794"/>
    <w:rsid w:val="00EA17BF"/>
    <w:rsid w:val="00EC3DEE"/>
    <w:rsid w:val="00F21422"/>
    <w:rsid w:val="00F464C3"/>
    <w:rsid w:val="00FD2DED"/>
    <w:rsid w:val="015837E7"/>
    <w:rsid w:val="019404F8"/>
    <w:rsid w:val="01B97F5E"/>
    <w:rsid w:val="023A2582"/>
    <w:rsid w:val="0241242E"/>
    <w:rsid w:val="02532161"/>
    <w:rsid w:val="02777065"/>
    <w:rsid w:val="02FF20EF"/>
    <w:rsid w:val="03121CB1"/>
    <w:rsid w:val="03327053"/>
    <w:rsid w:val="03F86B1C"/>
    <w:rsid w:val="047D34C5"/>
    <w:rsid w:val="04EA18B4"/>
    <w:rsid w:val="04F80D9E"/>
    <w:rsid w:val="05017C52"/>
    <w:rsid w:val="056C0210"/>
    <w:rsid w:val="05AC2A96"/>
    <w:rsid w:val="05D073C6"/>
    <w:rsid w:val="06093262"/>
    <w:rsid w:val="0650484D"/>
    <w:rsid w:val="06B55160"/>
    <w:rsid w:val="06DD0D61"/>
    <w:rsid w:val="06E1398D"/>
    <w:rsid w:val="06E65352"/>
    <w:rsid w:val="074F5A1D"/>
    <w:rsid w:val="07635DC6"/>
    <w:rsid w:val="08013031"/>
    <w:rsid w:val="08640C24"/>
    <w:rsid w:val="08C77405"/>
    <w:rsid w:val="08FB7730"/>
    <w:rsid w:val="08FC70AE"/>
    <w:rsid w:val="0925661E"/>
    <w:rsid w:val="094B3982"/>
    <w:rsid w:val="09CC40B1"/>
    <w:rsid w:val="0AEB7501"/>
    <w:rsid w:val="0B705B32"/>
    <w:rsid w:val="0B7F7B23"/>
    <w:rsid w:val="0C154AE6"/>
    <w:rsid w:val="0C71390F"/>
    <w:rsid w:val="0C780787"/>
    <w:rsid w:val="0CAC2B9A"/>
    <w:rsid w:val="0CFD1647"/>
    <w:rsid w:val="0D693D8C"/>
    <w:rsid w:val="0DC14423"/>
    <w:rsid w:val="0E630A57"/>
    <w:rsid w:val="0EC145B8"/>
    <w:rsid w:val="0ECC18E9"/>
    <w:rsid w:val="0F2D5DBF"/>
    <w:rsid w:val="0F87169C"/>
    <w:rsid w:val="10233173"/>
    <w:rsid w:val="102962AF"/>
    <w:rsid w:val="115351DC"/>
    <w:rsid w:val="11651569"/>
    <w:rsid w:val="11CE52C6"/>
    <w:rsid w:val="1238175F"/>
    <w:rsid w:val="12C435FB"/>
    <w:rsid w:val="13D50C28"/>
    <w:rsid w:val="13FF1575"/>
    <w:rsid w:val="14171240"/>
    <w:rsid w:val="144D4C62"/>
    <w:rsid w:val="14F25809"/>
    <w:rsid w:val="15055A09"/>
    <w:rsid w:val="153A762E"/>
    <w:rsid w:val="15D76C42"/>
    <w:rsid w:val="172C078B"/>
    <w:rsid w:val="178D2C0D"/>
    <w:rsid w:val="17F7561A"/>
    <w:rsid w:val="18517B09"/>
    <w:rsid w:val="185C36C6"/>
    <w:rsid w:val="18610CDC"/>
    <w:rsid w:val="189310B2"/>
    <w:rsid w:val="189A5F9C"/>
    <w:rsid w:val="18AE37F5"/>
    <w:rsid w:val="1930354C"/>
    <w:rsid w:val="199B6470"/>
    <w:rsid w:val="1A516B2E"/>
    <w:rsid w:val="1A5D3725"/>
    <w:rsid w:val="1A7E6175"/>
    <w:rsid w:val="1AA21A2F"/>
    <w:rsid w:val="1AE00FE3"/>
    <w:rsid w:val="1AFC6F03"/>
    <w:rsid w:val="1B23068A"/>
    <w:rsid w:val="1B8A054A"/>
    <w:rsid w:val="1B997902"/>
    <w:rsid w:val="1C01115D"/>
    <w:rsid w:val="1C7E3439"/>
    <w:rsid w:val="1C827473"/>
    <w:rsid w:val="1D216C8C"/>
    <w:rsid w:val="1D594AE3"/>
    <w:rsid w:val="1E2A6984"/>
    <w:rsid w:val="1F19738B"/>
    <w:rsid w:val="1F3033A9"/>
    <w:rsid w:val="1F3507CD"/>
    <w:rsid w:val="1F9C381F"/>
    <w:rsid w:val="200077CF"/>
    <w:rsid w:val="20880961"/>
    <w:rsid w:val="2091237A"/>
    <w:rsid w:val="20992FDD"/>
    <w:rsid w:val="20BD316F"/>
    <w:rsid w:val="20BE4ACB"/>
    <w:rsid w:val="20BF7061"/>
    <w:rsid w:val="20E95A81"/>
    <w:rsid w:val="20EC5803"/>
    <w:rsid w:val="21073EBF"/>
    <w:rsid w:val="21246D4B"/>
    <w:rsid w:val="21510141"/>
    <w:rsid w:val="21837F15"/>
    <w:rsid w:val="21AE2AB8"/>
    <w:rsid w:val="222B119F"/>
    <w:rsid w:val="22381879"/>
    <w:rsid w:val="224156DA"/>
    <w:rsid w:val="22EE13BE"/>
    <w:rsid w:val="23571659"/>
    <w:rsid w:val="236B2A0F"/>
    <w:rsid w:val="23D7424E"/>
    <w:rsid w:val="241237D2"/>
    <w:rsid w:val="242B31D9"/>
    <w:rsid w:val="24341D04"/>
    <w:rsid w:val="244D480A"/>
    <w:rsid w:val="2547125A"/>
    <w:rsid w:val="263A355B"/>
    <w:rsid w:val="263D5FAD"/>
    <w:rsid w:val="266E0A9E"/>
    <w:rsid w:val="26FE003E"/>
    <w:rsid w:val="27206206"/>
    <w:rsid w:val="272F01F7"/>
    <w:rsid w:val="274E2D73"/>
    <w:rsid w:val="27894FA0"/>
    <w:rsid w:val="27D2215A"/>
    <w:rsid w:val="27F76F67"/>
    <w:rsid w:val="281A0EA7"/>
    <w:rsid w:val="284877C3"/>
    <w:rsid w:val="28701767"/>
    <w:rsid w:val="28836A4D"/>
    <w:rsid w:val="28A144DE"/>
    <w:rsid w:val="28C606E7"/>
    <w:rsid w:val="29394A5F"/>
    <w:rsid w:val="29B82726"/>
    <w:rsid w:val="29C67536"/>
    <w:rsid w:val="2A4012A5"/>
    <w:rsid w:val="2ACA39A7"/>
    <w:rsid w:val="2AEA2DB3"/>
    <w:rsid w:val="2B8D1D21"/>
    <w:rsid w:val="2BDC1346"/>
    <w:rsid w:val="2BEC4909"/>
    <w:rsid w:val="2C26606D"/>
    <w:rsid w:val="2CB25CD8"/>
    <w:rsid w:val="2CDA6E57"/>
    <w:rsid w:val="2DB87C25"/>
    <w:rsid w:val="2DDB94E8"/>
    <w:rsid w:val="2DE4019A"/>
    <w:rsid w:val="2DFA422D"/>
    <w:rsid w:val="2ED82DE9"/>
    <w:rsid w:val="2F01691D"/>
    <w:rsid w:val="2F567BD9"/>
    <w:rsid w:val="2F93694C"/>
    <w:rsid w:val="2FA77026"/>
    <w:rsid w:val="2FB64A2C"/>
    <w:rsid w:val="30A36FF1"/>
    <w:rsid w:val="30AE74B8"/>
    <w:rsid w:val="30E57806"/>
    <w:rsid w:val="30E76319"/>
    <w:rsid w:val="31061FC9"/>
    <w:rsid w:val="31D65C22"/>
    <w:rsid w:val="32003B98"/>
    <w:rsid w:val="32FA5B5D"/>
    <w:rsid w:val="32FD48AE"/>
    <w:rsid w:val="330A7EFD"/>
    <w:rsid w:val="3330157F"/>
    <w:rsid w:val="33B81DE8"/>
    <w:rsid w:val="33FF67B9"/>
    <w:rsid w:val="34060480"/>
    <w:rsid w:val="34173F47"/>
    <w:rsid w:val="34A96881"/>
    <w:rsid w:val="34C93999"/>
    <w:rsid w:val="357065AB"/>
    <w:rsid w:val="35CB558F"/>
    <w:rsid w:val="35D703D8"/>
    <w:rsid w:val="36BA61CA"/>
    <w:rsid w:val="375816CF"/>
    <w:rsid w:val="375BD3A9"/>
    <w:rsid w:val="37795AC3"/>
    <w:rsid w:val="378219F7"/>
    <w:rsid w:val="37BB699A"/>
    <w:rsid w:val="381E7F4D"/>
    <w:rsid w:val="3836605E"/>
    <w:rsid w:val="385D1988"/>
    <w:rsid w:val="3861455A"/>
    <w:rsid w:val="38DE5291"/>
    <w:rsid w:val="38DF7CCF"/>
    <w:rsid w:val="390037A2"/>
    <w:rsid w:val="39691347"/>
    <w:rsid w:val="39B567E8"/>
    <w:rsid w:val="39FA28E7"/>
    <w:rsid w:val="3A1A6AE5"/>
    <w:rsid w:val="3A457788"/>
    <w:rsid w:val="3B4958D4"/>
    <w:rsid w:val="3B5B73B5"/>
    <w:rsid w:val="3BC04D42"/>
    <w:rsid w:val="3BE70255"/>
    <w:rsid w:val="3BE90E02"/>
    <w:rsid w:val="3C3C0578"/>
    <w:rsid w:val="3C812E4B"/>
    <w:rsid w:val="3CB6196A"/>
    <w:rsid w:val="3CDC4C15"/>
    <w:rsid w:val="3D5C7EC0"/>
    <w:rsid w:val="3D772DA7"/>
    <w:rsid w:val="3E110989"/>
    <w:rsid w:val="3E182556"/>
    <w:rsid w:val="3E1A3C76"/>
    <w:rsid w:val="3E3068D7"/>
    <w:rsid w:val="3EBF1848"/>
    <w:rsid w:val="3EC534C3"/>
    <w:rsid w:val="3F0C16C4"/>
    <w:rsid w:val="3F3F4625"/>
    <w:rsid w:val="3F6D4C9E"/>
    <w:rsid w:val="3F740BAA"/>
    <w:rsid w:val="3FA33136"/>
    <w:rsid w:val="3FAC745B"/>
    <w:rsid w:val="400224F5"/>
    <w:rsid w:val="403A1C8F"/>
    <w:rsid w:val="40592CD6"/>
    <w:rsid w:val="40EA5463"/>
    <w:rsid w:val="41166258"/>
    <w:rsid w:val="4139028D"/>
    <w:rsid w:val="415B5189"/>
    <w:rsid w:val="418E68AF"/>
    <w:rsid w:val="420D12B8"/>
    <w:rsid w:val="422453BF"/>
    <w:rsid w:val="424F6D01"/>
    <w:rsid w:val="429D02B3"/>
    <w:rsid w:val="43186F5D"/>
    <w:rsid w:val="441F3676"/>
    <w:rsid w:val="442E38B7"/>
    <w:rsid w:val="444035EC"/>
    <w:rsid w:val="445552E9"/>
    <w:rsid w:val="44BF2B1E"/>
    <w:rsid w:val="451821CA"/>
    <w:rsid w:val="451D4333"/>
    <w:rsid w:val="45EC4EB1"/>
    <w:rsid w:val="46B53161"/>
    <w:rsid w:val="46C2653A"/>
    <w:rsid w:val="46D71FE6"/>
    <w:rsid w:val="46DD59F3"/>
    <w:rsid w:val="46F26477"/>
    <w:rsid w:val="473453C9"/>
    <w:rsid w:val="477135F2"/>
    <w:rsid w:val="481D7ECC"/>
    <w:rsid w:val="487A43A9"/>
    <w:rsid w:val="48A24DF2"/>
    <w:rsid w:val="48EC2473"/>
    <w:rsid w:val="4910358D"/>
    <w:rsid w:val="49325BF9"/>
    <w:rsid w:val="4A7A7858"/>
    <w:rsid w:val="4A833DDE"/>
    <w:rsid w:val="4AAD1497"/>
    <w:rsid w:val="4AF60EA8"/>
    <w:rsid w:val="4B766399"/>
    <w:rsid w:val="4B9B6A46"/>
    <w:rsid w:val="4BD126B6"/>
    <w:rsid w:val="4CAE4D4E"/>
    <w:rsid w:val="4D061CEA"/>
    <w:rsid w:val="4D2D2077"/>
    <w:rsid w:val="4D3079B0"/>
    <w:rsid w:val="4D483CFB"/>
    <w:rsid w:val="4DC766D9"/>
    <w:rsid w:val="4DC837F1"/>
    <w:rsid w:val="4DE43E38"/>
    <w:rsid w:val="4E57207E"/>
    <w:rsid w:val="4E577EB0"/>
    <w:rsid w:val="4E643CA3"/>
    <w:rsid w:val="4E8B0801"/>
    <w:rsid w:val="4EEA0D24"/>
    <w:rsid w:val="4F906C8C"/>
    <w:rsid w:val="4FA15887"/>
    <w:rsid w:val="4FEB6B02"/>
    <w:rsid w:val="500110B1"/>
    <w:rsid w:val="51023383"/>
    <w:rsid w:val="51220301"/>
    <w:rsid w:val="517D19DC"/>
    <w:rsid w:val="52232583"/>
    <w:rsid w:val="522B77E3"/>
    <w:rsid w:val="52434B27"/>
    <w:rsid w:val="526C64D6"/>
    <w:rsid w:val="526F3A1A"/>
    <w:rsid w:val="543F741C"/>
    <w:rsid w:val="54431BBA"/>
    <w:rsid w:val="547748A2"/>
    <w:rsid w:val="551366B0"/>
    <w:rsid w:val="551E6BFD"/>
    <w:rsid w:val="55412866"/>
    <w:rsid w:val="557E5D22"/>
    <w:rsid w:val="55E55DA1"/>
    <w:rsid w:val="55F52488"/>
    <w:rsid w:val="560B3A5A"/>
    <w:rsid w:val="5687029A"/>
    <w:rsid w:val="57011E43"/>
    <w:rsid w:val="5712706A"/>
    <w:rsid w:val="5758166F"/>
    <w:rsid w:val="587C2220"/>
    <w:rsid w:val="58F0571B"/>
    <w:rsid w:val="59800714"/>
    <w:rsid w:val="59C97EB4"/>
    <w:rsid w:val="59CD1026"/>
    <w:rsid w:val="59F34F31"/>
    <w:rsid w:val="5A6D0B73"/>
    <w:rsid w:val="5B7764D4"/>
    <w:rsid w:val="5B94358B"/>
    <w:rsid w:val="5C213F6E"/>
    <w:rsid w:val="5C965BD2"/>
    <w:rsid w:val="5CB96961"/>
    <w:rsid w:val="5CBB20D7"/>
    <w:rsid w:val="5D4265D8"/>
    <w:rsid w:val="5D557CB0"/>
    <w:rsid w:val="5EA902B4"/>
    <w:rsid w:val="5F2F6EFE"/>
    <w:rsid w:val="5F334C6A"/>
    <w:rsid w:val="5F3956A4"/>
    <w:rsid w:val="5F3A9E27"/>
    <w:rsid w:val="5F7C5450"/>
    <w:rsid w:val="600357A2"/>
    <w:rsid w:val="600734E4"/>
    <w:rsid w:val="60132BBC"/>
    <w:rsid w:val="615C0D42"/>
    <w:rsid w:val="617C2DA3"/>
    <w:rsid w:val="61893794"/>
    <w:rsid w:val="620D2688"/>
    <w:rsid w:val="625B6C51"/>
    <w:rsid w:val="62DE63D1"/>
    <w:rsid w:val="62DF24F6"/>
    <w:rsid w:val="634C54F0"/>
    <w:rsid w:val="6361115D"/>
    <w:rsid w:val="637D564F"/>
    <w:rsid w:val="638E7A78"/>
    <w:rsid w:val="6411213F"/>
    <w:rsid w:val="642239BF"/>
    <w:rsid w:val="645111D2"/>
    <w:rsid w:val="6460463E"/>
    <w:rsid w:val="64C16798"/>
    <w:rsid w:val="64CC60FB"/>
    <w:rsid w:val="64EF4547"/>
    <w:rsid w:val="64F00543"/>
    <w:rsid w:val="64F41B5D"/>
    <w:rsid w:val="6519323D"/>
    <w:rsid w:val="6526668E"/>
    <w:rsid w:val="65292C1E"/>
    <w:rsid w:val="65570F81"/>
    <w:rsid w:val="65586590"/>
    <w:rsid w:val="65701CA0"/>
    <w:rsid w:val="65A40EB0"/>
    <w:rsid w:val="65A42D3E"/>
    <w:rsid w:val="65A74E21"/>
    <w:rsid w:val="65BD23B8"/>
    <w:rsid w:val="668533B4"/>
    <w:rsid w:val="670912D2"/>
    <w:rsid w:val="670C06CC"/>
    <w:rsid w:val="67406DA3"/>
    <w:rsid w:val="68201F24"/>
    <w:rsid w:val="68303D68"/>
    <w:rsid w:val="683C3F47"/>
    <w:rsid w:val="689B6EBF"/>
    <w:rsid w:val="68A65864"/>
    <w:rsid w:val="68F86230"/>
    <w:rsid w:val="69054339"/>
    <w:rsid w:val="6A070584"/>
    <w:rsid w:val="6A2904FB"/>
    <w:rsid w:val="6A4175F2"/>
    <w:rsid w:val="6B982E39"/>
    <w:rsid w:val="6BB61B32"/>
    <w:rsid w:val="6BEA6F9E"/>
    <w:rsid w:val="6C0905E4"/>
    <w:rsid w:val="6C87065C"/>
    <w:rsid w:val="6CBA151E"/>
    <w:rsid w:val="6CC44F34"/>
    <w:rsid w:val="6D447383"/>
    <w:rsid w:val="6D45389E"/>
    <w:rsid w:val="6D617FAC"/>
    <w:rsid w:val="6D773F73"/>
    <w:rsid w:val="6D8048D6"/>
    <w:rsid w:val="6D806C9D"/>
    <w:rsid w:val="6D8845E0"/>
    <w:rsid w:val="6F242BE9"/>
    <w:rsid w:val="6F763A18"/>
    <w:rsid w:val="6F9E1043"/>
    <w:rsid w:val="6FF03E60"/>
    <w:rsid w:val="6FFC562B"/>
    <w:rsid w:val="6FFF9462"/>
    <w:rsid w:val="701F6731"/>
    <w:rsid w:val="703E3ADE"/>
    <w:rsid w:val="708A4BE7"/>
    <w:rsid w:val="7091303E"/>
    <w:rsid w:val="70D96BE4"/>
    <w:rsid w:val="719731AA"/>
    <w:rsid w:val="72600832"/>
    <w:rsid w:val="72626453"/>
    <w:rsid w:val="729A188F"/>
    <w:rsid w:val="72FB5001"/>
    <w:rsid w:val="731B25F8"/>
    <w:rsid w:val="732857F3"/>
    <w:rsid w:val="736138AF"/>
    <w:rsid w:val="73813156"/>
    <w:rsid w:val="73BF31A6"/>
    <w:rsid w:val="742D5082"/>
    <w:rsid w:val="7444344F"/>
    <w:rsid w:val="7475174F"/>
    <w:rsid w:val="74842EFD"/>
    <w:rsid w:val="752217B8"/>
    <w:rsid w:val="75322959"/>
    <w:rsid w:val="75D24C43"/>
    <w:rsid w:val="75D9C1FB"/>
    <w:rsid w:val="76FD65E3"/>
    <w:rsid w:val="777F385B"/>
    <w:rsid w:val="77B7D072"/>
    <w:rsid w:val="7835413B"/>
    <w:rsid w:val="78643027"/>
    <w:rsid w:val="787B1EF7"/>
    <w:rsid w:val="78FB3A2D"/>
    <w:rsid w:val="78FBE2E9"/>
    <w:rsid w:val="79751067"/>
    <w:rsid w:val="79CF4A40"/>
    <w:rsid w:val="79ED83A9"/>
    <w:rsid w:val="79FA49EF"/>
    <w:rsid w:val="7A2111EE"/>
    <w:rsid w:val="7A971BA9"/>
    <w:rsid w:val="7B4406C9"/>
    <w:rsid w:val="7B8F3F36"/>
    <w:rsid w:val="7BC462D5"/>
    <w:rsid w:val="7BE424D4"/>
    <w:rsid w:val="7BE6385A"/>
    <w:rsid w:val="7BEDAB3F"/>
    <w:rsid w:val="7C536688"/>
    <w:rsid w:val="7C773856"/>
    <w:rsid w:val="7CC876FF"/>
    <w:rsid w:val="7CCE07CD"/>
    <w:rsid w:val="7D6F7B12"/>
    <w:rsid w:val="7D9B0C98"/>
    <w:rsid w:val="7DA0340B"/>
    <w:rsid w:val="7DBF3E05"/>
    <w:rsid w:val="7DFE02F7"/>
    <w:rsid w:val="7E066731"/>
    <w:rsid w:val="7E7A34BE"/>
    <w:rsid w:val="7E8458A8"/>
    <w:rsid w:val="7ECB2820"/>
    <w:rsid w:val="7F2802D8"/>
    <w:rsid w:val="7F6530A9"/>
    <w:rsid w:val="7F6F6FA7"/>
    <w:rsid w:val="7FB73BE7"/>
    <w:rsid w:val="7FE722DE"/>
    <w:rsid w:val="7FFAE390"/>
    <w:rsid w:val="7FFDCA44"/>
    <w:rsid w:val="7FFF7199"/>
    <w:rsid w:val="8EEEE644"/>
    <w:rsid w:val="9DFE7EA4"/>
    <w:rsid w:val="B7CE34E3"/>
    <w:rsid w:val="BBEFBB2E"/>
    <w:rsid w:val="BD68E148"/>
    <w:rsid w:val="BFABC73B"/>
    <w:rsid w:val="BFBD0CF5"/>
    <w:rsid w:val="CB7B2F97"/>
    <w:rsid w:val="CBB7A07C"/>
    <w:rsid w:val="CFFC5471"/>
    <w:rsid w:val="E34D1BFE"/>
    <w:rsid w:val="EFBFA2F6"/>
    <w:rsid w:val="F8BBC25D"/>
    <w:rsid w:val="FA6F2BB0"/>
    <w:rsid w:val="FD3651C9"/>
    <w:rsid w:val="FDFB5E4E"/>
    <w:rsid w:val="FE3E1195"/>
    <w:rsid w:val="FF4FCBD6"/>
    <w:rsid w:val="FFDAD0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nhideWhenUsed="0" w:uiPriority="9"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qFormat="1" w:uiPriority="99"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iPriority="99"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jc w:val="center"/>
      <w:outlineLvl w:val="1"/>
    </w:pPr>
    <w:rPr>
      <w:rFonts w:ascii="黑体" w:hAnsi="宋体" w:eastAsia="黑体"/>
      <w:b/>
      <w:bCs/>
      <w:sz w:val="36"/>
      <w:szCs w:val="32"/>
    </w:rPr>
  </w:style>
  <w:style w:type="paragraph" w:styleId="4">
    <w:name w:val="heading 5"/>
    <w:basedOn w:val="1"/>
    <w:next w:val="5"/>
    <w:qFormat/>
    <w:uiPriority w:val="9"/>
    <w:pPr>
      <w:keepNext/>
      <w:keepLines/>
      <w:spacing w:before="280" w:after="290" w:line="376" w:lineRule="auto"/>
      <w:outlineLvl w:val="4"/>
    </w:pPr>
    <w:rPr>
      <w:b/>
      <w:bCs/>
      <w:sz w:val="28"/>
      <w:szCs w:val="28"/>
    </w:rPr>
  </w:style>
  <w:style w:type="paragraph" w:styleId="6">
    <w:name w:val="heading 6"/>
    <w:basedOn w:val="1"/>
    <w:next w:val="1"/>
    <w:qFormat/>
    <w:uiPriority w:val="0"/>
    <w:pPr>
      <w:keepNext/>
      <w:keepLines/>
      <w:spacing w:line="360" w:lineRule="auto"/>
      <w:outlineLvl w:val="5"/>
    </w:pPr>
    <w:rPr>
      <w:b/>
      <w:bCs/>
      <w:szCs w:val="32"/>
    </w:rPr>
  </w:style>
  <w:style w:type="character" w:default="1" w:styleId="26">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ind w:firstLine="420"/>
    </w:pPr>
    <w:rPr>
      <w:szCs w:val="20"/>
    </w:rPr>
  </w:style>
  <w:style w:type="paragraph" w:styleId="7">
    <w:name w:val="caption"/>
    <w:basedOn w:val="1"/>
    <w:next w:val="1"/>
    <w:qFormat/>
    <w:uiPriority w:val="0"/>
    <w:pPr>
      <w:spacing w:before="152" w:after="160"/>
    </w:pPr>
    <w:rPr>
      <w:rFonts w:ascii="Arial" w:hAnsi="Arial" w:eastAsia="黑体" w:cs="Arial"/>
      <w:sz w:val="20"/>
      <w:szCs w:val="20"/>
    </w:rPr>
  </w:style>
  <w:style w:type="paragraph" w:styleId="8">
    <w:name w:val="annotation text"/>
    <w:basedOn w:val="1"/>
    <w:link w:val="30"/>
    <w:qFormat/>
    <w:uiPriority w:val="0"/>
    <w:pPr>
      <w:jc w:val="left"/>
    </w:pPr>
  </w:style>
  <w:style w:type="paragraph" w:styleId="9">
    <w:name w:val="Body Text 3"/>
    <w:basedOn w:val="1"/>
    <w:unhideWhenUsed/>
    <w:qFormat/>
    <w:uiPriority w:val="99"/>
    <w:pPr>
      <w:spacing w:after="120"/>
    </w:pPr>
    <w:rPr>
      <w:sz w:val="16"/>
      <w:szCs w:val="16"/>
    </w:rPr>
  </w:style>
  <w:style w:type="paragraph" w:styleId="10">
    <w:name w:val="Body Text"/>
    <w:basedOn w:val="1"/>
    <w:next w:val="11"/>
    <w:unhideWhenUsed/>
    <w:qFormat/>
    <w:uiPriority w:val="0"/>
    <w:pPr>
      <w:spacing w:after="120"/>
    </w:pPr>
  </w:style>
  <w:style w:type="paragraph" w:customStyle="1" w:styleId="11">
    <w:name w:val="默认段落"/>
    <w:basedOn w:val="1"/>
    <w:qFormat/>
    <w:uiPriority w:val="0"/>
    <w:rPr>
      <w:rFonts w:ascii="Calibri" w:hAnsi="Calibri"/>
    </w:rPr>
  </w:style>
  <w:style w:type="paragraph" w:styleId="12">
    <w:name w:val="Body Text Indent"/>
    <w:basedOn w:val="1"/>
    <w:next w:val="1"/>
    <w:qFormat/>
    <w:uiPriority w:val="0"/>
    <w:pPr>
      <w:ind w:firstLine="830" w:firstLineChars="352"/>
    </w:pPr>
    <w:rPr>
      <w:rFonts w:ascii="仿宋_GB2312" w:eastAsia="仿宋_GB2312"/>
      <w:kern w:val="0"/>
      <w:sz w:val="32"/>
      <w:szCs w:val="20"/>
    </w:rPr>
  </w:style>
  <w:style w:type="paragraph" w:styleId="13">
    <w:name w:val="List 2"/>
    <w:basedOn w:val="1"/>
    <w:unhideWhenUsed/>
    <w:qFormat/>
    <w:uiPriority w:val="99"/>
    <w:pPr>
      <w:ind w:left="100" w:leftChars="200" w:hanging="200" w:hangingChars="200"/>
      <w:contextualSpacing/>
    </w:pPr>
  </w:style>
  <w:style w:type="paragraph" w:styleId="14">
    <w:name w:val="toc 3"/>
    <w:basedOn w:val="1"/>
    <w:next w:val="1"/>
    <w:qFormat/>
    <w:uiPriority w:val="0"/>
    <w:pPr>
      <w:ind w:left="840" w:leftChars="400"/>
    </w:pPr>
  </w:style>
  <w:style w:type="paragraph" w:styleId="15">
    <w:name w:val="Plain Text"/>
    <w:basedOn w:val="1"/>
    <w:next w:val="1"/>
    <w:qFormat/>
    <w:uiPriority w:val="0"/>
    <w:rPr>
      <w:rFonts w:ascii="宋体" w:hAnsi="Courier New"/>
      <w:kern w:val="0"/>
      <w:sz w:val="20"/>
      <w:szCs w:val="21"/>
    </w:rPr>
  </w:style>
  <w:style w:type="paragraph" w:styleId="16">
    <w:name w:val="Balloon Text"/>
    <w:basedOn w:val="1"/>
    <w:link w:val="39"/>
    <w:qFormat/>
    <w:uiPriority w:val="0"/>
    <w:rPr>
      <w:sz w:val="18"/>
      <w:szCs w:val="18"/>
    </w:rPr>
  </w:style>
  <w:style w:type="paragraph" w:styleId="17">
    <w:name w:val="footer"/>
    <w:basedOn w:val="1"/>
    <w:unhideWhenUsed/>
    <w:qFormat/>
    <w:uiPriority w:val="99"/>
    <w:pPr>
      <w:tabs>
        <w:tab w:val="center" w:pos="4153"/>
        <w:tab w:val="right" w:pos="8306"/>
      </w:tabs>
      <w:snapToGrid w:val="0"/>
      <w:jc w:val="left"/>
    </w:pPr>
    <w:rPr>
      <w:kern w:val="0"/>
      <w:sz w:val="18"/>
      <w:szCs w:val="18"/>
    </w:rPr>
  </w:style>
  <w:style w:type="paragraph" w:styleId="18">
    <w:name w:val="header"/>
    <w:basedOn w:val="1"/>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19">
    <w:name w:val="toc 1"/>
    <w:basedOn w:val="1"/>
    <w:next w:val="1"/>
    <w:unhideWhenUsed/>
    <w:qFormat/>
    <w:uiPriority w:val="39"/>
  </w:style>
  <w:style w:type="paragraph" w:styleId="20">
    <w:name w:val="List"/>
    <w:basedOn w:val="1"/>
    <w:qFormat/>
    <w:uiPriority w:val="0"/>
    <w:pPr>
      <w:ind w:left="200" w:hanging="200" w:hangingChars="200"/>
    </w:pPr>
    <w:rPr>
      <w:sz w:val="28"/>
    </w:rPr>
  </w:style>
  <w:style w:type="paragraph" w:styleId="21">
    <w:name w:val="toc 2"/>
    <w:basedOn w:val="1"/>
    <w:next w:val="1"/>
    <w:unhideWhenUsed/>
    <w:qFormat/>
    <w:uiPriority w:val="39"/>
    <w:pPr>
      <w:tabs>
        <w:tab w:val="right" w:leader="dot" w:pos="8296"/>
      </w:tabs>
      <w:ind w:left="420" w:leftChars="200"/>
    </w:pPr>
  </w:style>
  <w:style w:type="paragraph" w:styleId="22">
    <w:name w:val="Message Header"/>
    <w:basedOn w:val="1"/>
    <w:next w:val="10"/>
    <w:qFormat/>
    <w:uiPriority w:val="0"/>
    <w:pPr>
      <w:pBdr>
        <w:top w:val="none" w:color="auto" w:sz="0" w:space="1"/>
        <w:left w:val="none" w:color="auto" w:sz="0" w:space="1"/>
        <w:bottom w:val="none" w:color="auto" w:sz="0" w:space="1"/>
        <w:right w:val="none" w:color="auto" w:sz="0" w:space="1"/>
      </w:pBdr>
      <w:shd w:val="pct20" w:color="auto" w:fill="auto"/>
      <w:kinsoku w:val="0"/>
      <w:overflowPunct w:val="0"/>
      <w:spacing w:line="360" w:lineRule="auto"/>
    </w:pPr>
    <w:rPr>
      <w:rFonts w:ascii="Arial" w:hAnsi="Arial"/>
      <w:sz w:val="28"/>
    </w:rPr>
  </w:style>
  <w:style w:type="paragraph" w:styleId="23">
    <w:name w:val="annotation subject"/>
    <w:basedOn w:val="8"/>
    <w:next w:val="8"/>
    <w:link w:val="31"/>
    <w:qFormat/>
    <w:uiPriority w:val="0"/>
    <w:rPr>
      <w:b/>
      <w:bCs/>
    </w:rPr>
  </w:style>
  <w:style w:type="paragraph" w:styleId="24">
    <w:name w:val="Body Text First Indent 2"/>
    <w:basedOn w:val="12"/>
    <w:next w:val="1"/>
    <w:qFormat/>
    <w:uiPriority w:val="0"/>
    <w:pPr>
      <w:tabs>
        <w:tab w:val="left" w:pos="0"/>
        <w:tab w:val="left" w:pos="420"/>
      </w:tabs>
      <w:wordWrap w:val="0"/>
      <w:topLinePunct/>
      <w:spacing w:line="360" w:lineRule="auto"/>
      <w:ind w:firstLine="480" w:firstLineChars="200"/>
    </w:pPr>
    <w:rPr>
      <w:rFonts w:ascii="幼圆" w:eastAsia="幼圆"/>
      <w:bCs/>
      <w:color w:val="000000"/>
      <w:spacing w:val="20"/>
      <w:sz w:val="24"/>
      <w:szCs w:val="24"/>
    </w:rPr>
  </w:style>
  <w:style w:type="character" w:styleId="27">
    <w:name w:val="page number"/>
    <w:qFormat/>
    <w:uiPriority w:val="0"/>
  </w:style>
  <w:style w:type="character" w:styleId="28">
    <w:name w:val="annotation reference"/>
    <w:qFormat/>
    <w:uiPriority w:val="0"/>
    <w:rPr>
      <w:sz w:val="21"/>
      <w:szCs w:val="21"/>
    </w:rPr>
  </w:style>
  <w:style w:type="paragraph" w:customStyle="1" w:styleId="29">
    <w:name w:val="Body Text First Indent1"/>
    <w:basedOn w:val="17"/>
    <w:qFormat/>
    <w:uiPriority w:val="0"/>
    <w:pPr>
      <w:spacing w:line="360" w:lineRule="auto"/>
      <w:ind w:firstLine="420" w:firstLineChars="100"/>
    </w:pPr>
  </w:style>
  <w:style w:type="character" w:customStyle="1" w:styleId="30">
    <w:name w:val="批注文字 字符"/>
    <w:link w:val="8"/>
    <w:qFormat/>
    <w:uiPriority w:val="0"/>
    <w:rPr>
      <w:kern w:val="2"/>
      <w:sz w:val="21"/>
      <w:szCs w:val="24"/>
    </w:rPr>
  </w:style>
  <w:style w:type="character" w:customStyle="1" w:styleId="31">
    <w:name w:val="批注主题 字符"/>
    <w:link w:val="23"/>
    <w:qFormat/>
    <w:uiPriority w:val="0"/>
    <w:rPr>
      <w:b/>
      <w:bCs/>
      <w:kern w:val="2"/>
      <w:sz w:val="21"/>
      <w:szCs w:val="24"/>
    </w:rPr>
  </w:style>
  <w:style w:type="paragraph" w:customStyle="1" w:styleId="32">
    <w:name w:val="表格文字"/>
    <w:basedOn w:val="1"/>
    <w:next w:val="10"/>
    <w:qFormat/>
    <w:uiPriority w:val="0"/>
    <w:pPr>
      <w:spacing w:before="25" w:after="25"/>
      <w:jc w:val="left"/>
    </w:pPr>
    <w:rPr>
      <w:bCs/>
      <w:spacing w:val="10"/>
      <w:kern w:val="0"/>
      <w:sz w:val="24"/>
      <w:szCs w:val="20"/>
    </w:rPr>
  </w:style>
  <w:style w:type="paragraph" w:customStyle="1" w:styleId="33">
    <w:name w:val="Default"/>
    <w:qFormat/>
    <w:uiPriority w:val="0"/>
    <w:pPr>
      <w:widowControl w:val="0"/>
      <w:autoSpaceDE w:val="0"/>
      <w:autoSpaceDN w:val="0"/>
      <w:adjustRightInd w:val="0"/>
    </w:pPr>
    <w:rPr>
      <w:rFonts w:hint="eastAsia" w:ascii="方正小标宋简体" w:hAnsi="方正小标宋简体" w:eastAsia="方正小标宋简体" w:cs="Times New Roman"/>
      <w:color w:val="000000"/>
      <w:sz w:val="24"/>
      <w:szCs w:val="22"/>
      <w:lang w:val="en-US" w:eastAsia="zh-CN" w:bidi="ar-SA"/>
    </w:rPr>
  </w:style>
  <w:style w:type="paragraph" w:customStyle="1" w:styleId="34">
    <w:name w:val="题目"/>
    <w:basedOn w:val="1"/>
    <w:qFormat/>
    <w:uiPriority w:val="0"/>
    <w:pPr>
      <w:spacing w:beforeLines="200" w:afterLines="100"/>
      <w:jc w:val="center"/>
    </w:pPr>
    <w:rPr>
      <w:rFonts w:ascii="黑体" w:eastAsia="黑体"/>
      <w:color w:val="C00000"/>
      <w:sz w:val="28"/>
      <w:szCs w:val="28"/>
    </w:rPr>
  </w:style>
  <w:style w:type="paragraph" w:styleId="35">
    <w:name w:val="List Paragraph"/>
    <w:basedOn w:val="1"/>
    <w:qFormat/>
    <w:uiPriority w:val="99"/>
    <w:pPr>
      <w:ind w:firstLine="420" w:firstLineChars="200"/>
    </w:pPr>
    <w:rPr>
      <w:snapToGrid w:val="0"/>
      <w:kern w:val="0"/>
    </w:rPr>
  </w:style>
  <w:style w:type="character" w:customStyle="1" w:styleId="36">
    <w:name w:val="font11"/>
    <w:qFormat/>
    <w:uiPriority w:val="0"/>
    <w:rPr>
      <w:rFonts w:hint="eastAsia" w:ascii="微软雅黑" w:hAnsi="微软雅黑" w:eastAsia="微软雅黑" w:cs="微软雅黑"/>
      <w:color w:val="000000"/>
      <w:sz w:val="20"/>
      <w:szCs w:val="20"/>
      <w:u w:val="none"/>
    </w:rPr>
  </w:style>
  <w:style w:type="paragraph" w:customStyle="1" w:styleId="37">
    <w:name w:val="修订1"/>
    <w:unhideWhenUsed/>
    <w:qFormat/>
    <w:uiPriority w:val="99"/>
    <w:rPr>
      <w:rFonts w:ascii="Times New Roman" w:hAnsi="Times New Roman" w:eastAsia="宋体" w:cs="Times New Roman"/>
      <w:kern w:val="2"/>
      <w:sz w:val="21"/>
      <w:szCs w:val="24"/>
      <w:lang w:val="en-US" w:eastAsia="zh-CN" w:bidi="ar-SA"/>
    </w:rPr>
  </w:style>
  <w:style w:type="paragraph" w:customStyle="1" w:styleId="38">
    <w:name w:val="正文中"/>
    <w:basedOn w:val="1"/>
    <w:next w:val="1"/>
    <w:qFormat/>
    <w:uiPriority w:val="0"/>
    <w:pPr>
      <w:spacing w:line="440" w:lineRule="exact"/>
      <w:jc w:val="center"/>
    </w:pPr>
    <w:rPr>
      <w:rFonts w:ascii="仿宋_GB2312" w:hAnsi="宋体" w:eastAsia="仿宋_GB2312"/>
      <w:sz w:val="28"/>
    </w:rPr>
  </w:style>
  <w:style w:type="character" w:customStyle="1" w:styleId="39">
    <w:name w:val="批注框文本 字符"/>
    <w:basedOn w:val="26"/>
    <w:link w:val="16"/>
    <w:qFormat/>
    <w:uiPriority w:val="0"/>
    <w:rPr>
      <w:kern w:val="2"/>
      <w:sz w:val="18"/>
      <w:szCs w:val="18"/>
    </w:rPr>
  </w:style>
  <w:style w:type="paragraph" w:customStyle="1" w:styleId="40">
    <w:name w:val="修订2"/>
    <w:hidden/>
    <w:semiHidden/>
    <w:qFormat/>
    <w:uiPriority w:val="99"/>
    <w:rPr>
      <w:rFonts w:ascii="Times New Roman" w:hAnsi="Times New Roman" w:eastAsia="宋体" w:cs="Times New Roman"/>
      <w:kern w:val="2"/>
      <w:sz w:val="21"/>
      <w:szCs w:val="24"/>
      <w:lang w:val="en-US" w:eastAsia="zh-CN" w:bidi="ar-SA"/>
    </w:rPr>
  </w:style>
  <w:style w:type="paragraph" w:customStyle="1" w:styleId="41">
    <w:name w:val="Revision"/>
    <w:hidden/>
    <w:unhideWhenUsed/>
    <w:qFormat/>
    <w:uiPriority w:val="99"/>
    <w:rPr>
      <w:rFonts w:ascii="Times New Roman" w:hAnsi="Times New Roman" w:eastAsia="宋体" w:cs="Times New Roman"/>
      <w:kern w:val="2"/>
      <w:sz w:val="21"/>
      <w:szCs w:val="24"/>
      <w:lang w:val="en-US" w:eastAsia="zh-CN" w:bidi="ar-SA"/>
    </w:rPr>
  </w:style>
  <w:style w:type="paragraph" w:customStyle="1" w:styleId="42">
    <w:name w:val="Normal_8"/>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53</Pages>
  <Words>2078</Words>
  <Characters>2211</Characters>
  <Lines>128</Lines>
  <Paragraphs>36</Paragraphs>
  <TotalTime>17</TotalTime>
  <ScaleCrop>false</ScaleCrop>
  <LinksUpToDate>false</LinksUpToDate>
  <CharactersWithSpaces>2302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2025-08-20T10:13:00Z</dcterms:created>
  <dc:creator>sugeke2</dc:creator>
  <cp:lastModifiedBy>sugeke2</cp:lastModifiedBy>
  <cp:lastPrinted>2024-01-18T10:33:00Z</cp:lastPrinted>
  <dcterms:modified xsi:type="dcterms:W3CDTF">2025-09-15T13:50:25Z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46BD98DC8AEC4196B44E2A3F16F4599B_13</vt:lpwstr>
  </property>
  <property fmtid="{D5CDD505-2E9C-101B-9397-08002B2CF9AE}" pid="4" name="KSOTemplateDocerSaveRecord">
    <vt:lpwstr>eyJoZGlkIjoiNjViYWI4NDcyOGM2YTM0N2YzMDM3MzYxZjhiYzJiYzgiLCJ1c2VySWQiOiIyMTU1NjE4NDUifQ==</vt:lpwstr>
  </property>
</Properties>
</file>