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E990BB">
      <w:pPr>
        <w:rPr>
          <w:highlight w:val="none"/>
        </w:rPr>
      </w:pPr>
    </w:p>
    <w:p w14:paraId="15C6931F">
      <w:pPr>
        <w:adjustRightInd w:val="0"/>
        <w:snapToGrid w:val="0"/>
        <w:spacing w:before="156" w:beforeLines="50" w:line="240" w:lineRule="auto"/>
        <w:jc w:val="center"/>
        <w:rPr>
          <w:rFonts w:hint="eastAsia" w:ascii="黑体" w:hAnsi="黑体" w:eastAsia="黑体" w:cs="黑体"/>
          <w:sz w:val="72"/>
          <w:szCs w:val="72"/>
          <w:highlight w:val="none"/>
          <w:lang w:eastAsia="zh-CN"/>
        </w:rPr>
      </w:pPr>
      <w:r>
        <w:rPr>
          <w:rFonts w:hint="eastAsia" w:ascii="宋体" w:hAnsi="宋体" w:eastAsia="宋体" w:cs="宋体"/>
          <w:b/>
          <w:bCs/>
          <w:sz w:val="44"/>
          <w:szCs w:val="44"/>
          <w:highlight w:val="none"/>
          <w:lang w:eastAsia="zh-CN"/>
        </w:rPr>
        <w:t>桂江（莲花大桥至桂江河口）航道扩建工程</w:t>
      </w:r>
      <w:r>
        <w:rPr>
          <w:rFonts w:hint="eastAsia" w:ascii="宋体" w:hAnsi="宋体" w:cs="宋体"/>
          <w:b/>
          <w:bCs/>
          <w:sz w:val="44"/>
          <w:szCs w:val="44"/>
          <w:highlight w:val="none"/>
          <w:lang w:eastAsia="zh-CN"/>
        </w:rPr>
        <w:t>社会稳定风险分析及评估服务</w:t>
      </w:r>
    </w:p>
    <w:p w14:paraId="2D151007">
      <w:pPr>
        <w:snapToGrid w:val="0"/>
        <w:spacing w:before="156" w:beforeLines="50" w:line="360" w:lineRule="auto"/>
        <w:jc w:val="center"/>
        <w:rPr>
          <w:rFonts w:hint="eastAsia" w:ascii="黑体" w:hAnsi="黑体" w:eastAsia="黑体" w:cs="黑体"/>
          <w:sz w:val="72"/>
          <w:szCs w:val="72"/>
          <w:highlight w:val="none"/>
          <w:lang w:eastAsia="zh-CN"/>
        </w:rPr>
      </w:pPr>
      <w:r>
        <w:rPr>
          <w:rFonts w:hint="eastAsia" w:ascii="黑体" w:hAnsi="黑体" w:eastAsia="黑体" w:cs="黑体"/>
          <w:sz w:val="72"/>
          <w:szCs w:val="72"/>
          <w:highlight w:val="none"/>
        </w:rPr>
        <w:t>采购</w:t>
      </w:r>
      <w:r>
        <w:rPr>
          <w:rFonts w:hint="eastAsia" w:ascii="黑体" w:hAnsi="黑体" w:eastAsia="黑体" w:cs="黑体"/>
          <w:sz w:val="72"/>
          <w:szCs w:val="72"/>
          <w:highlight w:val="none"/>
          <w:lang w:eastAsia="zh-CN"/>
        </w:rPr>
        <w:t>方案</w:t>
      </w:r>
    </w:p>
    <w:p w14:paraId="1C14B9FB">
      <w:pPr>
        <w:snapToGrid w:val="0"/>
        <w:spacing w:before="156" w:beforeLines="50" w:line="360" w:lineRule="auto"/>
        <w:jc w:val="center"/>
        <w:rPr>
          <w:rFonts w:hint="eastAsia" w:ascii="黑体" w:hAnsi="黑体" w:eastAsia="黑体" w:cs="黑体"/>
          <w:sz w:val="72"/>
          <w:szCs w:val="72"/>
          <w:highlight w:val="none"/>
        </w:rPr>
      </w:pPr>
    </w:p>
    <w:p w14:paraId="622F9910">
      <w:pPr>
        <w:spacing w:line="360" w:lineRule="auto"/>
        <w:jc w:val="center"/>
        <w:rPr>
          <w:rFonts w:hint="eastAsia" w:ascii="宋体" w:hAnsi="宋体"/>
          <w:b/>
          <w:sz w:val="32"/>
          <w:szCs w:val="32"/>
          <w:highlight w:val="none"/>
        </w:rPr>
      </w:pPr>
    </w:p>
    <w:p w14:paraId="570FF492">
      <w:pPr>
        <w:spacing w:line="480" w:lineRule="auto"/>
        <w:jc w:val="center"/>
        <w:rPr>
          <w:rFonts w:hint="eastAsia" w:ascii="宋体" w:hAnsi="宋体"/>
          <w:b/>
          <w:sz w:val="32"/>
          <w:szCs w:val="32"/>
          <w:highlight w:val="none"/>
        </w:rPr>
      </w:pPr>
    </w:p>
    <w:p w14:paraId="1A266540">
      <w:pPr>
        <w:pStyle w:val="32"/>
        <w:rPr>
          <w:rFonts w:hint="eastAsia" w:ascii="宋体" w:hAnsi="宋体"/>
          <w:b/>
          <w:sz w:val="32"/>
          <w:szCs w:val="32"/>
          <w:highlight w:val="none"/>
        </w:rPr>
      </w:pPr>
    </w:p>
    <w:p w14:paraId="4E07046B">
      <w:pPr>
        <w:spacing w:line="480" w:lineRule="auto"/>
        <w:ind w:firstLine="1285" w:firstLineChars="400"/>
        <w:rPr>
          <w:rFonts w:hint="eastAsia" w:ascii="仿宋_GB2312" w:hAnsi="宋体" w:eastAsia="仿宋_GB2312"/>
          <w:b/>
          <w:sz w:val="32"/>
          <w:szCs w:val="32"/>
          <w:highlight w:val="none"/>
        </w:rPr>
      </w:pPr>
    </w:p>
    <w:p w14:paraId="7E41513D">
      <w:pPr>
        <w:spacing w:line="360" w:lineRule="auto"/>
        <w:jc w:val="center"/>
        <w:rPr>
          <w:rFonts w:hint="eastAsia" w:ascii="宋体" w:hAnsi="宋体" w:cs="宋体"/>
          <w:b/>
          <w:sz w:val="32"/>
          <w:szCs w:val="32"/>
          <w:highlight w:val="none"/>
        </w:rPr>
      </w:pPr>
      <w:r>
        <w:rPr>
          <w:rFonts w:hint="eastAsia" w:ascii="宋体" w:hAnsi="宋体" w:cs="宋体"/>
          <w:b/>
          <w:sz w:val="32"/>
          <w:szCs w:val="32"/>
          <w:highlight w:val="none"/>
        </w:rPr>
        <w:t>采购人：广西壮族自治区港航发展中心</w:t>
      </w:r>
    </w:p>
    <w:p w14:paraId="2AD67F3B">
      <w:pPr>
        <w:spacing w:line="360" w:lineRule="auto"/>
        <w:jc w:val="center"/>
        <w:rPr>
          <w:rFonts w:hint="eastAsia" w:ascii="宋体" w:hAnsi="宋体" w:cs="宋体"/>
          <w:b/>
          <w:sz w:val="32"/>
          <w:szCs w:val="32"/>
          <w:highlight w:val="none"/>
        </w:rPr>
      </w:pPr>
      <w:r>
        <w:rPr>
          <w:rFonts w:hint="eastAsia" w:ascii="宋体" w:hAnsi="宋体" w:cs="宋体"/>
          <w:b/>
          <w:bCs/>
          <w:w w:val="95"/>
          <w:sz w:val="32"/>
          <w:szCs w:val="32"/>
          <w:highlight w:val="none"/>
        </w:rPr>
        <w:t>2025年</w:t>
      </w:r>
      <w:r>
        <w:rPr>
          <w:rFonts w:hint="eastAsia" w:ascii="宋体" w:hAnsi="宋体" w:cs="宋体"/>
          <w:b/>
          <w:bCs/>
          <w:w w:val="95"/>
          <w:sz w:val="32"/>
          <w:szCs w:val="32"/>
          <w:highlight w:val="none"/>
          <w:lang w:val="en-US" w:eastAsia="zh-CN"/>
        </w:rPr>
        <w:t>11</w:t>
      </w:r>
      <w:r>
        <w:rPr>
          <w:rFonts w:hint="eastAsia" w:ascii="宋体" w:hAnsi="宋体" w:cs="宋体"/>
          <w:b/>
          <w:bCs/>
          <w:w w:val="95"/>
          <w:sz w:val="32"/>
          <w:szCs w:val="32"/>
          <w:highlight w:val="none"/>
        </w:rPr>
        <w:t>月</w:t>
      </w:r>
    </w:p>
    <w:p w14:paraId="01DBCDD5">
      <w:pPr>
        <w:spacing w:line="360" w:lineRule="auto"/>
        <w:jc w:val="center"/>
        <w:rPr>
          <w:rFonts w:hint="eastAsia" w:ascii="宋体" w:hAnsi="宋体" w:cs="宋体"/>
          <w:b/>
          <w:bCs/>
          <w:kern w:val="0"/>
          <w:sz w:val="32"/>
          <w:szCs w:val="32"/>
          <w:highlight w:val="none"/>
        </w:rPr>
      </w:pPr>
    </w:p>
    <w:p w14:paraId="68741E39">
      <w:pPr>
        <w:pStyle w:val="20"/>
        <w:tabs>
          <w:tab w:val="right" w:leader="dot" w:pos="8931"/>
          <w:tab w:val="clear" w:pos="8296"/>
        </w:tabs>
        <w:adjustRightInd w:val="0"/>
        <w:snapToGrid w:val="0"/>
        <w:spacing w:line="264" w:lineRule="auto"/>
        <w:ind w:left="0" w:leftChars="0"/>
        <w:rPr>
          <w:rFonts w:hint="eastAsia" w:ascii="宋体" w:hAnsi="宋体"/>
          <w:b/>
          <w:sz w:val="32"/>
          <w:szCs w:val="32"/>
          <w:highlight w:val="none"/>
        </w:rPr>
      </w:pPr>
      <w:r>
        <w:rPr>
          <w:rFonts w:ascii="宋体" w:hAnsi="宋体"/>
          <w:b/>
          <w:sz w:val="44"/>
          <w:szCs w:val="44"/>
          <w:highlight w:val="none"/>
        </w:rPr>
        <w:br w:type="page"/>
      </w:r>
    </w:p>
    <w:sdt>
      <w:sdtPr>
        <w:rPr>
          <w:rFonts w:ascii="宋体" w:hAnsi="宋体" w:eastAsia="宋体" w:cs="Times New Roman"/>
          <w:kern w:val="2"/>
          <w:sz w:val="21"/>
          <w:szCs w:val="24"/>
          <w:lang w:val="en-US" w:eastAsia="zh-CN" w:bidi="ar-SA"/>
        </w:rPr>
        <w:id w:val="147480604"/>
        <w15:color w:val="DBDBDB"/>
        <w:docPartObj>
          <w:docPartGallery w:val="Table of Contents"/>
          <w:docPartUnique/>
        </w:docPartObj>
      </w:sdtPr>
      <w:sdtEndPr>
        <w:rPr>
          <w:rFonts w:hint="eastAsia" w:ascii="宋体" w:hAnsi="宋体" w:eastAsia="宋体" w:cs="Times New Roman"/>
          <w:kern w:val="2"/>
          <w:sz w:val="21"/>
          <w:szCs w:val="32"/>
          <w:highlight w:val="none"/>
          <w:lang w:val="en-US" w:eastAsia="zh-CN" w:bidi="ar-SA"/>
        </w:rPr>
      </w:sdtEndPr>
      <w:sdtContent>
        <w:p w14:paraId="274F682C">
          <w:pPr>
            <w:spacing w:before="0" w:beforeLines="0" w:after="0" w:afterLines="0" w:line="240" w:lineRule="auto"/>
            <w:ind w:left="0" w:leftChars="0" w:right="0" w:rightChars="0" w:firstLine="0" w:firstLineChars="0"/>
            <w:jc w:val="center"/>
            <w:rPr>
              <w:sz w:val="44"/>
              <w:szCs w:val="44"/>
            </w:rPr>
          </w:pPr>
          <w:r>
            <w:rPr>
              <w:rFonts w:ascii="宋体" w:hAnsi="宋体" w:eastAsia="宋体"/>
              <w:b/>
              <w:bCs/>
              <w:sz w:val="44"/>
              <w:szCs w:val="44"/>
            </w:rPr>
            <w:t>目</w:t>
          </w:r>
          <w:r>
            <w:rPr>
              <w:rFonts w:hint="eastAsia" w:ascii="宋体" w:hAnsi="宋体"/>
              <w:b/>
              <w:bCs/>
              <w:sz w:val="44"/>
              <w:szCs w:val="44"/>
              <w:lang w:val="en-US" w:eastAsia="zh-CN"/>
            </w:rPr>
            <w:t xml:space="preserve"> </w:t>
          </w:r>
          <w:r>
            <w:rPr>
              <w:rFonts w:ascii="宋体" w:hAnsi="宋体" w:eastAsia="宋体"/>
              <w:b/>
              <w:bCs/>
              <w:sz w:val="44"/>
              <w:szCs w:val="44"/>
            </w:rPr>
            <w:t>录</w:t>
          </w:r>
        </w:p>
        <w:p w14:paraId="550DBF71">
          <w:pPr>
            <w:pStyle w:val="18"/>
            <w:tabs>
              <w:tab w:val="right" w:leader="dot" w:pos="8879"/>
            </w:tabs>
            <w:rPr>
              <w:rFonts w:hint="eastAsia" w:ascii="宋体" w:hAnsi="宋体" w:eastAsia="宋体" w:cs="宋体"/>
            </w:rPr>
          </w:pPr>
          <w:r>
            <w:rPr>
              <w:rFonts w:hint="eastAsia" w:ascii="宋体" w:hAnsi="宋体" w:cs="宋体"/>
              <w:b/>
              <w:sz w:val="32"/>
              <w:szCs w:val="32"/>
              <w:highlight w:val="none"/>
            </w:rPr>
            <w:fldChar w:fldCharType="begin"/>
          </w:r>
          <w:r>
            <w:rPr>
              <w:rFonts w:hint="eastAsia" w:ascii="宋体" w:hAnsi="宋体" w:cs="宋体"/>
              <w:b/>
              <w:sz w:val="32"/>
              <w:szCs w:val="32"/>
              <w:highlight w:val="none"/>
            </w:rPr>
            <w:instrText xml:space="preserve">TOC \o "1-2" \h \u </w:instrText>
          </w:r>
          <w:r>
            <w:rPr>
              <w:rFonts w:hint="eastAsia" w:ascii="宋体" w:hAnsi="宋体" w:cs="宋体"/>
              <w:b/>
              <w:sz w:val="32"/>
              <w:szCs w:val="32"/>
              <w:highlight w:val="none"/>
            </w:rPr>
            <w:fldChar w:fldCharType="separate"/>
          </w: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_Toc8362 </w:instrText>
          </w:r>
          <w:r>
            <w:rPr>
              <w:rFonts w:hint="eastAsia" w:ascii="宋体" w:hAnsi="宋体" w:eastAsia="宋体" w:cs="宋体"/>
              <w:szCs w:val="32"/>
              <w:highlight w:val="none"/>
            </w:rPr>
            <w:fldChar w:fldCharType="separate"/>
          </w:r>
          <w:r>
            <w:rPr>
              <w:rFonts w:hint="eastAsia" w:ascii="宋体" w:hAnsi="宋体" w:eastAsia="宋体" w:cs="宋体"/>
              <w:szCs w:val="28"/>
              <w:highlight w:val="none"/>
            </w:rPr>
            <w:t>第一章 采购</w:t>
          </w:r>
          <w:r>
            <w:rPr>
              <w:rFonts w:hint="eastAsia" w:ascii="宋体" w:hAnsi="宋体" w:eastAsia="宋体" w:cs="宋体"/>
              <w:szCs w:val="28"/>
              <w:highlight w:val="none"/>
              <w:lang w:eastAsia="zh-CN"/>
            </w:rPr>
            <w:t>公告</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_Toc8362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39832B74">
          <w:pPr>
            <w:pStyle w:val="18"/>
            <w:tabs>
              <w:tab w:val="right" w:leader="dot" w:pos="8879"/>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_Toc12041 </w:instrText>
          </w:r>
          <w:r>
            <w:rPr>
              <w:rFonts w:hint="eastAsia" w:ascii="宋体" w:hAnsi="宋体" w:eastAsia="宋体" w:cs="宋体"/>
              <w:szCs w:val="32"/>
              <w:highlight w:val="none"/>
            </w:rPr>
            <w:fldChar w:fldCharType="separate"/>
          </w:r>
          <w:r>
            <w:rPr>
              <w:rFonts w:hint="eastAsia" w:ascii="宋体" w:hAnsi="宋体" w:eastAsia="宋体" w:cs="宋体"/>
              <w:szCs w:val="28"/>
              <w:highlight w:val="none"/>
            </w:rPr>
            <w:t>第二章 供应商须知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_Toc12041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78C63A8C">
          <w:pPr>
            <w:pStyle w:val="18"/>
            <w:tabs>
              <w:tab w:val="right" w:leader="dot" w:pos="8879"/>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_Toc29660 </w:instrText>
          </w:r>
          <w:r>
            <w:rPr>
              <w:rFonts w:hint="eastAsia" w:ascii="宋体" w:hAnsi="宋体" w:eastAsia="宋体" w:cs="宋体"/>
              <w:szCs w:val="32"/>
              <w:highlight w:val="none"/>
            </w:rPr>
            <w:fldChar w:fldCharType="separate"/>
          </w:r>
          <w:r>
            <w:rPr>
              <w:rFonts w:hint="eastAsia" w:ascii="宋体" w:hAnsi="宋体" w:eastAsia="宋体" w:cs="宋体"/>
              <w:szCs w:val="28"/>
              <w:highlight w:val="none"/>
            </w:rPr>
            <w:t>第三章 采购需求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_Toc29660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048ECA9B">
          <w:pPr>
            <w:pStyle w:val="18"/>
            <w:tabs>
              <w:tab w:val="right" w:leader="dot" w:pos="8879"/>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_Toc27586 </w:instrText>
          </w:r>
          <w:r>
            <w:rPr>
              <w:rFonts w:hint="eastAsia" w:ascii="宋体" w:hAnsi="宋体" w:eastAsia="宋体" w:cs="宋体"/>
              <w:szCs w:val="32"/>
              <w:highlight w:val="none"/>
            </w:rPr>
            <w:fldChar w:fldCharType="separate"/>
          </w:r>
          <w:r>
            <w:rPr>
              <w:rFonts w:hint="eastAsia" w:ascii="宋体" w:hAnsi="宋体" w:eastAsia="宋体" w:cs="宋体"/>
              <w:szCs w:val="28"/>
              <w:highlight w:val="none"/>
            </w:rPr>
            <w:t>第四章  评审办法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_Toc27586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53FBCC87">
          <w:pPr>
            <w:pStyle w:val="20"/>
            <w:tabs>
              <w:tab w:val="right" w:leader="dot" w:pos="8879"/>
              <w:tab w:val="clear" w:pos="8296"/>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_Toc11870 </w:instrText>
          </w:r>
          <w:r>
            <w:rPr>
              <w:rFonts w:hint="eastAsia" w:ascii="宋体" w:hAnsi="宋体" w:eastAsia="宋体" w:cs="宋体"/>
              <w:szCs w:val="32"/>
              <w:highlight w:val="none"/>
            </w:rPr>
            <w:fldChar w:fldCharType="separate"/>
          </w:r>
          <w:r>
            <w:rPr>
              <w:rFonts w:hint="eastAsia" w:ascii="宋体" w:hAnsi="宋体" w:eastAsia="宋体" w:cs="宋体"/>
              <w:highlight w:val="none"/>
            </w:rPr>
            <w:t>第一节  评审程序和评审方法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_Toc11870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0DAD7276">
          <w:pPr>
            <w:pStyle w:val="20"/>
            <w:tabs>
              <w:tab w:val="right" w:leader="dot" w:pos="8879"/>
              <w:tab w:val="clear" w:pos="8296"/>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_Toc12111 </w:instrText>
          </w:r>
          <w:r>
            <w:rPr>
              <w:rFonts w:hint="eastAsia" w:ascii="宋体" w:hAnsi="宋体" w:eastAsia="宋体" w:cs="宋体"/>
              <w:szCs w:val="32"/>
              <w:highlight w:val="none"/>
            </w:rPr>
            <w:fldChar w:fldCharType="separate"/>
          </w:r>
          <w:r>
            <w:rPr>
              <w:rFonts w:hint="eastAsia" w:ascii="宋体" w:hAnsi="宋体" w:eastAsia="宋体" w:cs="宋体"/>
              <w:highlight w:val="none"/>
            </w:rPr>
            <w:t>第二节  评审标准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_Toc12111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6E5AE2C0">
          <w:pPr>
            <w:pStyle w:val="18"/>
            <w:tabs>
              <w:tab w:val="right" w:leader="dot" w:pos="8879"/>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_Toc15131 </w:instrText>
          </w:r>
          <w:r>
            <w:rPr>
              <w:rFonts w:hint="eastAsia" w:ascii="宋体" w:hAnsi="宋体" w:eastAsia="宋体" w:cs="宋体"/>
              <w:szCs w:val="32"/>
              <w:highlight w:val="none"/>
            </w:rPr>
            <w:fldChar w:fldCharType="separate"/>
          </w:r>
          <w:r>
            <w:rPr>
              <w:rFonts w:hint="eastAsia" w:ascii="宋体" w:hAnsi="宋体" w:eastAsia="宋体" w:cs="宋体"/>
              <w:szCs w:val="28"/>
              <w:highlight w:val="none"/>
            </w:rPr>
            <w:t>第五章 响应文件格式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_Toc15131 \h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49F64FFC">
          <w:pPr>
            <w:pStyle w:val="20"/>
            <w:tabs>
              <w:tab w:val="right" w:leader="dot" w:pos="8879"/>
              <w:tab w:val="clear" w:pos="8296"/>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_Toc28937 </w:instrText>
          </w:r>
          <w:r>
            <w:rPr>
              <w:rFonts w:hint="eastAsia" w:ascii="宋体" w:hAnsi="宋体" w:eastAsia="宋体" w:cs="宋体"/>
              <w:szCs w:val="32"/>
              <w:highlight w:val="none"/>
            </w:rPr>
            <w:fldChar w:fldCharType="separate"/>
          </w:r>
          <w:r>
            <w:rPr>
              <w:rFonts w:hint="eastAsia" w:ascii="宋体" w:hAnsi="宋体" w:eastAsia="宋体" w:cs="宋体"/>
              <w:bCs/>
              <w:szCs w:val="36"/>
              <w:highlight w:val="none"/>
            </w:rPr>
            <w:t>目录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_Toc28937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4CF5AD35">
          <w:pPr>
            <w:pStyle w:val="20"/>
            <w:tabs>
              <w:tab w:val="right" w:leader="dot" w:pos="8879"/>
              <w:tab w:val="clear" w:pos="8296"/>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_Toc29629 </w:instrText>
          </w:r>
          <w:r>
            <w:rPr>
              <w:rFonts w:hint="eastAsia" w:ascii="宋体" w:hAnsi="宋体" w:eastAsia="宋体" w:cs="宋体"/>
              <w:szCs w:val="32"/>
              <w:highlight w:val="none"/>
            </w:rPr>
            <w:fldChar w:fldCharType="separate"/>
          </w:r>
          <w:r>
            <w:rPr>
              <w:rFonts w:hint="eastAsia" w:ascii="宋体" w:hAnsi="宋体" w:eastAsia="宋体" w:cs="宋体"/>
              <w:szCs w:val="36"/>
              <w:highlight w:val="none"/>
            </w:rPr>
            <w:t>一、</w:t>
          </w:r>
          <w:r>
            <w:rPr>
              <w:rFonts w:hint="eastAsia" w:ascii="宋体" w:hAnsi="宋体" w:eastAsia="宋体" w:cs="宋体"/>
              <w:szCs w:val="36"/>
              <w:highlight w:val="none"/>
              <w:lang w:eastAsia="zh-CN"/>
            </w:rPr>
            <w:t>投标</w:t>
          </w:r>
          <w:r>
            <w:rPr>
              <w:rFonts w:hint="eastAsia" w:ascii="宋体" w:hAnsi="宋体" w:eastAsia="宋体" w:cs="宋体"/>
              <w:szCs w:val="36"/>
              <w:highlight w:val="none"/>
            </w:rPr>
            <w:t>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_Toc29629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3A85C025">
          <w:pPr>
            <w:pStyle w:val="20"/>
            <w:tabs>
              <w:tab w:val="right" w:leader="dot" w:pos="8879"/>
              <w:tab w:val="clear" w:pos="8296"/>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_Toc11484 </w:instrText>
          </w:r>
          <w:r>
            <w:rPr>
              <w:rFonts w:hint="eastAsia" w:ascii="宋体" w:hAnsi="宋体" w:eastAsia="宋体" w:cs="宋体"/>
              <w:szCs w:val="32"/>
              <w:highlight w:val="none"/>
            </w:rPr>
            <w:fldChar w:fldCharType="separate"/>
          </w:r>
          <w:r>
            <w:rPr>
              <w:rFonts w:hint="eastAsia" w:ascii="宋体" w:hAnsi="宋体" w:eastAsia="宋体" w:cs="宋体"/>
              <w:szCs w:val="36"/>
              <w:highlight w:val="none"/>
            </w:rPr>
            <w:t>二、法定代表人身份证明</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_Toc11484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65C81B67">
          <w:pPr>
            <w:pStyle w:val="20"/>
            <w:tabs>
              <w:tab w:val="right" w:leader="dot" w:pos="8879"/>
              <w:tab w:val="clear" w:pos="8296"/>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_Toc29113 </w:instrText>
          </w:r>
          <w:r>
            <w:rPr>
              <w:rFonts w:hint="eastAsia" w:ascii="宋体" w:hAnsi="宋体" w:eastAsia="宋体" w:cs="宋体"/>
              <w:szCs w:val="32"/>
              <w:highlight w:val="none"/>
            </w:rPr>
            <w:fldChar w:fldCharType="separate"/>
          </w:r>
          <w:r>
            <w:rPr>
              <w:rFonts w:hint="eastAsia" w:ascii="宋体" w:hAnsi="宋体" w:eastAsia="宋体" w:cs="宋体"/>
              <w:szCs w:val="36"/>
              <w:highlight w:val="none"/>
            </w:rPr>
            <w:t>二、授权委托书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_Toc29113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4B3A4B71">
          <w:pPr>
            <w:pStyle w:val="20"/>
            <w:tabs>
              <w:tab w:val="right" w:leader="dot" w:pos="8879"/>
              <w:tab w:val="clear" w:pos="8296"/>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_Toc30368 </w:instrText>
          </w:r>
          <w:r>
            <w:rPr>
              <w:rFonts w:hint="eastAsia" w:ascii="宋体" w:hAnsi="宋体" w:eastAsia="宋体" w:cs="宋体"/>
              <w:szCs w:val="32"/>
              <w:highlight w:val="none"/>
            </w:rPr>
            <w:fldChar w:fldCharType="separate"/>
          </w:r>
          <w:r>
            <w:rPr>
              <w:rFonts w:hint="eastAsia" w:ascii="宋体" w:hAnsi="宋体" w:eastAsia="宋体" w:cs="宋体"/>
              <w:szCs w:val="36"/>
              <w:highlight w:val="none"/>
            </w:rPr>
            <w:t>三、报价清单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_Toc30368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3DD06949">
          <w:pPr>
            <w:pStyle w:val="20"/>
            <w:tabs>
              <w:tab w:val="right" w:leader="dot" w:pos="8879"/>
              <w:tab w:val="clear" w:pos="8296"/>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_Toc16610 </w:instrText>
          </w:r>
          <w:r>
            <w:rPr>
              <w:rFonts w:hint="eastAsia" w:ascii="宋体" w:hAnsi="宋体" w:eastAsia="宋体" w:cs="宋体"/>
              <w:szCs w:val="32"/>
              <w:highlight w:val="none"/>
            </w:rPr>
            <w:fldChar w:fldCharType="separate"/>
          </w:r>
          <w:r>
            <w:rPr>
              <w:rFonts w:hint="eastAsia" w:ascii="宋体" w:hAnsi="宋体" w:eastAsia="宋体" w:cs="宋体"/>
              <w:szCs w:val="36"/>
              <w:highlight w:val="none"/>
            </w:rPr>
            <w:t>四、</w:t>
          </w:r>
          <w:r>
            <w:rPr>
              <w:rFonts w:hint="eastAsia" w:ascii="宋体" w:hAnsi="宋体" w:eastAsia="宋体" w:cs="宋体"/>
              <w:szCs w:val="36"/>
              <w:highlight w:val="none"/>
              <w:lang w:eastAsia="zh-CN"/>
            </w:rPr>
            <w:t>资格审查</w:t>
          </w:r>
          <w:r>
            <w:rPr>
              <w:rFonts w:hint="eastAsia" w:ascii="宋体" w:hAnsi="宋体" w:eastAsia="宋体" w:cs="宋体"/>
              <w:szCs w:val="36"/>
              <w:highlight w:val="none"/>
            </w:rPr>
            <w:t>资料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_Toc16610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77785816">
          <w:pPr>
            <w:pStyle w:val="20"/>
            <w:tabs>
              <w:tab w:val="right" w:leader="dot" w:pos="8879"/>
              <w:tab w:val="clear" w:pos="8296"/>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_Toc7403 </w:instrText>
          </w:r>
          <w:r>
            <w:rPr>
              <w:rFonts w:hint="eastAsia" w:ascii="宋体" w:hAnsi="宋体" w:eastAsia="宋体" w:cs="宋体"/>
              <w:szCs w:val="32"/>
              <w:highlight w:val="none"/>
            </w:rPr>
            <w:fldChar w:fldCharType="separate"/>
          </w:r>
          <w:r>
            <w:rPr>
              <w:rFonts w:hint="eastAsia" w:ascii="宋体" w:hAnsi="宋体" w:eastAsia="宋体" w:cs="宋体"/>
              <w:szCs w:val="36"/>
              <w:highlight w:val="none"/>
            </w:rPr>
            <w:t>五、</w:t>
          </w:r>
          <w:r>
            <w:rPr>
              <w:rFonts w:hint="eastAsia" w:ascii="宋体" w:hAnsi="宋体" w:eastAsia="宋体" w:cs="宋体"/>
              <w:szCs w:val="36"/>
              <w:highlight w:val="none"/>
              <w:lang w:eastAsia="zh-CN"/>
            </w:rPr>
            <w:t>服务方案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_Toc7403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145429FB">
          <w:pPr>
            <w:pStyle w:val="20"/>
            <w:tabs>
              <w:tab w:val="right" w:leader="dot" w:pos="8879"/>
              <w:tab w:val="clear" w:pos="8296"/>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_Toc18260 </w:instrText>
          </w:r>
          <w:r>
            <w:rPr>
              <w:rFonts w:hint="eastAsia" w:ascii="宋体" w:hAnsi="宋体" w:eastAsia="宋体" w:cs="宋体"/>
              <w:szCs w:val="32"/>
              <w:highlight w:val="none"/>
            </w:rPr>
            <w:fldChar w:fldCharType="separate"/>
          </w:r>
          <w:r>
            <w:rPr>
              <w:rFonts w:hint="eastAsia" w:ascii="宋体" w:hAnsi="宋体" w:eastAsia="宋体" w:cs="宋体"/>
              <w:szCs w:val="36"/>
              <w:highlight w:val="none"/>
            </w:rPr>
            <w:t>六、其他资料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_Toc18260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73C0B071">
          <w:pPr>
            <w:pStyle w:val="18"/>
            <w:tabs>
              <w:tab w:val="right" w:leader="dot" w:pos="8879"/>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_Toc32704 </w:instrText>
          </w:r>
          <w:r>
            <w:rPr>
              <w:rFonts w:hint="eastAsia" w:ascii="宋体" w:hAnsi="宋体" w:eastAsia="宋体" w:cs="宋体"/>
              <w:szCs w:val="32"/>
              <w:highlight w:val="none"/>
            </w:rPr>
            <w:fldChar w:fldCharType="separate"/>
          </w:r>
          <w:r>
            <w:rPr>
              <w:rFonts w:hint="eastAsia" w:ascii="宋体" w:hAnsi="宋体" w:eastAsia="宋体" w:cs="宋体"/>
              <w:highlight w:val="none"/>
            </w:rPr>
            <w:t>第六章 合同条款</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_Toc32704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712FF4A0">
          <w:pPr>
            <w:pStyle w:val="20"/>
            <w:tabs>
              <w:tab w:val="right" w:leader="dot" w:pos="8879"/>
              <w:tab w:val="clear" w:pos="8296"/>
            </w:tabs>
            <w:rPr>
              <w:rFonts w:hint="eastAsia" w:ascii="宋体" w:hAnsi="宋体" w:eastAsia="宋体" w:cs="宋体"/>
            </w:rPr>
          </w:pPr>
          <w:r>
            <w:rPr>
              <w:rFonts w:hint="eastAsia" w:ascii="宋体" w:hAnsi="宋体" w:eastAsia="宋体" w:cs="宋体"/>
              <w:szCs w:val="32"/>
              <w:highlight w:val="none"/>
            </w:rPr>
            <w:fldChar w:fldCharType="begin"/>
          </w:r>
          <w:r>
            <w:rPr>
              <w:rFonts w:hint="eastAsia" w:ascii="宋体" w:hAnsi="宋体" w:eastAsia="宋体" w:cs="宋体"/>
              <w:szCs w:val="32"/>
              <w:highlight w:val="none"/>
            </w:rPr>
            <w:instrText xml:space="preserve"> HYPERLINK \l _Toc5621 </w:instrText>
          </w:r>
          <w:r>
            <w:rPr>
              <w:rFonts w:hint="eastAsia" w:ascii="宋体" w:hAnsi="宋体" w:eastAsia="宋体" w:cs="宋体"/>
              <w:szCs w:val="32"/>
              <w:highlight w:val="none"/>
            </w:rPr>
            <w:fldChar w:fldCharType="separate"/>
          </w:r>
          <w:r>
            <w:rPr>
              <w:rFonts w:hint="eastAsia" w:ascii="宋体" w:hAnsi="宋体" w:eastAsia="宋体" w:cs="宋体"/>
              <w:szCs w:val="28"/>
              <w:highlight w:val="none"/>
            </w:rPr>
            <w:t>合同</w:t>
          </w:r>
          <w:r>
            <w:rPr>
              <w:rFonts w:hint="eastAsia" w:ascii="宋体" w:hAnsi="宋体" w:eastAsia="宋体" w:cs="宋体"/>
              <w:szCs w:val="28"/>
              <w:highlight w:val="none"/>
              <w:lang w:eastAsia="zh-CN"/>
            </w:rPr>
            <w:t>协议书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_Toc5621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szCs w:val="32"/>
              <w:highlight w:val="none"/>
            </w:rPr>
            <w:fldChar w:fldCharType="end"/>
          </w:r>
        </w:p>
        <w:p w14:paraId="30AC334C">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_Toc8597 </w:instrText>
          </w:r>
          <w:r>
            <w:rPr>
              <w:rFonts w:hint="eastAsia" w:ascii="宋体" w:hAnsi="宋体" w:cs="宋体"/>
              <w:szCs w:val="32"/>
              <w:highlight w:val="none"/>
            </w:rPr>
            <w:fldChar w:fldCharType="separate"/>
          </w:r>
          <w:r>
            <w:rPr>
              <w:rFonts w:hint="eastAsia" w:ascii="宋体" w:hAnsi="宋体" w:cs="宋体"/>
              <w:szCs w:val="21"/>
              <w:highlight w:val="none"/>
            </w:rPr>
            <w:t>附件  廉政合同</w:t>
          </w:r>
          <w:r>
            <w:tab/>
          </w:r>
          <w:r>
            <w:fldChar w:fldCharType="begin"/>
          </w:r>
          <w:r>
            <w:instrText xml:space="preserve"> PAGEREF _Toc8597 \h </w:instrText>
          </w:r>
          <w:r>
            <w:fldChar w:fldCharType="separate"/>
          </w:r>
          <w:r>
            <w:t>35</w:t>
          </w:r>
          <w:r>
            <w:fldChar w:fldCharType="end"/>
          </w:r>
          <w:r>
            <w:rPr>
              <w:rFonts w:hint="eastAsia" w:ascii="宋体" w:hAnsi="宋体" w:cs="宋体"/>
              <w:szCs w:val="32"/>
              <w:highlight w:val="none"/>
            </w:rPr>
            <w:fldChar w:fldCharType="end"/>
          </w:r>
        </w:p>
        <w:p w14:paraId="49B8533D">
          <w:pPr>
            <w:spacing w:line="400" w:lineRule="exact"/>
            <w:rPr>
              <w:rFonts w:hint="eastAsia" w:ascii="宋体" w:hAnsi="宋体" w:eastAsia="宋体" w:cs="Times New Roman"/>
              <w:kern w:val="2"/>
              <w:sz w:val="21"/>
              <w:szCs w:val="32"/>
              <w:highlight w:val="none"/>
              <w:lang w:val="en-US" w:eastAsia="zh-CN" w:bidi="ar-SA"/>
            </w:rPr>
          </w:pPr>
          <w:r>
            <w:rPr>
              <w:rFonts w:hint="eastAsia" w:ascii="宋体" w:hAnsi="宋体" w:cs="宋体"/>
              <w:szCs w:val="32"/>
              <w:highlight w:val="none"/>
            </w:rPr>
            <w:fldChar w:fldCharType="end"/>
          </w:r>
        </w:p>
      </w:sdtContent>
    </w:sdt>
    <w:p w14:paraId="20281DA7">
      <w:pPr>
        <w:spacing w:line="400" w:lineRule="exact"/>
        <w:rPr>
          <w:rFonts w:hint="eastAsia" w:ascii="宋体" w:hAnsi="宋体" w:eastAsia="宋体" w:cs="Times New Roman"/>
          <w:kern w:val="2"/>
          <w:sz w:val="21"/>
          <w:szCs w:val="32"/>
          <w:highlight w:val="none"/>
          <w:lang w:val="en-US" w:eastAsia="zh-CN" w:bidi="ar-SA"/>
        </w:rPr>
      </w:pPr>
    </w:p>
    <w:p w14:paraId="27025BB8">
      <w:pPr>
        <w:spacing w:line="400" w:lineRule="exact"/>
        <w:rPr>
          <w:rFonts w:hint="eastAsia" w:ascii="宋体" w:hAnsi="宋体"/>
          <w:b/>
          <w:sz w:val="32"/>
          <w:szCs w:val="32"/>
          <w:highlight w:val="none"/>
        </w:rPr>
      </w:pPr>
    </w:p>
    <w:p w14:paraId="54348F9E">
      <w:pPr>
        <w:spacing w:line="400" w:lineRule="exact"/>
        <w:rPr>
          <w:rFonts w:hint="eastAsia" w:ascii="宋体" w:hAnsi="宋体"/>
          <w:b/>
          <w:sz w:val="32"/>
          <w:szCs w:val="32"/>
          <w:highlight w:val="none"/>
        </w:rPr>
        <w:sectPr>
          <w:headerReference r:id="rId4" w:type="first"/>
          <w:footerReference r:id="rId6" w:type="first"/>
          <w:headerReference r:id="rId3" w:type="default"/>
          <w:footerReference r:id="rId5" w:type="default"/>
          <w:pgSz w:w="11906" w:h="16838"/>
          <w:pgMar w:top="1440" w:right="1440" w:bottom="1440" w:left="1587" w:header="851" w:footer="992" w:gutter="0"/>
          <w:pgNumType w:start="0"/>
          <w:cols w:space="720" w:num="1"/>
          <w:titlePg/>
          <w:docGrid w:type="lines" w:linePitch="312" w:charSpace="0"/>
        </w:sectPr>
      </w:pPr>
    </w:p>
    <w:p w14:paraId="3F5E3688">
      <w:pPr>
        <w:pStyle w:val="2"/>
        <w:spacing w:before="0" w:after="0" w:line="360" w:lineRule="auto"/>
        <w:jc w:val="center"/>
        <w:rPr>
          <w:rFonts w:hint="eastAsia" w:eastAsia="宋体"/>
          <w:sz w:val="28"/>
          <w:szCs w:val="28"/>
          <w:highlight w:val="none"/>
          <w:lang w:eastAsia="zh-CN"/>
        </w:rPr>
      </w:pPr>
      <w:bookmarkStart w:id="0" w:name="_Toc25608"/>
      <w:bookmarkStart w:id="1" w:name="_Toc27769"/>
      <w:bookmarkStart w:id="2" w:name="_Toc27074"/>
      <w:bookmarkStart w:id="3" w:name="_Toc20493"/>
      <w:bookmarkStart w:id="4" w:name="_Toc8362"/>
      <w:r>
        <w:rPr>
          <w:rFonts w:hint="eastAsia"/>
          <w:sz w:val="28"/>
          <w:szCs w:val="28"/>
          <w:highlight w:val="none"/>
        </w:rPr>
        <w:t>第一章 采购</w:t>
      </w:r>
      <w:bookmarkEnd w:id="0"/>
      <w:bookmarkEnd w:id="1"/>
      <w:bookmarkEnd w:id="2"/>
      <w:r>
        <w:rPr>
          <w:rFonts w:hint="eastAsia"/>
          <w:sz w:val="28"/>
          <w:szCs w:val="28"/>
          <w:highlight w:val="none"/>
          <w:lang w:eastAsia="zh-CN"/>
        </w:rPr>
        <w:t>公告</w:t>
      </w:r>
      <w:bookmarkEnd w:id="3"/>
      <w:bookmarkEnd w:id="4"/>
    </w:p>
    <w:p w14:paraId="1C5EE469">
      <w:pPr>
        <w:spacing w:line="360" w:lineRule="auto"/>
        <w:ind w:firstLine="354" w:firstLineChars="147"/>
        <w:rPr>
          <w:rFonts w:hint="eastAsia" w:ascii="黑体" w:hAnsi="黑体" w:eastAsia="黑体"/>
          <w:b/>
          <w:sz w:val="24"/>
          <w:highlight w:val="none"/>
        </w:rPr>
      </w:pPr>
      <w:bookmarkStart w:id="5" w:name="_Toc71365905"/>
      <w:bookmarkStart w:id="6" w:name="_Toc35393629"/>
      <w:bookmarkStart w:id="7" w:name="_Toc44229878"/>
      <w:bookmarkStart w:id="8" w:name="_Toc28359089"/>
      <w:bookmarkStart w:id="9" w:name="_Toc35393798"/>
      <w:bookmarkStart w:id="10" w:name="_Hlk37430271"/>
      <w:bookmarkStart w:id="11" w:name="_Toc28359012"/>
    </w:p>
    <w:bookmarkEnd w:id="5"/>
    <w:bookmarkEnd w:id="6"/>
    <w:bookmarkEnd w:id="7"/>
    <w:bookmarkEnd w:id="8"/>
    <w:bookmarkEnd w:id="9"/>
    <w:bookmarkEnd w:id="10"/>
    <w:bookmarkEnd w:id="11"/>
    <w:p w14:paraId="7F6D644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一、项目基本情况</w:t>
      </w:r>
    </w:p>
    <w:p w14:paraId="28B78DFD">
      <w:pPr>
        <w:spacing w:line="360" w:lineRule="auto"/>
        <w:ind w:firstLine="480" w:firstLineChars="200"/>
        <w:rPr>
          <w:rFonts w:hint="eastAsia" w:ascii="宋体" w:hAnsi="宋体" w:cs="宋体"/>
          <w:bCs/>
          <w:sz w:val="24"/>
          <w:highlight w:val="none"/>
          <w:lang w:eastAsia="zh-CN"/>
        </w:rPr>
      </w:pPr>
      <w:r>
        <w:rPr>
          <w:rFonts w:hint="eastAsia" w:ascii="宋体" w:hAnsi="宋体" w:cs="宋体"/>
          <w:bCs/>
          <w:sz w:val="24"/>
          <w:highlight w:val="none"/>
          <w:lang w:val="en-US" w:eastAsia="zh-CN"/>
        </w:rPr>
        <w:t>1.</w:t>
      </w:r>
      <w:r>
        <w:rPr>
          <w:rFonts w:hint="eastAsia" w:ascii="宋体" w:hAnsi="宋体" w:cs="宋体"/>
          <w:bCs/>
          <w:sz w:val="24"/>
          <w:highlight w:val="none"/>
        </w:rPr>
        <w:t>采购项目名称：</w:t>
      </w:r>
      <w:r>
        <w:rPr>
          <w:rFonts w:hint="eastAsia" w:ascii="宋体" w:hAnsi="宋体" w:cs="宋体"/>
          <w:bCs/>
          <w:sz w:val="24"/>
          <w:highlight w:val="none"/>
          <w:lang w:eastAsia="zh-CN"/>
        </w:rPr>
        <w:t>桂江（莲花大桥至桂江河口）航道扩建工程社会稳定风险分析及评估服务</w:t>
      </w:r>
    </w:p>
    <w:p w14:paraId="6C18603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2.</w:t>
      </w:r>
      <w:r>
        <w:rPr>
          <w:rFonts w:hint="eastAsia" w:ascii="宋体" w:hAnsi="宋体" w:cs="宋体"/>
          <w:bCs/>
          <w:sz w:val="24"/>
          <w:highlight w:val="none"/>
        </w:rPr>
        <w:t>项目地点：桂江莲花大桥至桂江河口河段。</w:t>
      </w:r>
    </w:p>
    <w:p w14:paraId="7383591A">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3.</w:t>
      </w:r>
      <w:r>
        <w:rPr>
          <w:rFonts w:hint="eastAsia" w:ascii="宋体" w:hAnsi="宋体" w:cs="宋体"/>
          <w:bCs/>
          <w:sz w:val="24"/>
          <w:highlight w:val="none"/>
        </w:rPr>
        <w:t>项目概况：</w:t>
      </w:r>
      <w:bookmarkStart w:id="12" w:name="OLE_LINK5"/>
    </w:p>
    <w:p w14:paraId="7E2F1DDA">
      <w:pPr>
        <w:spacing w:line="360" w:lineRule="auto"/>
        <w:ind w:firstLine="480" w:firstLineChars="200"/>
        <w:rPr>
          <w:rFonts w:hint="eastAsia" w:ascii="宋体" w:hAnsi="宋体" w:cs="宋体"/>
          <w:sz w:val="24"/>
          <w:highlight w:val="none"/>
        </w:rPr>
      </w:pPr>
      <w:bookmarkStart w:id="13" w:name="OLE_LINK1"/>
      <w:r>
        <w:rPr>
          <w:rFonts w:hint="eastAsia" w:ascii="宋体" w:hAnsi="宋体" w:cs="宋体"/>
          <w:bCs/>
          <w:sz w:val="24"/>
          <w:highlight w:val="none"/>
          <w:lang w:eastAsia="zh-CN"/>
        </w:rPr>
        <w:t>桂江（莲花大桥至桂江河口）航道扩建工程</w:t>
      </w:r>
      <w:r>
        <w:rPr>
          <w:rFonts w:hint="eastAsia" w:ascii="宋体" w:hAnsi="宋体" w:cs="宋体"/>
          <w:bCs/>
          <w:sz w:val="24"/>
          <w:highlight w:val="none"/>
        </w:rPr>
        <w:t>，航道里程长约8.3</w:t>
      </w:r>
      <w:r>
        <w:rPr>
          <w:rFonts w:hint="eastAsia" w:ascii="宋体" w:hAnsi="宋体" w:cs="宋体"/>
          <w:bCs/>
          <w:sz w:val="24"/>
          <w:highlight w:val="none"/>
          <w:lang w:eastAsia="zh-CN"/>
        </w:rPr>
        <w:t>公里</w:t>
      </w:r>
      <w:r>
        <w:rPr>
          <w:rFonts w:hint="eastAsia" w:ascii="宋体" w:hAnsi="宋体" w:cs="宋体"/>
          <w:bCs/>
          <w:sz w:val="24"/>
          <w:highlight w:val="none"/>
        </w:rPr>
        <w:t>，按Ⅲ级航道建设，设计航道尺度：3.5米×70 米×480 米（水深×宽度×最小弯曲半径），设计最低通航水位1.21</w:t>
      </w:r>
      <w:r>
        <w:rPr>
          <w:rFonts w:hint="eastAsia" w:ascii="宋体" w:hAnsi="宋体" w:cs="宋体"/>
          <w:bCs/>
          <w:sz w:val="24"/>
          <w:highlight w:val="none"/>
          <w:lang w:eastAsia="zh-CN"/>
        </w:rPr>
        <w:t>米</w:t>
      </w:r>
      <w:r>
        <w:rPr>
          <w:rFonts w:hint="eastAsia" w:ascii="宋体" w:hAnsi="宋体" w:cs="宋体"/>
          <w:bCs/>
          <w:sz w:val="24"/>
          <w:highlight w:val="none"/>
        </w:rPr>
        <w:t>，主要工程内容包括生态疏浚炸礁工程、生态护岸工程、航标工程及配套工程等。</w:t>
      </w:r>
    </w:p>
    <w:bookmarkEnd w:id="12"/>
    <w:bookmarkEnd w:id="13"/>
    <w:p w14:paraId="70991D5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eastAsia="zh-CN"/>
        </w:rPr>
        <w:t>4</w:t>
      </w:r>
      <w:r>
        <w:rPr>
          <w:rFonts w:hint="eastAsia" w:ascii="宋体" w:hAnsi="宋体" w:cs="宋体"/>
          <w:bCs/>
          <w:sz w:val="24"/>
          <w:highlight w:val="none"/>
          <w:lang w:val="en-US" w:eastAsia="zh-CN"/>
        </w:rPr>
        <w:t>.</w:t>
      </w:r>
      <w:r>
        <w:rPr>
          <w:rFonts w:hint="eastAsia" w:ascii="宋体" w:hAnsi="宋体" w:cs="宋体"/>
          <w:bCs/>
          <w:sz w:val="24"/>
          <w:highlight w:val="none"/>
        </w:rPr>
        <w:t>本次采购内容：</w:t>
      </w:r>
      <w:r>
        <w:rPr>
          <w:rFonts w:hint="eastAsia" w:ascii="宋体" w:hAnsi="宋体" w:cs="宋体"/>
          <w:bCs/>
          <w:sz w:val="24"/>
          <w:highlight w:val="none"/>
          <w:lang w:eastAsia="zh-CN"/>
        </w:rPr>
        <w:t>桂江（莲花大桥至桂江河口）航道扩建工程社会稳定风险分析及评估服务</w:t>
      </w:r>
      <w:r>
        <w:rPr>
          <w:rFonts w:hint="eastAsia" w:ascii="宋体" w:hAnsi="宋体" w:cs="宋体"/>
          <w:bCs/>
          <w:sz w:val="24"/>
          <w:highlight w:val="none"/>
        </w:rPr>
        <w:t>。</w:t>
      </w:r>
    </w:p>
    <w:p w14:paraId="63ECEF7E">
      <w:pPr>
        <w:spacing w:line="360" w:lineRule="auto"/>
        <w:ind w:firstLine="480" w:firstLineChars="200"/>
        <w:jc w:val="left"/>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5.采购预算：10万元。</w:t>
      </w:r>
    </w:p>
    <w:p w14:paraId="3D06A6A2">
      <w:pPr>
        <w:spacing w:line="360" w:lineRule="auto"/>
        <w:ind w:firstLine="480" w:firstLineChars="200"/>
        <w:jc w:val="left"/>
        <w:rPr>
          <w:rFonts w:hint="eastAsia" w:ascii="仿宋_GB2312" w:hAnsi="仿宋" w:eastAsia="仿宋_GB2312" w:cs="宋体"/>
          <w:bCs/>
          <w:kern w:val="0"/>
          <w:sz w:val="24"/>
          <w:szCs w:val="24"/>
          <w:highlight w:val="none"/>
        </w:rPr>
      </w:pPr>
      <w:r>
        <w:rPr>
          <w:rFonts w:hint="eastAsia" w:ascii="宋体" w:hAnsi="宋体" w:cs="宋体"/>
          <w:bCs/>
          <w:sz w:val="24"/>
          <w:highlight w:val="none"/>
          <w:lang w:val="en-US" w:eastAsia="zh-CN"/>
        </w:rPr>
        <w:t>6.</w:t>
      </w:r>
      <w:r>
        <w:rPr>
          <w:rFonts w:hint="eastAsia" w:ascii="宋体" w:hAnsi="宋体" w:cs="宋体"/>
          <w:bCs/>
          <w:sz w:val="24"/>
          <w:highlight w:val="none"/>
        </w:rPr>
        <w:t>采购最高限价：</w:t>
      </w:r>
      <w:r>
        <w:rPr>
          <w:rFonts w:hint="eastAsia" w:ascii="宋体" w:hAnsi="宋体" w:cs="宋体"/>
          <w:bCs/>
          <w:sz w:val="24"/>
          <w:highlight w:val="none"/>
          <w:lang w:val="en-US" w:eastAsia="zh-CN"/>
        </w:rPr>
        <w:t>1</w:t>
      </w:r>
      <w:r>
        <w:rPr>
          <w:rFonts w:hint="eastAsia" w:ascii="宋体" w:hAnsi="宋体" w:cs="宋体"/>
          <w:bCs/>
          <w:sz w:val="24"/>
          <w:highlight w:val="none"/>
        </w:rPr>
        <w:t>0万元，报价超过</w:t>
      </w:r>
      <w:r>
        <w:rPr>
          <w:rFonts w:hint="eastAsia" w:ascii="宋体" w:hAnsi="宋体" w:cs="宋体"/>
          <w:bCs/>
          <w:sz w:val="24"/>
          <w:highlight w:val="none"/>
          <w:lang w:val="en-US" w:eastAsia="zh-CN"/>
        </w:rPr>
        <w:t>1</w:t>
      </w:r>
      <w:r>
        <w:rPr>
          <w:rFonts w:hint="eastAsia" w:ascii="宋体" w:hAnsi="宋体" w:cs="宋体"/>
          <w:bCs/>
          <w:sz w:val="24"/>
          <w:highlight w:val="none"/>
        </w:rPr>
        <w:t>0万元的响应文件为无效。</w:t>
      </w:r>
    </w:p>
    <w:p w14:paraId="58D948F3">
      <w:pPr>
        <w:spacing w:line="360" w:lineRule="auto"/>
        <w:ind w:firstLine="480" w:firstLineChars="200"/>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7.采购方式：自行采购。</w:t>
      </w:r>
    </w:p>
    <w:p w14:paraId="43337895">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8.</w:t>
      </w:r>
      <w:r>
        <w:rPr>
          <w:rFonts w:hint="eastAsia" w:ascii="宋体" w:hAnsi="宋体" w:cs="宋体"/>
          <w:bCs/>
          <w:sz w:val="24"/>
          <w:highlight w:val="none"/>
        </w:rPr>
        <w:t xml:space="preserve">采购需求： </w:t>
      </w:r>
    </w:p>
    <w:tbl>
      <w:tblPr>
        <w:tblStyle w:val="24"/>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108" w:type="dxa"/>
          <w:bottom w:w="57" w:type="dxa"/>
          <w:right w:w="108" w:type="dxa"/>
        </w:tblCellMar>
      </w:tblPr>
      <w:tblGrid>
        <w:gridCol w:w="776"/>
        <w:gridCol w:w="1590"/>
        <w:gridCol w:w="1005"/>
        <w:gridCol w:w="5384"/>
      </w:tblGrid>
      <w:tr w14:paraId="0A70BB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8A5BCE7">
            <w:pPr>
              <w:adjustRightInd w:val="0"/>
              <w:snapToGrid w:val="0"/>
              <w:jc w:val="center"/>
              <w:rPr>
                <w:rFonts w:hint="eastAsia" w:ascii="宋体" w:hAnsi="宋体"/>
                <w:sz w:val="24"/>
                <w:szCs w:val="24"/>
                <w:highlight w:val="none"/>
              </w:rPr>
            </w:pPr>
            <w:r>
              <w:rPr>
                <w:rFonts w:hint="eastAsia" w:ascii="宋体" w:hAnsi="宋体"/>
                <w:sz w:val="24"/>
                <w:szCs w:val="24"/>
                <w:highlight w:val="none"/>
              </w:rPr>
              <w:t>序号</w:t>
            </w:r>
          </w:p>
        </w:tc>
        <w:tc>
          <w:tcPr>
            <w:tcW w:w="1590" w:type="dxa"/>
            <w:tcBorders>
              <w:top w:val="single" w:color="auto" w:sz="4" w:space="0"/>
              <w:left w:val="single" w:color="auto" w:sz="4" w:space="0"/>
              <w:bottom w:val="single" w:color="auto" w:sz="4" w:space="0"/>
              <w:right w:val="single" w:color="auto" w:sz="4" w:space="0"/>
            </w:tcBorders>
            <w:vAlign w:val="center"/>
          </w:tcPr>
          <w:p w14:paraId="794CBC69">
            <w:pPr>
              <w:adjustRightInd w:val="0"/>
              <w:snapToGrid w:val="0"/>
              <w:jc w:val="center"/>
              <w:rPr>
                <w:rFonts w:hint="eastAsia" w:ascii="宋体" w:hAnsi="宋体"/>
                <w:sz w:val="24"/>
                <w:szCs w:val="24"/>
                <w:highlight w:val="none"/>
              </w:rPr>
            </w:pPr>
            <w:r>
              <w:rPr>
                <w:rFonts w:hint="eastAsia" w:ascii="宋体" w:hAnsi="宋体"/>
                <w:sz w:val="24"/>
                <w:szCs w:val="24"/>
                <w:highlight w:val="none"/>
              </w:rPr>
              <w:t>标的名称</w:t>
            </w:r>
          </w:p>
        </w:tc>
        <w:tc>
          <w:tcPr>
            <w:tcW w:w="1005" w:type="dxa"/>
            <w:tcBorders>
              <w:top w:val="single" w:color="auto" w:sz="4" w:space="0"/>
              <w:left w:val="single" w:color="auto" w:sz="4" w:space="0"/>
              <w:bottom w:val="single" w:color="auto" w:sz="4" w:space="0"/>
              <w:right w:val="single" w:color="auto" w:sz="4" w:space="0"/>
            </w:tcBorders>
            <w:vAlign w:val="center"/>
          </w:tcPr>
          <w:p w14:paraId="0FE507D3">
            <w:pPr>
              <w:adjustRightInd w:val="0"/>
              <w:snapToGrid w:val="0"/>
              <w:jc w:val="center"/>
              <w:rPr>
                <w:rFonts w:hint="eastAsia" w:ascii="宋体" w:hAnsi="宋体"/>
                <w:sz w:val="24"/>
                <w:szCs w:val="24"/>
                <w:highlight w:val="none"/>
              </w:rPr>
            </w:pPr>
            <w:r>
              <w:rPr>
                <w:rFonts w:hint="eastAsia" w:ascii="宋体" w:hAnsi="宋体"/>
                <w:sz w:val="24"/>
                <w:szCs w:val="24"/>
                <w:highlight w:val="none"/>
              </w:rPr>
              <w:t>数量及</w:t>
            </w:r>
          </w:p>
          <w:p w14:paraId="6069F0E8">
            <w:pPr>
              <w:adjustRightInd w:val="0"/>
              <w:snapToGrid w:val="0"/>
              <w:jc w:val="center"/>
              <w:rPr>
                <w:rFonts w:hint="eastAsia" w:ascii="宋体" w:hAnsi="宋体"/>
                <w:sz w:val="24"/>
                <w:szCs w:val="24"/>
                <w:highlight w:val="none"/>
              </w:rPr>
            </w:pPr>
            <w:r>
              <w:rPr>
                <w:rFonts w:hint="eastAsia" w:ascii="宋体" w:hAnsi="宋体"/>
                <w:sz w:val="24"/>
                <w:szCs w:val="24"/>
                <w:highlight w:val="none"/>
              </w:rPr>
              <w:t>单位</w:t>
            </w:r>
          </w:p>
        </w:tc>
        <w:tc>
          <w:tcPr>
            <w:tcW w:w="5384" w:type="dxa"/>
            <w:tcBorders>
              <w:top w:val="single" w:color="auto" w:sz="4" w:space="0"/>
              <w:left w:val="single" w:color="auto" w:sz="4" w:space="0"/>
              <w:bottom w:val="single" w:color="auto" w:sz="4" w:space="0"/>
              <w:right w:val="single" w:color="auto" w:sz="4" w:space="0"/>
            </w:tcBorders>
            <w:vAlign w:val="center"/>
          </w:tcPr>
          <w:p w14:paraId="5B4BEA84">
            <w:pPr>
              <w:adjustRightInd w:val="0"/>
              <w:snapToGrid w:val="0"/>
              <w:jc w:val="center"/>
              <w:rPr>
                <w:rFonts w:hint="eastAsia" w:ascii="宋体" w:hAnsi="宋体"/>
                <w:sz w:val="24"/>
                <w:szCs w:val="24"/>
                <w:highlight w:val="none"/>
              </w:rPr>
            </w:pPr>
            <w:r>
              <w:rPr>
                <w:rFonts w:hint="eastAsia" w:ascii="宋体" w:hAnsi="宋体"/>
                <w:sz w:val="24"/>
                <w:szCs w:val="24"/>
                <w:highlight w:val="none"/>
              </w:rPr>
              <w:t>简要服务要求或者技术需求</w:t>
            </w:r>
          </w:p>
        </w:tc>
      </w:tr>
      <w:tr w14:paraId="49F0C3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1E60AC7">
            <w:pPr>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1590" w:type="dxa"/>
            <w:tcBorders>
              <w:top w:val="single" w:color="auto" w:sz="4" w:space="0"/>
              <w:left w:val="single" w:color="auto" w:sz="4" w:space="0"/>
              <w:bottom w:val="single" w:color="auto" w:sz="4" w:space="0"/>
              <w:right w:val="single" w:color="auto" w:sz="4" w:space="0"/>
            </w:tcBorders>
            <w:vAlign w:val="center"/>
          </w:tcPr>
          <w:p w14:paraId="1138370F">
            <w:pPr>
              <w:snapToGrid w:val="0"/>
              <w:spacing w:line="360" w:lineRule="auto"/>
              <w:rPr>
                <w:rFonts w:hint="eastAsia" w:ascii="宋体" w:hAnsi="宋体" w:eastAsia="宋体"/>
                <w:sz w:val="24"/>
                <w:szCs w:val="24"/>
                <w:highlight w:val="none"/>
                <w:lang w:eastAsia="zh-CN"/>
              </w:rPr>
            </w:pPr>
            <w:r>
              <w:rPr>
                <w:rFonts w:hint="eastAsia" w:ascii="宋体" w:hAnsi="宋体"/>
                <w:sz w:val="24"/>
                <w:szCs w:val="24"/>
                <w:highlight w:val="none"/>
                <w:lang w:eastAsia="zh-CN"/>
              </w:rPr>
              <w:t>桂江（莲花大桥至桂江河口）航道扩建工程社会稳定风险分析及评估服务</w:t>
            </w:r>
          </w:p>
        </w:tc>
        <w:tc>
          <w:tcPr>
            <w:tcW w:w="1005" w:type="dxa"/>
            <w:tcBorders>
              <w:top w:val="single" w:color="auto" w:sz="4" w:space="0"/>
              <w:left w:val="single" w:color="auto" w:sz="4" w:space="0"/>
              <w:bottom w:val="single" w:color="auto" w:sz="4" w:space="0"/>
              <w:right w:val="single" w:color="auto" w:sz="4" w:space="0"/>
            </w:tcBorders>
            <w:vAlign w:val="center"/>
          </w:tcPr>
          <w:p w14:paraId="34A4E7DB">
            <w:pPr>
              <w:keepNext/>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1项</w:t>
            </w:r>
          </w:p>
        </w:tc>
        <w:tc>
          <w:tcPr>
            <w:tcW w:w="5384" w:type="dxa"/>
            <w:tcBorders>
              <w:top w:val="single" w:color="auto" w:sz="4" w:space="0"/>
              <w:left w:val="single" w:color="auto" w:sz="4" w:space="0"/>
              <w:bottom w:val="single" w:color="auto" w:sz="4" w:space="0"/>
              <w:right w:val="single" w:color="auto" w:sz="4" w:space="0"/>
            </w:tcBorders>
            <w:vAlign w:val="center"/>
          </w:tcPr>
          <w:p w14:paraId="355F993F">
            <w:pPr>
              <w:pStyle w:val="6"/>
              <w:ind w:firstLine="480" w:firstLineChars="200"/>
              <w:rPr>
                <w:rFonts w:hint="eastAsia" w:ascii="宋体" w:hAnsi="宋体"/>
                <w:b w:val="0"/>
                <w:bCs w:val="0"/>
                <w:sz w:val="24"/>
                <w:szCs w:val="24"/>
                <w:highlight w:val="none"/>
              </w:rPr>
            </w:pPr>
            <w:r>
              <w:rPr>
                <w:rFonts w:hint="eastAsia" w:ascii="宋体" w:hAnsi="宋体"/>
                <w:b w:val="0"/>
                <w:bCs w:val="0"/>
                <w:sz w:val="24"/>
                <w:szCs w:val="24"/>
                <w:highlight w:val="none"/>
                <w:lang w:eastAsia="zh-CN"/>
              </w:rPr>
              <w:t>桂江（莲花大桥至桂江河口）航道扩建工程</w:t>
            </w:r>
            <w:r>
              <w:rPr>
                <w:rFonts w:hint="eastAsia" w:ascii="宋体" w:hAnsi="宋体"/>
                <w:b w:val="0"/>
                <w:bCs w:val="0"/>
                <w:sz w:val="24"/>
                <w:szCs w:val="24"/>
                <w:highlight w:val="none"/>
              </w:rPr>
              <w:t>，航道里程长约8.3</w:t>
            </w:r>
            <w:r>
              <w:rPr>
                <w:rFonts w:hint="eastAsia" w:ascii="宋体" w:hAnsi="宋体"/>
                <w:b w:val="0"/>
                <w:bCs w:val="0"/>
                <w:sz w:val="24"/>
                <w:szCs w:val="24"/>
                <w:highlight w:val="none"/>
                <w:lang w:eastAsia="zh-CN"/>
              </w:rPr>
              <w:t>公里</w:t>
            </w:r>
            <w:r>
              <w:rPr>
                <w:rFonts w:hint="eastAsia" w:ascii="宋体" w:hAnsi="宋体"/>
                <w:b w:val="0"/>
                <w:bCs w:val="0"/>
                <w:sz w:val="24"/>
                <w:szCs w:val="24"/>
                <w:highlight w:val="none"/>
              </w:rPr>
              <w:t>，按Ⅲ级航道建设，设计航道尺度：3.5米×70 米×480 米（水深×宽度×最小弯曲半径），设计最低通航水位1.21</w:t>
            </w:r>
            <w:r>
              <w:rPr>
                <w:rFonts w:hint="eastAsia" w:ascii="宋体" w:hAnsi="宋体"/>
                <w:b w:val="0"/>
                <w:bCs w:val="0"/>
                <w:sz w:val="24"/>
                <w:szCs w:val="24"/>
                <w:highlight w:val="none"/>
                <w:lang w:eastAsia="zh-CN"/>
              </w:rPr>
              <w:t>米</w:t>
            </w:r>
            <w:r>
              <w:rPr>
                <w:rFonts w:hint="eastAsia" w:ascii="宋体" w:hAnsi="宋体"/>
                <w:b w:val="0"/>
                <w:bCs w:val="0"/>
                <w:sz w:val="24"/>
                <w:szCs w:val="24"/>
                <w:highlight w:val="none"/>
              </w:rPr>
              <w:t>，主要工程内容包括生态疏浚炸礁工程、生态护岸工程、航标工程及配套工程等。</w:t>
            </w:r>
          </w:p>
          <w:p w14:paraId="2F86D3D0">
            <w:pPr>
              <w:pStyle w:val="6"/>
              <w:ind w:firstLine="480" w:firstLineChars="200"/>
              <w:rPr>
                <w:rFonts w:hint="eastAsia" w:ascii="Times New Roman" w:hAnsi="Times New Roman"/>
                <w:szCs w:val="24"/>
                <w:highlight w:val="none"/>
              </w:rPr>
            </w:pPr>
            <w:r>
              <w:rPr>
                <w:rFonts w:hint="eastAsia"/>
                <w:b w:val="0"/>
                <w:bCs w:val="0"/>
                <w:sz w:val="24"/>
                <w:szCs w:val="24"/>
                <w:highlight w:val="none"/>
              </w:rPr>
              <w:t>主要内容：</w:t>
            </w:r>
            <w:r>
              <w:rPr>
                <w:rFonts w:hint="eastAsia" w:ascii="宋体" w:hAnsi="宋体" w:cs="Times New Roman"/>
                <w:b w:val="0"/>
                <w:bCs w:val="0"/>
                <w:sz w:val="24"/>
                <w:szCs w:val="24"/>
                <w:highlight w:val="none"/>
                <w:lang w:val="en-US" w:eastAsia="zh-CN"/>
              </w:rPr>
              <w:t>编制</w:t>
            </w:r>
            <w:r>
              <w:rPr>
                <w:rFonts w:hint="eastAsia" w:ascii="宋体" w:hAnsi="宋体" w:cs="Times New Roman"/>
                <w:b w:val="0"/>
                <w:bCs w:val="0"/>
                <w:sz w:val="24"/>
                <w:szCs w:val="24"/>
                <w:highlight w:val="none"/>
                <w:lang w:eastAsia="zh-CN"/>
              </w:rPr>
              <w:t>社会稳定风险分析报告，</w:t>
            </w:r>
            <w:r>
              <w:rPr>
                <w:rFonts w:hint="eastAsia" w:ascii="宋体" w:hAnsi="宋体" w:eastAsia="宋体"/>
                <w:b w:val="0"/>
                <w:bCs w:val="0"/>
                <w:sz w:val="24"/>
                <w:szCs w:val="24"/>
                <w:highlight w:val="none"/>
              </w:rPr>
              <w:t>组织评审</w:t>
            </w:r>
            <w:r>
              <w:rPr>
                <w:rFonts w:hint="eastAsia" w:ascii="宋体" w:hAnsi="宋体"/>
                <w:b w:val="0"/>
                <w:bCs w:val="0"/>
                <w:sz w:val="24"/>
                <w:szCs w:val="24"/>
                <w:highlight w:val="none"/>
                <w:lang w:eastAsia="zh-CN"/>
              </w:rPr>
              <w:t>、评估</w:t>
            </w:r>
            <w:r>
              <w:rPr>
                <w:rFonts w:hint="eastAsia" w:ascii="宋体" w:hAnsi="宋体" w:eastAsia="宋体"/>
                <w:b w:val="0"/>
                <w:bCs w:val="0"/>
                <w:sz w:val="24"/>
                <w:szCs w:val="24"/>
                <w:highlight w:val="none"/>
              </w:rPr>
              <w:t>，配合业主最终取得相关行政主管部门批复等相关工作</w:t>
            </w:r>
            <w:r>
              <w:rPr>
                <w:rFonts w:hint="eastAsia" w:ascii="宋体" w:hAnsi="宋体"/>
                <w:b w:val="0"/>
                <w:bCs w:val="0"/>
                <w:sz w:val="24"/>
                <w:szCs w:val="24"/>
                <w:highlight w:val="none"/>
              </w:rPr>
              <w:t>。</w:t>
            </w:r>
          </w:p>
        </w:tc>
      </w:tr>
    </w:tbl>
    <w:p w14:paraId="348119FE">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9.</w:t>
      </w:r>
      <w:r>
        <w:rPr>
          <w:rFonts w:hint="eastAsia" w:ascii="宋体" w:hAnsi="宋体" w:cs="宋体"/>
          <w:bCs/>
          <w:sz w:val="24"/>
          <w:highlight w:val="none"/>
        </w:rPr>
        <w:t>合同履行期限：</w:t>
      </w:r>
    </w:p>
    <w:p w14:paraId="3DECFD0F">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rPr>
        <w:t>服务总工期：</w:t>
      </w:r>
      <w:r>
        <w:rPr>
          <w:rFonts w:hint="eastAsia" w:ascii="宋体" w:hAnsi="宋体" w:cs="宋体"/>
          <w:sz w:val="24"/>
          <w:highlight w:val="none"/>
          <w:lang w:bidi="ar"/>
        </w:rPr>
        <w:t>签订合同后</w:t>
      </w:r>
      <w:r>
        <w:rPr>
          <w:rFonts w:hint="eastAsia" w:ascii="宋体" w:hAnsi="宋体" w:cs="宋体"/>
          <w:sz w:val="24"/>
          <w:highlight w:val="none"/>
          <w:lang w:val="en-US" w:eastAsia="zh-CN" w:bidi="ar"/>
        </w:rPr>
        <w:t>60</w:t>
      </w:r>
      <w:r>
        <w:rPr>
          <w:rFonts w:hint="eastAsia" w:ascii="宋体" w:hAnsi="宋体" w:cs="宋体"/>
          <w:sz w:val="24"/>
          <w:highlight w:val="none"/>
          <w:lang w:bidi="ar"/>
        </w:rPr>
        <w:t>日历天内提交</w:t>
      </w:r>
      <w:r>
        <w:rPr>
          <w:rFonts w:hint="eastAsia" w:ascii="宋体" w:hAnsi="宋体" w:cs="宋体"/>
          <w:sz w:val="24"/>
          <w:highlight w:val="none"/>
          <w:lang w:eastAsia="zh-CN" w:bidi="ar"/>
        </w:rPr>
        <w:t>社会稳定风险分析报告</w:t>
      </w:r>
      <w:r>
        <w:rPr>
          <w:rFonts w:hint="eastAsia" w:ascii="宋体" w:hAnsi="宋体" w:cs="宋体"/>
          <w:sz w:val="24"/>
          <w:highlight w:val="none"/>
          <w:lang w:bidi="ar"/>
        </w:rPr>
        <w:t>送审稿，并在</w:t>
      </w:r>
      <w:r>
        <w:rPr>
          <w:rFonts w:hint="eastAsia" w:ascii="宋体" w:hAnsi="宋体" w:cs="宋体"/>
          <w:sz w:val="24"/>
          <w:highlight w:val="none"/>
          <w:lang w:eastAsia="zh-CN" w:bidi="ar"/>
        </w:rPr>
        <w:t>社会稳定风险分析报告评审会后15日内</w:t>
      </w:r>
      <w:r>
        <w:rPr>
          <w:rFonts w:hint="eastAsia" w:ascii="宋体" w:hAnsi="宋体" w:cs="宋体"/>
          <w:sz w:val="24"/>
          <w:highlight w:val="none"/>
          <w:lang w:bidi="ar"/>
        </w:rPr>
        <w:t>完成报批稿。</w:t>
      </w:r>
    </w:p>
    <w:p w14:paraId="3C6E1E14">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10.</w:t>
      </w:r>
      <w:r>
        <w:rPr>
          <w:rFonts w:hint="eastAsia" w:ascii="宋体" w:hAnsi="宋体" w:cs="宋体"/>
          <w:bCs/>
          <w:sz w:val="24"/>
          <w:highlight w:val="none"/>
        </w:rPr>
        <w:t>本次采购不接受联合体</w:t>
      </w:r>
      <w:r>
        <w:rPr>
          <w:rFonts w:hint="eastAsia" w:ascii="宋体" w:hAnsi="宋体" w:cs="宋体"/>
          <w:bCs/>
          <w:sz w:val="24"/>
          <w:highlight w:val="none"/>
          <w:lang w:eastAsia="zh-CN"/>
        </w:rPr>
        <w:t>投标</w:t>
      </w:r>
      <w:r>
        <w:rPr>
          <w:rFonts w:hint="eastAsia" w:ascii="宋体" w:hAnsi="宋体" w:cs="宋体"/>
          <w:bCs/>
          <w:sz w:val="24"/>
          <w:highlight w:val="none"/>
        </w:rPr>
        <w:t>。</w:t>
      </w:r>
    </w:p>
    <w:p w14:paraId="6784A8D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二、供应商的资格条件</w:t>
      </w:r>
    </w:p>
    <w:p w14:paraId="674E86E3">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1</w:t>
      </w:r>
      <w:r>
        <w:rPr>
          <w:rFonts w:hint="eastAsia" w:ascii="宋体" w:hAnsi="宋体" w:cs="宋体"/>
          <w:sz w:val="24"/>
          <w:highlight w:val="none"/>
          <w:lang w:val="en-US" w:eastAsia="zh-CN" w:bidi="ar"/>
        </w:rPr>
        <w:t>.</w:t>
      </w:r>
      <w:r>
        <w:rPr>
          <w:rFonts w:hint="eastAsia" w:ascii="宋体" w:hAnsi="宋体" w:cs="宋体"/>
          <w:sz w:val="24"/>
          <w:highlight w:val="none"/>
          <w:lang w:bidi="ar"/>
        </w:rPr>
        <w:t>具备国内独立法人资格。</w:t>
      </w:r>
      <w:r>
        <w:rPr>
          <w:rFonts w:hint="eastAsia" w:ascii="宋体" w:hAnsi="宋体" w:cs="宋体"/>
          <w:bCs/>
          <w:sz w:val="24"/>
          <w:highlight w:val="none"/>
        </w:rPr>
        <w:t>供应商须具有独立承担民事责任的能力，为中华人民共和国境内注册的法人或其他组织，具有有效的营业执照；</w:t>
      </w:r>
    </w:p>
    <w:p w14:paraId="4A99AE8C">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w:t>
      </w:r>
      <w:r>
        <w:rPr>
          <w:rFonts w:hint="eastAsia" w:ascii="宋体" w:hAnsi="宋体" w:cs="宋体"/>
          <w:sz w:val="24"/>
          <w:highlight w:val="none"/>
          <w:lang w:val="en-US" w:eastAsia="zh-CN" w:bidi="ar"/>
        </w:rPr>
        <w:t>.特定</w:t>
      </w:r>
      <w:r>
        <w:rPr>
          <w:rFonts w:hint="eastAsia" w:ascii="宋体" w:hAnsi="宋体" w:cs="宋体"/>
          <w:sz w:val="24"/>
          <w:highlight w:val="none"/>
          <w:lang w:bidi="ar"/>
        </w:rPr>
        <w:t>资质要求：</w:t>
      </w:r>
    </w:p>
    <w:p w14:paraId="4D0DF577">
      <w:pPr>
        <w:widowControl/>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lang w:eastAsia="zh-CN"/>
        </w:rPr>
        <w:t>供应商应</w:t>
      </w:r>
      <w:r>
        <w:rPr>
          <w:rFonts w:hint="eastAsia" w:ascii="宋体" w:hAnsi="宋体" w:cs="宋体"/>
          <w:bCs/>
          <w:sz w:val="24"/>
          <w:highlight w:val="none"/>
        </w:rPr>
        <w:t>具备</w:t>
      </w:r>
      <w:r>
        <w:rPr>
          <w:rFonts w:hint="eastAsia" w:ascii="宋体" w:hAnsi="宋体" w:cs="宋体"/>
          <w:bCs/>
          <w:sz w:val="24"/>
          <w:highlight w:val="none"/>
          <w:lang w:eastAsia="zh-CN"/>
        </w:rPr>
        <w:t>以下资质：</w:t>
      </w:r>
    </w:p>
    <w:p w14:paraId="145F99F5">
      <w:pPr>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rPr>
        <w:t>在全国投资项目在线审批监管平台工程咨询单位名录，且平台中登记备案的咨询专业至少包含水运（含港口河海工程）专业，专业服务范围包括有项目咨询</w:t>
      </w:r>
      <w:r>
        <w:rPr>
          <w:rFonts w:ascii="宋体" w:hAnsi="宋体" w:cs="宋体"/>
          <w:bCs/>
          <w:sz w:val="24"/>
          <w:highlight w:val="none"/>
        </w:rPr>
        <w:t>。</w:t>
      </w:r>
    </w:p>
    <w:p w14:paraId="704F15C9">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3</w:t>
      </w:r>
      <w:r>
        <w:rPr>
          <w:rFonts w:hint="eastAsia" w:ascii="宋体" w:hAnsi="宋体" w:cs="宋体"/>
          <w:sz w:val="24"/>
          <w:highlight w:val="none"/>
          <w:lang w:val="en-US" w:eastAsia="zh-CN" w:bidi="ar"/>
        </w:rPr>
        <w:t>.</w:t>
      </w:r>
      <w:r>
        <w:rPr>
          <w:rFonts w:hint="eastAsia" w:ascii="宋体" w:hAnsi="宋体" w:cs="宋体"/>
          <w:sz w:val="24"/>
          <w:highlight w:val="none"/>
          <w:lang w:bidi="ar"/>
        </w:rPr>
        <w:t>业绩要求：</w:t>
      </w:r>
    </w:p>
    <w:p w14:paraId="1AD46F08">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供应商应具有以下业绩：</w:t>
      </w:r>
    </w:p>
    <w:p w14:paraId="3FD513C9">
      <w:pPr>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lang w:eastAsia="zh-CN"/>
        </w:rPr>
        <w:t>自2019年</w:t>
      </w:r>
      <w:r>
        <w:rPr>
          <w:rFonts w:ascii="宋体" w:hAnsi="宋体" w:cs="宋体"/>
          <w:bCs/>
          <w:sz w:val="24"/>
          <w:highlight w:val="none"/>
        </w:rPr>
        <w:t>1月1日起至投标截止时间前,</w:t>
      </w:r>
      <w:r>
        <w:rPr>
          <w:rFonts w:hint="default" w:ascii="宋体" w:hAnsi="宋体" w:eastAsia="宋体" w:cs="宋体"/>
          <w:bCs/>
          <w:kern w:val="2"/>
          <w:sz w:val="24"/>
          <w:szCs w:val="24"/>
          <w:highlight w:val="none"/>
        </w:rPr>
        <w:t>有至少</w:t>
      </w:r>
      <w:r>
        <w:rPr>
          <w:rFonts w:ascii="宋体" w:hAnsi="宋体" w:eastAsia="宋体" w:cs="宋体"/>
          <w:bCs/>
          <w:kern w:val="2"/>
          <w:sz w:val="24"/>
          <w:szCs w:val="24"/>
          <w:highlight w:val="none"/>
        </w:rPr>
        <w:t>1</w:t>
      </w:r>
      <w:r>
        <w:rPr>
          <w:rFonts w:hint="default" w:ascii="宋体" w:hAnsi="宋体" w:eastAsia="宋体" w:cs="宋体"/>
          <w:bCs/>
          <w:kern w:val="2"/>
          <w:sz w:val="24"/>
          <w:szCs w:val="24"/>
          <w:highlight w:val="none"/>
        </w:rPr>
        <w:t>个航道或</w:t>
      </w:r>
      <w:r>
        <w:rPr>
          <w:rFonts w:hint="eastAsia" w:ascii="宋体" w:hAnsi="宋体" w:cs="宋体"/>
          <w:bCs/>
          <w:kern w:val="2"/>
          <w:sz w:val="24"/>
          <w:szCs w:val="24"/>
          <w:highlight w:val="none"/>
          <w:lang w:val="en-US" w:eastAsia="zh-CN"/>
        </w:rPr>
        <w:t>码头或</w:t>
      </w:r>
      <w:r>
        <w:rPr>
          <w:rFonts w:hint="default" w:ascii="宋体" w:hAnsi="宋体" w:eastAsia="宋体" w:cs="宋体"/>
          <w:bCs/>
          <w:kern w:val="2"/>
          <w:sz w:val="24"/>
          <w:szCs w:val="24"/>
          <w:highlight w:val="none"/>
          <w:lang w:val="en-US" w:eastAsia="zh-CN"/>
        </w:rPr>
        <w:t>港区作业区</w:t>
      </w:r>
      <w:r>
        <w:rPr>
          <w:rFonts w:hint="eastAsia" w:ascii="宋体" w:hAnsi="宋体" w:cs="宋体"/>
          <w:bCs/>
          <w:sz w:val="24"/>
          <w:highlight w:val="none"/>
        </w:rPr>
        <w:t>项目的</w:t>
      </w:r>
      <w:r>
        <w:rPr>
          <w:rFonts w:hint="default" w:ascii="宋体" w:hAnsi="宋体" w:cs="宋体"/>
          <w:bCs/>
          <w:sz w:val="24"/>
          <w:highlight w:val="none"/>
          <w:lang w:eastAsia="zh-CN"/>
        </w:rPr>
        <w:t>社会稳定风险分析报告</w:t>
      </w:r>
      <w:r>
        <w:rPr>
          <w:rFonts w:hint="eastAsia" w:ascii="宋体" w:hAnsi="宋体" w:cs="宋体"/>
          <w:bCs/>
          <w:sz w:val="24"/>
          <w:highlight w:val="none"/>
        </w:rPr>
        <w:t>编制</w:t>
      </w:r>
      <w:r>
        <w:rPr>
          <w:rFonts w:hint="eastAsia" w:ascii="宋体" w:hAnsi="宋体" w:cs="宋体"/>
          <w:bCs/>
          <w:sz w:val="24"/>
          <w:highlight w:val="none"/>
          <w:lang w:val="en-US" w:eastAsia="zh-CN"/>
        </w:rPr>
        <w:t>业绩</w:t>
      </w:r>
      <w:r>
        <w:rPr>
          <w:rFonts w:hint="eastAsia" w:ascii="宋体" w:hAnsi="宋体" w:cs="宋体"/>
          <w:bCs/>
          <w:sz w:val="24"/>
          <w:highlight w:val="none"/>
        </w:rPr>
        <w:t>。（</w:t>
      </w:r>
      <w:r>
        <w:rPr>
          <w:rFonts w:hint="eastAsia" w:ascii="宋体" w:hAnsi="宋体" w:cs="宋体"/>
          <w:bCs/>
          <w:sz w:val="24"/>
          <w:highlight w:val="none"/>
          <w:lang w:eastAsia="zh-CN"/>
        </w:rPr>
        <w:t>业绩</w:t>
      </w:r>
      <w:r>
        <w:rPr>
          <w:rFonts w:hint="eastAsia" w:ascii="宋体" w:hAnsi="宋体" w:cs="宋体"/>
          <w:bCs/>
          <w:sz w:val="24"/>
          <w:highlight w:val="none"/>
        </w:rPr>
        <w:t>时间以</w:t>
      </w:r>
      <w:r>
        <w:rPr>
          <w:rFonts w:hint="eastAsia" w:ascii="宋体" w:hAnsi="宋体" w:cs="宋体"/>
          <w:bCs/>
          <w:sz w:val="24"/>
          <w:highlight w:val="none"/>
          <w:lang w:val="en-US" w:eastAsia="zh-CN"/>
        </w:rPr>
        <w:t>合同签订</w:t>
      </w:r>
      <w:r>
        <w:rPr>
          <w:rFonts w:hint="eastAsia" w:ascii="宋体" w:hAnsi="宋体" w:cs="宋体"/>
          <w:bCs/>
          <w:sz w:val="24"/>
          <w:highlight w:val="none"/>
        </w:rPr>
        <w:t>时间为准）</w:t>
      </w:r>
    </w:p>
    <w:p w14:paraId="2503B403">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4.</w:t>
      </w:r>
      <w:r>
        <w:rPr>
          <w:rFonts w:hint="eastAsia" w:ascii="宋体" w:hAnsi="宋体" w:cs="宋体"/>
          <w:sz w:val="24"/>
          <w:highlight w:val="none"/>
          <w:lang w:bidi="ar"/>
        </w:rPr>
        <w:t>供应商参加</w:t>
      </w:r>
      <w:r>
        <w:rPr>
          <w:rFonts w:hint="eastAsia" w:ascii="宋体" w:hAnsi="宋体" w:cs="宋体"/>
          <w:sz w:val="24"/>
          <w:highlight w:val="none"/>
          <w:lang w:eastAsia="zh-CN" w:bidi="ar"/>
        </w:rPr>
        <w:t>本次</w:t>
      </w:r>
      <w:r>
        <w:rPr>
          <w:rFonts w:hint="eastAsia" w:ascii="宋体" w:hAnsi="宋体" w:cs="宋体"/>
          <w:sz w:val="24"/>
          <w:highlight w:val="none"/>
          <w:lang w:bidi="ar"/>
        </w:rPr>
        <w:t>采购活动前三年内，在经营活动中没有重大违法记录（重大违法记录，是指供应商因违法经营受到刑事处罚或者责令停产停业、吊销许可证或者执照等行政处罚）</w:t>
      </w:r>
      <w:r>
        <w:rPr>
          <w:rFonts w:hint="eastAsia" w:ascii="宋体" w:hAnsi="宋体" w:cs="宋体"/>
          <w:sz w:val="24"/>
          <w:highlight w:val="none"/>
          <w:lang w:eastAsia="zh-CN" w:bidi="ar"/>
        </w:rPr>
        <w:t>。由供应商</w:t>
      </w:r>
      <w:r>
        <w:rPr>
          <w:rFonts w:hint="eastAsia" w:ascii="宋体" w:hAnsi="宋体" w:cs="宋体"/>
          <w:sz w:val="24"/>
          <w:highlight w:val="none"/>
          <w:lang w:bidi="ar"/>
        </w:rPr>
        <w:t>提供书面声明。</w:t>
      </w:r>
    </w:p>
    <w:p w14:paraId="1A1D9176">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5.</w:t>
      </w:r>
      <w:r>
        <w:rPr>
          <w:rFonts w:hint="eastAsia" w:ascii="宋体" w:hAnsi="宋体" w:cs="宋体"/>
          <w:sz w:val="24"/>
          <w:highlight w:val="none"/>
          <w:lang w:bidi="ar"/>
        </w:rPr>
        <w:t>在“信用中国”网站、中国政府采购网等渠道未被列入失信被执行人、重大税收违法案件当事人名单、政府采购严重违法失信行为记录名单。</w:t>
      </w:r>
    </w:p>
    <w:p w14:paraId="7B622272">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三、获取采购文件</w:t>
      </w:r>
    </w:p>
    <w:p w14:paraId="7ED073A9">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获取时间：自</w:t>
      </w:r>
      <w:r>
        <w:rPr>
          <w:rFonts w:hint="eastAsia" w:ascii="宋体" w:hAnsi="宋体" w:cs="宋体"/>
          <w:sz w:val="24"/>
          <w:highlight w:val="none"/>
          <w:lang w:eastAsia="zh-CN" w:bidi="ar"/>
        </w:rPr>
        <w:t>采购</w:t>
      </w:r>
      <w:r>
        <w:rPr>
          <w:rFonts w:hint="eastAsia" w:ascii="宋体" w:hAnsi="宋体" w:cs="宋体"/>
          <w:sz w:val="24"/>
          <w:highlight w:val="none"/>
          <w:lang w:bidi="ar"/>
        </w:rPr>
        <w:t>公告发布之日起</w:t>
      </w:r>
      <w:r>
        <w:rPr>
          <w:rFonts w:hint="eastAsia" w:ascii="宋体" w:hAnsi="宋体" w:cs="宋体"/>
          <w:sz w:val="24"/>
          <w:highlight w:val="none"/>
          <w:lang w:eastAsia="zh-CN" w:bidi="ar"/>
        </w:rPr>
        <w:t>，至响应文件递交截止时间</w:t>
      </w:r>
      <w:r>
        <w:rPr>
          <w:rFonts w:ascii="宋体" w:hAnsi="宋体" w:cs="宋体"/>
          <w:sz w:val="24"/>
          <w:highlight w:val="none"/>
          <w:lang w:bidi="ar"/>
        </w:rPr>
        <w:t>。</w:t>
      </w:r>
    </w:p>
    <w:p w14:paraId="1DF20B2A">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获取地点：广西壮族自治区港航发展中心网站(http://www.gxghj.cn/)。</w:t>
      </w:r>
    </w:p>
    <w:p w14:paraId="69A30BF8">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获取方式：网上下载。本项目不提供纸质文件，潜在供应商登录广西壮族自治区港航发展中心网站-进入“通知公告”应用，点击</w:t>
      </w:r>
      <w:r>
        <w:rPr>
          <w:rFonts w:hint="eastAsia" w:ascii="宋体" w:hAnsi="宋体" w:cs="宋体"/>
          <w:sz w:val="24"/>
          <w:highlight w:val="none"/>
          <w:lang w:eastAsia="zh-CN" w:bidi="ar"/>
        </w:rPr>
        <w:t>采购</w:t>
      </w:r>
      <w:r>
        <w:rPr>
          <w:rFonts w:hint="eastAsia" w:ascii="宋体" w:hAnsi="宋体" w:cs="宋体"/>
          <w:sz w:val="24"/>
          <w:highlight w:val="none"/>
          <w:lang w:bidi="ar"/>
        </w:rPr>
        <w:t>公告获取采购文件（采购方案）。</w:t>
      </w:r>
    </w:p>
    <w:p w14:paraId="2F0F0E66">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四、响应文件</w:t>
      </w:r>
      <w:r>
        <w:rPr>
          <w:rFonts w:hint="eastAsia" w:ascii="黑体" w:hAnsi="黑体" w:eastAsia="黑体"/>
          <w:b/>
          <w:sz w:val="24"/>
          <w:highlight w:val="none"/>
          <w:lang w:eastAsia="zh-CN"/>
        </w:rPr>
        <w:t>递</w:t>
      </w:r>
      <w:r>
        <w:rPr>
          <w:rFonts w:hint="eastAsia" w:ascii="黑体" w:hAnsi="黑体" w:eastAsia="黑体"/>
          <w:b/>
          <w:sz w:val="24"/>
          <w:highlight w:val="none"/>
        </w:rPr>
        <w:t>交</w:t>
      </w:r>
    </w:p>
    <w:p w14:paraId="6FA828B5">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响应文件</w:t>
      </w:r>
      <w:r>
        <w:rPr>
          <w:rFonts w:hint="eastAsia" w:ascii="宋体" w:hAnsi="宋体" w:cs="宋体"/>
          <w:sz w:val="24"/>
          <w:highlight w:val="none"/>
          <w:lang w:eastAsia="zh-CN" w:bidi="ar"/>
        </w:rPr>
        <w:t>形式及份数：</w:t>
      </w:r>
      <w:r>
        <w:rPr>
          <w:rFonts w:hint="eastAsia" w:ascii="宋体" w:hAnsi="宋体" w:cs="宋体"/>
          <w:sz w:val="24"/>
          <w:highlight w:val="none"/>
          <w:lang w:bidi="ar"/>
        </w:rPr>
        <w:t>纸质</w:t>
      </w:r>
      <w:r>
        <w:rPr>
          <w:rFonts w:hint="eastAsia" w:ascii="宋体" w:hAnsi="宋体" w:cs="宋体"/>
          <w:sz w:val="24"/>
          <w:highlight w:val="none"/>
          <w:lang w:eastAsia="zh-CN" w:bidi="ar"/>
        </w:rPr>
        <w:t>文件，</w:t>
      </w:r>
      <w:r>
        <w:rPr>
          <w:rFonts w:hint="eastAsia" w:ascii="宋体" w:hAnsi="宋体" w:cs="宋体"/>
          <w:sz w:val="24"/>
          <w:highlight w:val="none"/>
          <w:lang w:bidi="ar"/>
        </w:rPr>
        <w:t>一正一副共两份文件。</w:t>
      </w:r>
    </w:p>
    <w:p w14:paraId="212E96CD">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地址：</w:t>
      </w:r>
      <w:r>
        <w:rPr>
          <w:rFonts w:hint="eastAsia" w:ascii="宋体" w:hAnsi="宋体" w:cs="宋体"/>
          <w:sz w:val="24"/>
          <w:highlight w:val="none"/>
          <w:lang w:eastAsia="zh-CN" w:bidi="ar"/>
        </w:rPr>
        <w:t>南宁市青秀区百花岭路</w:t>
      </w:r>
      <w:r>
        <w:rPr>
          <w:rFonts w:hint="eastAsia" w:ascii="宋体" w:hAnsi="宋体" w:cs="宋体"/>
          <w:sz w:val="24"/>
          <w:highlight w:val="none"/>
          <w:lang w:val="en-US" w:eastAsia="zh-CN" w:bidi="ar"/>
        </w:rPr>
        <w:t>6号广西壮族自治区港航发展中心425室</w:t>
      </w:r>
      <w:r>
        <w:rPr>
          <w:rFonts w:hint="eastAsia" w:ascii="宋体" w:hAnsi="宋体" w:cs="宋体"/>
          <w:sz w:val="24"/>
          <w:highlight w:val="none"/>
          <w:lang w:bidi="ar"/>
        </w:rPr>
        <w:t>。</w:t>
      </w:r>
    </w:p>
    <w:p w14:paraId="135BF172">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w:t>
      </w:r>
      <w:r>
        <w:rPr>
          <w:rFonts w:ascii="宋体" w:hAnsi="宋体" w:cs="宋体"/>
          <w:sz w:val="24"/>
          <w:highlight w:val="none"/>
          <w:lang w:bidi="ar"/>
        </w:rPr>
        <w:t>2025年</w:t>
      </w:r>
      <w:r>
        <w:rPr>
          <w:rFonts w:hint="eastAsia" w:ascii="宋体" w:hAnsi="宋体" w:cs="宋体"/>
          <w:sz w:val="24"/>
          <w:highlight w:val="none"/>
          <w:lang w:val="en-US" w:eastAsia="zh-CN" w:bidi="ar"/>
        </w:rPr>
        <w:t>11</w:t>
      </w:r>
      <w:r>
        <w:rPr>
          <w:rFonts w:ascii="宋体" w:hAnsi="宋体" w:cs="宋体"/>
          <w:sz w:val="24"/>
          <w:highlight w:val="none"/>
          <w:lang w:bidi="ar"/>
        </w:rPr>
        <w:t>月</w:t>
      </w:r>
      <w:r>
        <w:rPr>
          <w:rFonts w:hint="eastAsia" w:ascii="宋体" w:hAnsi="宋体" w:cs="宋体"/>
          <w:sz w:val="24"/>
          <w:highlight w:val="none"/>
          <w:lang w:val="en-US" w:eastAsia="zh-CN" w:bidi="ar"/>
        </w:rPr>
        <w:t>25</w:t>
      </w:r>
      <w:r>
        <w:rPr>
          <w:rFonts w:ascii="宋体" w:hAnsi="宋体" w:cs="宋体"/>
          <w:sz w:val="24"/>
          <w:highlight w:val="none"/>
          <w:lang w:bidi="ar"/>
        </w:rPr>
        <w:t>日1</w:t>
      </w:r>
      <w:r>
        <w:rPr>
          <w:rFonts w:hint="eastAsia" w:ascii="宋体" w:hAnsi="宋体" w:cs="宋体"/>
          <w:sz w:val="24"/>
          <w:highlight w:val="none"/>
          <w:lang w:val="en-US" w:eastAsia="zh-CN" w:bidi="ar"/>
        </w:rPr>
        <w:t>1</w:t>
      </w:r>
      <w:r>
        <w:rPr>
          <w:rFonts w:ascii="宋体" w:hAnsi="宋体" w:cs="宋体"/>
          <w:sz w:val="24"/>
          <w:highlight w:val="none"/>
          <w:lang w:bidi="ar"/>
        </w:rPr>
        <w:t>时00分</w:t>
      </w:r>
      <w:r>
        <w:rPr>
          <w:rFonts w:hint="eastAsia" w:ascii="宋体" w:hAnsi="宋体" w:cs="宋体"/>
          <w:sz w:val="24"/>
          <w:highlight w:val="none"/>
          <w:lang w:bidi="ar"/>
        </w:rPr>
        <w:t>。</w:t>
      </w:r>
    </w:p>
    <w:p w14:paraId="6D562E5B">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bidi="ar"/>
        </w:rPr>
        <w:t>至响应文件截止时间时，投标供应商不足三家</w:t>
      </w:r>
      <w:r>
        <w:rPr>
          <w:rFonts w:hint="eastAsia" w:ascii="宋体" w:hAnsi="宋体" w:cs="宋体"/>
          <w:sz w:val="24"/>
          <w:highlight w:val="none"/>
          <w:lang w:eastAsia="zh-CN" w:bidi="ar"/>
        </w:rPr>
        <w:t>的</w:t>
      </w:r>
      <w:r>
        <w:rPr>
          <w:rFonts w:hint="eastAsia" w:ascii="宋体" w:hAnsi="宋体" w:cs="宋体"/>
          <w:sz w:val="24"/>
          <w:highlight w:val="none"/>
          <w:lang w:bidi="ar"/>
        </w:rPr>
        <w:t>，另行发布延期公告；发布延期公告后，如投标供应商仍不足三家的，在已</w:t>
      </w:r>
      <w:r>
        <w:rPr>
          <w:rFonts w:hint="eastAsia" w:ascii="宋体" w:hAnsi="宋体" w:cs="宋体"/>
          <w:sz w:val="24"/>
          <w:highlight w:val="none"/>
          <w:lang w:eastAsia="zh-CN" w:bidi="ar"/>
        </w:rPr>
        <w:t>递交</w:t>
      </w:r>
      <w:r>
        <w:rPr>
          <w:rFonts w:hint="eastAsia" w:ascii="宋体" w:hAnsi="宋体" w:cs="宋体"/>
          <w:sz w:val="24"/>
          <w:highlight w:val="none"/>
          <w:lang w:bidi="ar"/>
        </w:rPr>
        <w:t>响应文件的供应商中按照评审规则评选。</w:t>
      </w:r>
    </w:p>
    <w:p w14:paraId="42958B37">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rPr>
        <w:t>4.</w:t>
      </w:r>
      <w:r>
        <w:rPr>
          <w:rFonts w:hint="eastAsia" w:ascii="宋体" w:hAnsi="宋体" w:cs="宋体"/>
          <w:sz w:val="24"/>
          <w:highlight w:val="none"/>
          <w:lang w:bidi="ar"/>
        </w:rPr>
        <w:t>响应文件</w:t>
      </w:r>
      <w:r>
        <w:rPr>
          <w:rFonts w:ascii="宋体" w:hAnsi="宋体" w:cs="宋体"/>
          <w:sz w:val="24"/>
          <w:highlight w:val="none"/>
        </w:rPr>
        <w:t>必须密封，否则</w:t>
      </w:r>
      <w:r>
        <w:rPr>
          <w:rFonts w:hint="eastAsia" w:ascii="宋体" w:hAnsi="宋体" w:cs="宋体"/>
          <w:sz w:val="24"/>
          <w:highlight w:val="none"/>
          <w:lang w:eastAsia="zh-CN"/>
        </w:rPr>
        <w:t>采购人予以拒收</w:t>
      </w:r>
      <w:r>
        <w:rPr>
          <w:rFonts w:ascii="宋体" w:hAnsi="宋体" w:cs="宋体"/>
          <w:sz w:val="24"/>
          <w:highlight w:val="none"/>
        </w:rPr>
        <w:t>。</w:t>
      </w:r>
    </w:p>
    <w:p w14:paraId="494A5404">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五、响应文件开启</w:t>
      </w:r>
      <w:r>
        <w:rPr>
          <w:rFonts w:hint="eastAsia" w:ascii="黑体" w:hAnsi="黑体" w:eastAsia="黑体"/>
          <w:b/>
          <w:sz w:val="24"/>
          <w:highlight w:val="none"/>
          <w:lang w:eastAsia="zh-CN"/>
        </w:rPr>
        <w:t>与</w:t>
      </w:r>
      <w:r>
        <w:rPr>
          <w:rFonts w:hint="eastAsia" w:ascii="黑体" w:hAnsi="黑体" w:eastAsia="黑体"/>
          <w:b/>
          <w:sz w:val="24"/>
          <w:highlight w:val="none"/>
        </w:rPr>
        <w:t xml:space="preserve">评审 </w:t>
      </w:r>
    </w:p>
    <w:p w14:paraId="438600BC">
      <w:pPr>
        <w:spacing w:line="360" w:lineRule="auto"/>
        <w:ind w:firstLine="480" w:firstLineChars="200"/>
        <w:rPr>
          <w:rFonts w:hint="eastAsia" w:ascii="宋体" w:hAnsi="宋体" w:cs="宋体"/>
          <w:sz w:val="24"/>
          <w:highlight w:val="none"/>
        </w:rPr>
      </w:pPr>
      <w:r>
        <w:rPr>
          <w:rFonts w:ascii="宋体" w:hAnsi="宋体" w:cs="宋体"/>
          <w:sz w:val="24"/>
          <w:highlight w:val="none"/>
        </w:rPr>
        <w:t>1.时间：</w:t>
      </w:r>
      <w:r>
        <w:rPr>
          <w:rFonts w:hint="eastAsia" w:ascii="宋体" w:hAnsi="宋体" w:cs="宋体"/>
          <w:sz w:val="24"/>
          <w:highlight w:val="none"/>
        </w:rPr>
        <w:t>响应文件</w:t>
      </w:r>
      <w:r>
        <w:rPr>
          <w:rFonts w:hint="eastAsia" w:ascii="宋体" w:hAnsi="宋体" w:cs="宋体"/>
          <w:sz w:val="24"/>
          <w:highlight w:val="none"/>
          <w:lang w:eastAsia="zh-CN"/>
        </w:rPr>
        <w:t>递交</w:t>
      </w:r>
      <w:r>
        <w:rPr>
          <w:rFonts w:hint="eastAsia" w:ascii="宋体" w:hAnsi="宋体" w:cs="宋体"/>
          <w:sz w:val="24"/>
          <w:highlight w:val="none"/>
        </w:rPr>
        <w:t>截止</w:t>
      </w:r>
      <w:bookmarkStart w:id="141" w:name="_GoBack"/>
      <w:bookmarkEnd w:id="141"/>
      <w:r>
        <w:rPr>
          <w:rFonts w:hint="eastAsia" w:ascii="宋体" w:hAnsi="宋体" w:cs="宋体"/>
          <w:sz w:val="24"/>
          <w:highlight w:val="none"/>
        </w:rPr>
        <w:t>后的5个工作日内完成</w:t>
      </w:r>
    </w:p>
    <w:p w14:paraId="06D6F9A0">
      <w:pPr>
        <w:spacing w:line="360" w:lineRule="auto"/>
        <w:ind w:firstLine="480" w:firstLineChars="200"/>
        <w:rPr>
          <w:rFonts w:hint="eastAsia" w:ascii="宋体" w:hAnsi="宋体" w:cs="宋体"/>
          <w:sz w:val="24"/>
          <w:highlight w:val="none"/>
          <w:lang w:bidi="ar"/>
        </w:rPr>
      </w:pPr>
      <w:r>
        <w:rPr>
          <w:rFonts w:ascii="宋体" w:hAnsi="宋体" w:cs="宋体"/>
          <w:sz w:val="24"/>
          <w:highlight w:val="none"/>
        </w:rPr>
        <w:t>2.地点：</w:t>
      </w:r>
      <w:r>
        <w:rPr>
          <w:rFonts w:hint="eastAsia" w:ascii="宋体" w:hAnsi="宋体" w:cs="宋体"/>
          <w:sz w:val="24"/>
          <w:highlight w:val="none"/>
          <w:lang w:bidi="ar"/>
        </w:rPr>
        <w:t>广西壮族自治区港航发展中心</w:t>
      </w:r>
    </w:p>
    <w:p w14:paraId="491EE663">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不邀请供应商参加响应文件开启。</w:t>
      </w:r>
    </w:p>
    <w:p w14:paraId="74B3E23A">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六、联系</w:t>
      </w:r>
      <w:r>
        <w:rPr>
          <w:rFonts w:ascii="黑体" w:hAnsi="黑体" w:eastAsia="黑体"/>
          <w:b/>
          <w:sz w:val="24"/>
          <w:highlight w:val="none"/>
        </w:rPr>
        <w:t>方式</w:t>
      </w:r>
    </w:p>
    <w:p w14:paraId="33FAC49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联系人：</w:t>
      </w:r>
      <w:r>
        <w:rPr>
          <w:rFonts w:hint="eastAsia" w:ascii="宋体" w:hAnsi="宋体" w:cs="宋体"/>
          <w:sz w:val="24"/>
          <w:highlight w:val="none"/>
          <w:lang w:eastAsia="zh-CN" w:bidi="ar"/>
        </w:rPr>
        <w:t>苏工</w:t>
      </w:r>
      <w:r>
        <w:rPr>
          <w:rFonts w:hint="eastAsia" w:ascii="宋体" w:hAnsi="宋体" w:cs="宋体"/>
          <w:sz w:val="24"/>
          <w:highlight w:val="none"/>
          <w:lang w:bidi="ar"/>
        </w:rPr>
        <w:t xml:space="preserve"> 联系电话：0771-</w:t>
      </w:r>
      <w:r>
        <w:rPr>
          <w:rFonts w:hint="eastAsia" w:ascii="宋体" w:hAnsi="宋体" w:cs="宋体"/>
          <w:sz w:val="24"/>
          <w:highlight w:val="none"/>
          <w:lang w:val="en-US" w:eastAsia="zh-CN" w:bidi="ar"/>
        </w:rPr>
        <w:t>2841511</w:t>
      </w:r>
      <w:r>
        <w:rPr>
          <w:rFonts w:hint="eastAsia" w:ascii="宋体" w:hAnsi="宋体" w:cs="宋体"/>
          <w:sz w:val="24"/>
          <w:highlight w:val="none"/>
          <w:lang w:bidi="ar"/>
        </w:rPr>
        <w:t>。</w:t>
      </w:r>
    </w:p>
    <w:p w14:paraId="365539C3">
      <w:pPr>
        <w:spacing w:line="360" w:lineRule="auto"/>
        <w:ind w:firstLine="354" w:firstLineChars="147"/>
        <w:rPr>
          <w:rFonts w:hint="eastAsia" w:ascii="黑体" w:hAnsi="黑体" w:eastAsia="黑体"/>
          <w:b/>
          <w:sz w:val="24"/>
          <w:highlight w:val="none"/>
        </w:rPr>
      </w:pPr>
    </w:p>
    <w:p w14:paraId="4AF41A22">
      <w:pPr>
        <w:spacing w:line="360" w:lineRule="auto"/>
        <w:ind w:firstLine="354" w:firstLineChars="147"/>
        <w:rPr>
          <w:rFonts w:hint="eastAsia" w:ascii="黑体" w:hAnsi="黑体" w:eastAsia="黑体"/>
          <w:b/>
          <w:sz w:val="24"/>
          <w:highlight w:val="none"/>
        </w:rPr>
      </w:pPr>
    </w:p>
    <w:p w14:paraId="4C4B2D7C">
      <w:pPr>
        <w:widowControl/>
        <w:spacing w:line="360" w:lineRule="auto"/>
        <w:ind w:firstLine="2400" w:firstLineChars="1000"/>
        <w:jc w:val="right"/>
        <w:rPr>
          <w:rFonts w:hint="eastAsia" w:ascii="宋体" w:hAnsi="宋体" w:cs="宋体"/>
          <w:sz w:val="24"/>
          <w:highlight w:val="none"/>
          <w:lang w:bidi="ar"/>
        </w:rPr>
      </w:pPr>
      <w:r>
        <w:rPr>
          <w:rFonts w:hint="eastAsia" w:ascii="宋体" w:hAnsi="宋体" w:cs="宋体"/>
          <w:sz w:val="24"/>
          <w:highlight w:val="none"/>
          <w:lang w:bidi="ar"/>
        </w:rPr>
        <w:t>采购人：广西壮族自治区港航发展中心</w:t>
      </w:r>
    </w:p>
    <w:p w14:paraId="1CB3E40A">
      <w:pPr>
        <w:spacing w:line="360" w:lineRule="auto"/>
        <w:ind w:firstLine="480" w:firstLineChars="200"/>
        <w:jc w:val="right"/>
        <w:rPr>
          <w:rFonts w:hint="eastAsia" w:ascii="宋体" w:hAnsi="宋体"/>
          <w:b/>
          <w:bCs/>
          <w:sz w:val="32"/>
          <w:szCs w:val="32"/>
          <w:highlight w:val="none"/>
        </w:rPr>
      </w:pPr>
      <w:r>
        <w:rPr>
          <w:rFonts w:hint="eastAsia" w:ascii="宋体" w:hAnsi="宋体" w:cs="宋体"/>
          <w:sz w:val="24"/>
          <w:highlight w:val="none"/>
          <w:lang w:bidi="ar"/>
        </w:rPr>
        <w:t xml:space="preserve">                            2025年</w:t>
      </w:r>
      <w:r>
        <w:rPr>
          <w:rFonts w:hint="eastAsia" w:ascii="宋体" w:hAnsi="宋体" w:cs="宋体"/>
          <w:sz w:val="24"/>
          <w:highlight w:val="none"/>
          <w:lang w:val="en-US" w:eastAsia="zh-CN" w:bidi="ar"/>
        </w:rPr>
        <w:t>11</w:t>
      </w:r>
      <w:r>
        <w:rPr>
          <w:rFonts w:hint="eastAsia" w:ascii="宋体" w:hAnsi="宋体" w:cs="宋体"/>
          <w:sz w:val="24"/>
          <w:highlight w:val="none"/>
          <w:lang w:bidi="ar"/>
        </w:rPr>
        <w:t>月</w:t>
      </w:r>
      <w:r>
        <w:rPr>
          <w:rFonts w:hint="eastAsia" w:ascii="宋体" w:hAnsi="宋体" w:cs="宋体"/>
          <w:sz w:val="24"/>
          <w:highlight w:val="none"/>
          <w:lang w:val="en-US" w:eastAsia="zh-CN" w:bidi="ar"/>
        </w:rPr>
        <w:t>19</w:t>
      </w:r>
      <w:r>
        <w:rPr>
          <w:rFonts w:hint="eastAsia" w:ascii="宋体" w:hAnsi="宋体" w:cs="宋体"/>
          <w:sz w:val="24"/>
          <w:highlight w:val="none"/>
          <w:lang w:bidi="ar"/>
        </w:rPr>
        <w:t>日</w:t>
      </w:r>
    </w:p>
    <w:p w14:paraId="3C402694">
      <w:pPr>
        <w:pStyle w:val="2"/>
        <w:spacing w:before="0" w:after="0" w:line="460" w:lineRule="exact"/>
        <w:jc w:val="center"/>
        <w:rPr>
          <w:sz w:val="28"/>
          <w:szCs w:val="28"/>
          <w:highlight w:val="none"/>
        </w:rPr>
      </w:pPr>
      <w:r>
        <w:rPr>
          <w:rFonts w:hint="eastAsia"/>
          <w:highlight w:val="none"/>
        </w:rPr>
        <w:br w:type="page"/>
      </w:r>
      <w:bookmarkStart w:id="14" w:name="_Toc16740"/>
      <w:bookmarkStart w:id="15" w:name="_Toc15557"/>
      <w:bookmarkStart w:id="16" w:name="_Toc31261"/>
      <w:bookmarkStart w:id="17" w:name="_Toc173"/>
      <w:bookmarkStart w:id="18" w:name="_Toc12041"/>
      <w:r>
        <w:rPr>
          <w:rFonts w:hint="eastAsia"/>
          <w:sz w:val="28"/>
          <w:szCs w:val="28"/>
          <w:highlight w:val="none"/>
        </w:rPr>
        <w:t>第二章 供应商须知</w:t>
      </w:r>
      <w:bookmarkEnd w:id="14"/>
      <w:bookmarkEnd w:id="15"/>
      <w:bookmarkEnd w:id="16"/>
      <w:bookmarkEnd w:id="17"/>
      <w:bookmarkEnd w:id="18"/>
    </w:p>
    <w:p w14:paraId="0414D888">
      <w:pPr>
        <w:spacing w:line="400" w:lineRule="exact"/>
        <w:jc w:val="center"/>
        <w:rPr>
          <w:rFonts w:hint="eastAsia" w:ascii="宋体" w:hAnsi="宋体"/>
          <w:b/>
          <w:sz w:val="32"/>
          <w:szCs w:val="32"/>
          <w:highlight w:val="none"/>
        </w:rPr>
      </w:pPr>
    </w:p>
    <w:p w14:paraId="2EC387F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一、本次采购采用总价包干，</w:t>
      </w:r>
      <w:r>
        <w:rPr>
          <w:rFonts w:hint="eastAsia" w:ascii="宋体" w:hAnsi="宋体" w:cs="宋体"/>
          <w:sz w:val="24"/>
          <w:highlight w:val="none"/>
          <w:lang w:eastAsia="zh-CN" w:bidi="ar"/>
        </w:rPr>
        <w:t>投标报价已包含从前期踏勘、资料收集到最后验收（含审查验收）等全过程的所有费用</w:t>
      </w:r>
      <w:r>
        <w:rPr>
          <w:rFonts w:hint="eastAsia" w:ascii="宋体" w:hAnsi="宋体" w:cs="宋体"/>
          <w:sz w:val="24"/>
          <w:highlight w:val="none"/>
          <w:lang w:bidi="ar"/>
        </w:rPr>
        <w:t>，包含为完成</w:t>
      </w:r>
      <w:r>
        <w:rPr>
          <w:rFonts w:hint="eastAsia" w:ascii="宋体" w:hAnsi="宋体" w:cs="宋体"/>
          <w:sz w:val="24"/>
          <w:highlight w:val="none"/>
          <w:u w:val="single"/>
          <w:lang w:eastAsia="zh-CN" w:bidi="ar"/>
        </w:rPr>
        <w:t>桂江（莲花大桥至桂江河口）航道扩建工程社会稳定风险分析及评估服务</w:t>
      </w:r>
      <w:r>
        <w:rPr>
          <w:rFonts w:hint="eastAsia" w:ascii="宋体" w:hAnsi="宋体" w:cs="宋体"/>
          <w:sz w:val="24"/>
          <w:highlight w:val="none"/>
          <w:lang w:bidi="ar"/>
        </w:rPr>
        <w:t>的全部工作以及可能发生的各种费用。本项目合同总价在合同执行过程中是固定的，不因情况变化而调整。</w:t>
      </w:r>
    </w:p>
    <w:p w14:paraId="1E42D45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二、</w:t>
      </w:r>
      <w:r>
        <w:rPr>
          <w:rFonts w:hint="eastAsia" w:ascii="宋体" w:hAnsi="宋体" w:cs="宋体"/>
          <w:sz w:val="24"/>
          <w:highlight w:val="none"/>
          <w:lang w:eastAsia="zh-CN" w:bidi="ar"/>
        </w:rPr>
        <w:t>投标</w:t>
      </w:r>
      <w:r>
        <w:rPr>
          <w:rFonts w:hint="eastAsia" w:ascii="宋体" w:hAnsi="宋体" w:cs="宋体"/>
          <w:sz w:val="24"/>
          <w:highlight w:val="none"/>
          <w:lang w:bidi="ar"/>
        </w:rPr>
        <w:t>报价为一次报价，此次报价即最终报价，不再就价格问题另行协商。</w:t>
      </w:r>
    </w:p>
    <w:p w14:paraId="04D7B78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三、</w:t>
      </w:r>
      <w:r>
        <w:rPr>
          <w:rFonts w:hint="eastAsia" w:ascii="宋体" w:hAnsi="宋体" w:cs="宋体"/>
          <w:sz w:val="24"/>
          <w:highlight w:val="none"/>
          <w:lang w:eastAsia="zh-CN" w:bidi="ar"/>
        </w:rPr>
        <w:t>投标</w:t>
      </w:r>
      <w:r>
        <w:rPr>
          <w:rFonts w:hint="eastAsia" w:ascii="宋体" w:hAnsi="宋体" w:cs="宋体"/>
          <w:sz w:val="24"/>
          <w:highlight w:val="none"/>
          <w:lang w:bidi="ar"/>
        </w:rPr>
        <w:t>报价不能超过采购公告规定的最高限价，超过最高限价作</w:t>
      </w:r>
      <w:r>
        <w:rPr>
          <w:rFonts w:hint="eastAsia" w:ascii="宋体" w:hAnsi="宋体" w:cs="宋体"/>
          <w:sz w:val="24"/>
          <w:highlight w:val="none"/>
          <w:lang w:eastAsia="zh-CN" w:bidi="ar"/>
        </w:rPr>
        <w:t>投标</w:t>
      </w:r>
      <w:r>
        <w:rPr>
          <w:rFonts w:hint="eastAsia" w:ascii="宋体" w:hAnsi="宋体" w:cs="宋体"/>
          <w:sz w:val="24"/>
          <w:highlight w:val="none"/>
          <w:lang w:bidi="ar"/>
        </w:rPr>
        <w:t>无效处理。</w:t>
      </w:r>
    </w:p>
    <w:p w14:paraId="62A8DEA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四、报价应为含税价格，并且能够提供增值税发票。</w:t>
      </w:r>
    </w:p>
    <w:p w14:paraId="0371BA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五、供应商如需现场考察，可自行前往，费用自理。</w:t>
      </w:r>
    </w:p>
    <w:p w14:paraId="3D1A1A68">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六、供应商应针对本项目的特殊性和项目所在地的地理、人文、环境进行综合的评估，谨慎报价，合理安排各项工作。</w:t>
      </w:r>
    </w:p>
    <w:p w14:paraId="2D73E02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七、响应文件应于采购公告规定的响应文件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截止时间前</w:t>
      </w:r>
      <w:r>
        <w:rPr>
          <w:rFonts w:hint="eastAsia" w:ascii="宋体" w:hAnsi="宋体" w:cs="宋体"/>
          <w:sz w:val="24"/>
          <w:highlight w:val="none"/>
          <w:lang w:eastAsia="zh-CN" w:bidi="ar"/>
        </w:rPr>
        <w:t>递交</w:t>
      </w:r>
      <w:r>
        <w:rPr>
          <w:rFonts w:hint="eastAsia" w:ascii="宋体" w:hAnsi="宋体" w:cs="宋体"/>
          <w:sz w:val="24"/>
          <w:highlight w:val="none"/>
          <w:lang w:bidi="ar"/>
        </w:rPr>
        <w:t>，密封邮寄或亲自</w:t>
      </w:r>
      <w:r>
        <w:rPr>
          <w:rFonts w:hint="eastAsia" w:ascii="宋体" w:hAnsi="宋体" w:cs="宋体"/>
          <w:sz w:val="24"/>
          <w:highlight w:val="none"/>
          <w:lang w:eastAsia="zh-CN" w:bidi="ar"/>
        </w:rPr>
        <w:t>递交</w:t>
      </w:r>
      <w:r>
        <w:rPr>
          <w:rFonts w:hint="eastAsia" w:ascii="宋体" w:hAnsi="宋体" w:cs="宋体"/>
          <w:sz w:val="24"/>
          <w:highlight w:val="none"/>
          <w:lang w:bidi="ar"/>
        </w:rPr>
        <w:t>到</w:t>
      </w:r>
      <w:r>
        <w:rPr>
          <w:rFonts w:hint="eastAsia" w:ascii="宋体" w:hAnsi="宋体" w:cs="宋体"/>
          <w:sz w:val="24"/>
          <w:highlight w:val="none"/>
          <w:lang w:eastAsia="zh-CN" w:bidi="ar"/>
        </w:rPr>
        <w:t>采购公告指定的响应文件递交地点</w:t>
      </w:r>
      <w:r>
        <w:rPr>
          <w:rFonts w:hint="eastAsia" w:ascii="宋体" w:hAnsi="宋体" w:cs="宋体"/>
          <w:sz w:val="24"/>
          <w:highlight w:val="none"/>
          <w:lang w:bidi="ar"/>
        </w:rPr>
        <w:t>，逾期送达的，采购人将予以拒</w:t>
      </w:r>
      <w:r>
        <w:rPr>
          <w:rFonts w:hint="eastAsia" w:ascii="宋体" w:hAnsi="宋体" w:cs="宋体"/>
          <w:sz w:val="24"/>
          <w:highlight w:val="none"/>
          <w:lang w:eastAsia="zh-CN" w:bidi="ar"/>
        </w:rPr>
        <w:t>收</w:t>
      </w:r>
      <w:r>
        <w:rPr>
          <w:rFonts w:hint="eastAsia" w:ascii="宋体" w:hAnsi="宋体" w:cs="宋体"/>
          <w:sz w:val="24"/>
          <w:highlight w:val="none"/>
          <w:lang w:bidi="ar"/>
        </w:rPr>
        <w:t>。</w:t>
      </w:r>
    </w:p>
    <w:p w14:paraId="5169E505">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八、响应文件应按第五章响应文件格式要求编制。响应文件正本壹份、副本壹份。</w:t>
      </w:r>
    </w:p>
    <w:p w14:paraId="6683CFE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九、本项目不允许分包。</w:t>
      </w:r>
    </w:p>
    <w:p w14:paraId="69CB97A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十、</w:t>
      </w:r>
      <w:r>
        <w:rPr>
          <w:rFonts w:hint="eastAsia" w:ascii="宋体" w:hAnsi="宋体" w:cs="宋体"/>
          <w:sz w:val="24"/>
          <w:highlight w:val="none"/>
          <w:lang w:eastAsia="zh-CN" w:bidi="ar"/>
        </w:rPr>
        <w:t>投标</w:t>
      </w:r>
      <w:r>
        <w:rPr>
          <w:rFonts w:hint="eastAsia" w:ascii="宋体" w:hAnsi="宋体" w:cs="宋体"/>
          <w:sz w:val="24"/>
          <w:highlight w:val="none"/>
          <w:lang w:bidi="ar"/>
        </w:rPr>
        <w:t>有效期为60日历天。</w:t>
      </w:r>
    </w:p>
    <w:p w14:paraId="4285A720">
      <w:pPr>
        <w:spacing w:line="360" w:lineRule="auto"/>
        <w:ind w:firstLine="480" w:firstLineChars="200"/>
        <w:rPr>
          <w:rFonts w:hint="eastAsia" w:ascii="宋体" w:hAnsi="宋体" w:cs="宋体"/>
          <w:sz w:val="24"/>
          <w:highlight w:val="none"/>
          <w:lang w:bidi="ar"/>
        </w:rPr>
      </w:pPr>
    </w:p>
    <w:p w14:paraId="1C695F14">
      <w:pPr>
        <w:pStyle w:val="10"/>
        <w:rPr>
          <w:rFonts w:ascii="宋体"/>
          <w:bCs/>
          <w:kern w:val="0"/>
          <w:szCs w:val="21"/>
          <w:highlight w:val="none"/>
        </w:rPr>
      </w:pPr>
    </w:p>
    <w:p w14:paraId="11713DB0">
      <w:pPr>
        <w:pStyle w:val="10"/>
        <w:rPr>
          <w:rFonts w:ascii="宋体"/>
          <w:bCs/>
          <w:kern w:val="0"/>
          <w:szCs w:val="21"/>
          <w:highlight w:val="none"/>
        </w:rPr>
      </w:pPr>
    </w:p>
    <w:p w14:paraId="40583DFD">
      <w:pPr>
        <w:pStyle w:val="14"/>
        <w:spacing w:line="360" w:lineRule="auto"/>
        <w:ind w:firstLine="643" w:firstLineChars="200"/>
        <w:textAlignment w:val="center"/>
        <w:rPr>
          <w:rFonts w:hint="eastAsia" w:hAnsi="宋体" w:cs="宋体"/>
          <w:kern w:val="2"/>
          <w:sz w:val="21"/>
          <w:highlight w:val="none"/>
        </w:rPr>
      </w:pPr>
      <w:r>
        <w:rPr>
          <w:rFonts w:hAnsi="宋体"/>
          <w:b/>
          <w:sz w:val="32"/>
          <w:szCs w:val="32"/>
          <w:highlight w:val="none"/>
        </w:rPr>
        <w:br w:type="page"/>
      </w:r>
    </w:p>
    <w:p w14:paraId="144EDD78">
      <w:pPr>
        <w:pStyle w:val="2"/>
        <w:spacing w:before="0" w:after="0" w:line="360" w:lineRule="auto"/>
        <w:jc w:val="center"/>
        <w:rPr>
          <w:sz w:val="28"/>
          <w:szCs w:val="28"/>
          <w:highlight w:val="none"/>
        </w:rPr>
      </w:pPr>
      <w:bookmarkStart w:id="19" w:name="_Toc31960"/>
      <w:bookmarkStart w:id="20" w:name="_Toc14791"/>
      <w:bookmarkStart w:id="21" w:name="_Toc14696"/>
      <w:bookmarkStart w:id="22" w:name="_Toc2534"/>
      <w:bookmarkStart w:id="23" w:name="_Toc29660"/>
      <w:r>
        <w:rPr>
          <w:rFonts w:hint="eastAsia"/>
          <w:sz w:val="28"/>
          <w:szCs w:val="28"/>
          <w:highlight w:val="none"/>
        </w:rPr>
        <w:t>第三章 采购需求</w:t>
      </w:r>
      <w:bookmarkEnd w:id="19"/>
      <w:bookmarkEnd w:id="20"/>
      <w:bookmarkEnd w:id="21"/>
      <w:bookmarkEnd w:id="22"/>
      <w:bookmarkEnd w:id="23"/>
    </w:p>
    <w:p w14:paraId="3092EDC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一、项目概况</w:t>
      </w:r>
    </w:p>
    <w:p w14:paraId="0FB9CDEF">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eastAsia="zh-CN"/>
        </w:rPr>
        <w:t>桂江（莲花大桥至桂江河口）航道扩建工程</w:t>
      </w:r>
      <w:r>
        <w:rPr>
          <w:rFonts w:hint="eastAsia" w:ascii="宋体" w:hAnsi="宋体" w:cs="宋体"/>
          <w:bCs/>
          <w:sz w:val="24"/>
          <w:highlight w:val="none"/>
        </w:rPr>
        <w:t>，</w:t>
      </w:r>
      <w:bookmarkStart w:id="24" w:name="OLE_LINK6"/>
      <w:r>
        <w:rPr>
          <w:rFonts w:hint="eastAsia" w:ascii="宋体" w:hAnsi="宋体" w:cs="宋体"/>
          <w:bCs/>
          <w:sz w:val="24"/>
          <w:highlight w:val="none"/>
        </w:rPr>
        <w:t>航道里程长约8.3</w:t>
      </w:r>
      <w:bookmarkEnd w:id="24"/>
      <w:r>
        <w:rPr>
          <w:rFonts w:hint="eastAsia" w:ascii="宋体" w:hAnsi="宋体" w:cs="宋体"/>
          <w:bCs/>
          <w:sz w:val="24"/>
          <w:highlight w:val="none"/>
          <w:lang w:eastAsia="zh-CN"/>
        </w:rPr>
        <w:t>公里</w:t>
      </w:r>
      <w:r>
        <w:rPr>
          <w:rFonts w:hint="eastAsia" w:ascii="宋体" w:hAnsi="宋体" w:cs="宋体"/>
          <w:bCs/>
          <w:sz w:val="24"/>
          <w:highlight w:val="none"/>
        </w:rPr>
        <w:t>，按Ⅲ级航道建设，设计航道尺度：3.5米×70 米×480 米（水深×宽度×最小弯曲半径），设计最低通航水位1.21</w:t>
      </w:r>
      <w:r>
        <w:rPr>
          <w:rFonts w:hint="eastAsia" w:ascii="宋体" w:hAnsi="宋体" w:cs="宋体"/>
          <w:bCs/>
          <w:sz w:val="24"/>
          <w:highlight w:val="none"/>
          <w:lang w:eastAsia="zh-CN"/>
        </w:rPr>
        <w:t>米</w:t>
      </w:r>
      <w:r>
        <w:rPr>
          <w:rFonts w:hint="eastAsia" w:ascii="宋体" w:hAnsi="宋体" w:cs="宋体"/>
          <w:bCs/>
          <w:sz w:val="24"/>
          <w:highlight w:val="none"/>
        </w:rPr>
        <w:t>，主要工程内容包括生态疏浚炸礁工程、生态护岸工程、航标工程及配套工程等。</w:t>
      </w:r>
    </w:p>
    <w:p w14:paraId="661DF1F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本次采购社会稳定风险分析及评估服务，</w:t>
      </w:r>
      <w:r>
        <w:rPr>
          <w:rFonts w:hint="eastAsia" w:ascii="宋体" w:hAnsi="宋体" w:cs="宋体"/>
          <w:sz w:val="24"/>
          <w:highlight w:val="none"/>
          <w:lang w:bidi="ar"/>
        </w:rPr>
        <w:t>采购预算金额：</w:t>
      </w:r>
      <w:r>
        <w:rPr>
          <w:rFonts w:hint="eastAsia" w:ascii="宋体" w:hAnsi="宋体" w:cs="宋体"/>
          <w:sz w:val="24"/>
          <w:highlight w:val="none"/>
          <w:lang w:val="en-US" w:eastAsia="zh-CN" w:bidi="ar"/>
        </w:rPr>
        <w:t>1</w:t>
      </w:r>
      <w:r>
        <w:rPr>
          <w:rFonts w:hint="eastAsia" w:ascii="宋体" w:hAnsi="宋体" w:cs="宋体"/>
          <w:sz w:val="24"/>
          <w:highlight w:val="none"/>
          <w:lang w:bidi="ar"/>
        </w:rPr>
        <w:t>0万元。</w:t>
      </w:r>
    </w:p>
    <w:p w14:paraId="25D9382D">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二、采购内容</w:t>
      </w:r>
    </w:p>
    <w:p w14:paraId="5E52FD7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桂江（莲花大桥至桂江河口）航道扩建工程社会稳定风险分析及评估服务</w:t>
      </w:r>
      <w:r>
        <w:rPr>
          <w:rFonts w:hint="eastAsia" w:ascii="宋体" w:hAnsi="宋体" w:cs="宋体"/>
          <w:bCs/>
          <w:sz w:val="24"/>
          <w:highlight w:val="none"/>
        </w:rPr>
        <w:t>。</w:t>
      </w:r>
    </w:p>
    <w:p w14:paraId="2C867EB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三、技术要求</w:t>
      </w:r>
    </w:p>
    <w:p w14:paraId="3EB9054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（一）技术标准</w:t>
      </w:r>
    </w:p>
    <w:p w14:paraId="3F7C323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执行</w:t>
      </w:r>
      <w:bookmarkStart w:id="25" w:name="OLE_LINK11"/>
      <w:r>
        <w:rPr>
          <w:rFonts w:hint="eastAsia" w:ascii="宋体" w:hAnsi="宋体" w:cs="宋体"/>
          <w:sz w:val="24"/>
          <w:highlight w:val="none"/>
          <w:lang w:bidi="ar"/>
        </w:rPr>
        <w:t>国家和行业现行相关的技术标准、规范和规程</w:t>
      </w:r>
      <w:bookmarkEnd w:id="25"/>
      <w:r>
        <w:rPr>
          <w:rFonts w:hint="eastAsia" w:ascii="宋体" w:hAnsi="宋体" w:cs="宋体"/>
          <w:sz w:val="24"/>
          <w:highlight w:val="none"/>
          <w:lang w:bidi="ar"/>
        </w:rPr>
        <w:t>。在项目实施过程中，如国家或有关部门颁布了新的技术标准，则供应商应采用新的标准。</w:t>
      </w:r>
    </w:p>
    <w:p w14:paraId="2C9D45E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（二）质量要求</w:t>
      </w:r>
    </w:p>
    <w:p w14:paraId="28909AFF">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成果</w:t>
      </w:r>
      <w:r>
        <w:rPr>
          <w:rFonts w:hint="eastAsia" w:ascii="宋体" w:hAnsi="宋体" w:cs="宋体"/>
          <w:sz w:val="24"/>
          <w:highlight w:val="none"/>
          <w:lang w:bidi="ar"/>
        </w:rPr>
        <w:t>通过专家评审，</w:t>
      </w:r>
      <w:r>
        <w:rPr>
          <w:rFonts w:hint="eastAsia" w:ascii="宋体" w:hAnsi="宋体" w:cs="宋体"/>
          <w:sz w:val="24"/>
          <w:highlight w:val="none"/>
          <w:lang w:eastAsia="zh-CN" w:bidi="ar"/>
        </w:rPr>
        <w:t>社会稳定风险分析报告</w:t>
      </w:r>
      <w:r>
        <w:rPr>
          <w:rFonts w:hint="eastAsia" w:ascii="宋体" w:hAnsi="宋体" w:cs="宋体"/>
          <w:sz w:val="24"/>
          <w:highlight w:val="none"/>
          <w:lang w:bidi="ar"/>
        </w:rPr>
        <w:t>取得主管部门批复</w:t>
      </w:r>
      <w:r>
        <w:rPr>
          <w:rFonts w:hint="eastAsia" w:ascii="宋体" w:hAnsi="宋体" w:cs="宋体"/>
          <w:sz w:val="24"/>
          <w:highlight w:val="none"/>
          <w:lang w:eastAsia="zh-CN" w:bidi="ar"/>
        </w:rPr>
        <w:t>。</w:t>
      </w:r>
    </w:p>
    <w:p w14:paraId="4E96F2D1">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四、商务要求</w:t>
      </w:r>
    </w:p>
    <w:p w14:paraId="0FEE0F06">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（一）报价要求</w:t>
      </w:r>
    </w:p>
    <w:p w14:paraId="3AC31D84">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w:t>
      </w:r>
      <w:r>
        <w:rPr>
          <w:rFonts w:hint="eastAsia" w:ascii="宋体" w:hAnsi="宋体" w:cs="宋体"/>
          <w:sz w:val="24"/>
          <w:highlight w:val="none"/>
          <w:lang w:eastAsia="zh-CN" w:bidi="ar"/>
        </w:rPr>
        <w:t>投标</w:t>
      </w:r>
      <w:r>
        <w:rPr>
          <w:rFonts w:hint="eastAsia" w:ascii="宋体" w:hAnsi="宋体" w:cs="宋体"/>
          <w:sz w:val="24"/>
          <w:highlight w:val="none"/>
          <w:lang w:bidi="ar"/>
        </w:rPr>
        <w:t>报价为完成采购人指定服务全部内容的报价，必须包含：履行合同的最终价格，包括了供应商完成本项目所需的一切工作内容而发生的所有直接费用、间接费用、其他费用、税金等全部费用和供应商要求获得的利润以及应由供应商承担的义务、责任和风险所发生的一切费用。</w:t>
      </w:r>
    </w:p>
    <w:p w14:paraId="6A501D9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2.本次采购采用总价包干，</w:t>
      </w:r>
      <w:r>
        <w:rPr>
          <w:rFonts w:hint="eastAsia" w:ascii="宋体" w:hAnsi="宋体" w:cs="宋体"/>
          <w:sz w:val="24"/>
          <w:highlight w:val="none"/>
          <w:lang w:eastAsia="zh-CN" w:bidi="ar"/>
        </w:rPr>
        <w:t>投标报价已包含从前期踏勘、资料收集到最后验收（含审查验收）等全过程的所有费用</w:t>
      </w:r>
      <w:r>
        <w:rPr>
          <w:rFonts w:hint="eastAsia" w:ascii="宋体" w:hAnsi="宋体" w:cs="宋体"/>
          <w:sz w:val="24"/>
          <w:highlight w:val="none"/>
          <w:lang w:bidi="ar"/>
        </w:rPr>
        <w:t>，包含为完成</w:t>
      </w:r>
      <w:bookmarkStart w:id="26" w:name="OLE_LINK13"/>
      <w:r>
        <w:rPr>
          <w:rFonts w:hint="eastAsia" w:ascii="宋体" w:hAnsi="宋体" w:cs="宋体"/>
          <w:sz w:val="24"/>
          <w:highlight w:val="none"/>
          <w:u w:val="single"/>
          <w:lang w:eastAsia="zh-CN" w:bidi="ar"/>
        </w:rPr>
        <w:t>桂江（莲花大桥至桂江河口）航道扩建工程社会稳定风险分析及评估服务项目</w:t>
      </w:r>
      <w:r>
        <w:rPr>
          <w:rFonts w:hint="eastAsia" w:ascii="宋体" w:hAnsi="宋体" w:cs="宋体"/>
          <w:sz w:val="24"/>
          <w:highlight w:val="none"/>
          <w:lang w:bidi="ar"/>
        </w:rPr>
        <w:t>的全部工作</w:t>
      </w:r>
      <w:bookmarkEnd w:id="26"/>
      <w:r>
        <w:rPr>
          <w:rFonts w:hint="eastAsia" w:ascii="宋体" w:hAnsi="宋体" w:cs="宋体"/>
          <w:sz w:val="24"/>
          <w:highlight w:val="none"/>
          <w:lang w:bidi="ar"/>
        </w:rPr>
        <w:t>以及可能发生的各种费用。本项目合同总价在合同执行过程中固定不变，不因各种情况变化而调整。</w:t>
      </w:r>
    </w:p>
    <w:p w14:paraId="1E8C962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w:t>
      </w:r>
      <w:r>
        <w:rPr>
          <w:rFonts w:hint="eastAsia" w:ascii="宋体" w:hAnsi="宋体" w:cs="宋体"/>
          <w:b/>
          <w:bCs/>
          <w:sz w:val="24"/>
          <w:highlight w:val="none"/>
          <w:lang w:eastAsia="zh-CN" w:bidi="ar"/>
        </w:rPr>
        <w:t>工期</w:t>
      </w:r>
      <w:r>
        <w:rPr>
          <w:rFonts w:hint="eastAsia" w:ascii="宋体" w:hAnsi="宋体" w:cs="宋体"/>
          <w:b/>
          <w:bCs/>
          <w:sz w:val="24"/>
          <w:highlight w:val="none"/>
          <w:lang w:bidi="ar"/>
        </w:rPr>
        <w:t>要求</w:t>
      </w:r>
    </w:p>
    <w:p w14:paraId="3DAEFCDD">
      <w:pPr>
        <w:widowControl/>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rPr>
        <w:t>总工期：</w:t>
      </w:r>
      <w:r>
        <w:rPr>
          <w:rFonts w:hint="eastAsia" w:ascii="宋体" w:hAnsi="宋体" w:cs="宋体"/>
          <w:b/>
          <w:bCs/>
          <w:snapToGrid w:val="0"/>
          <w:kern w:val="0"/>
          <w:sz w:val="24"/>
          <w:highlight w:val="none"/>
          <w:lang w:eastAsia="zh-CN"/>
        </w:rPr>
        <w:t>签订合同后60日</w:t>
      </w:r>
      <w:r>
        <w:rPr>
          <w:rFonts w:hint="eastAsia" w:ascii="宋体" w:hAnsi="宋体" w:cs="宋体"/>
          <w:sz w:val="24"/>
          <w:highlight w:val="none"/>
          <w:lang w:bidi="ar"/>
        </w:rPr>
        <w:t>历天内提交</w:t>
      </w:r>
      <w:r>
        <w:rPr>
          <w:rFonts w:hint="eastAsia" w:ascii="宋体" w:hAnsi="宋体" w:cs="宋体"/>
          <w:sz w:val="24"/>
          <w:highlight w:val="none"/>
          <w:lang w:eastAsia="zh-CN" w:bidi="ar"/>
        </w:rPr>
        <w:t>社会稳定风险分析报告</w:t>
      </w:r>
      <w:r>
        <w:rPr>
          <w:rFonts w:hint="eastAsia" w:ascii="宋体" w:hAnsi="宋体" w:cs="宋体"/>
          <w:sz w:val="24"/>
          <w:highlight w:val="none"/>
          <w:lang w:bidi="ar"/>
        </w:rPr>
        <w:t>送审稿，并在</w:t>
      </w:r>
      <w:r>
        <w:rPr>
          <w:rFonts w:hint="eastAsia" w:ascii="宋体" w:hAnsi="宋体" w:cs="宋体"/>
          <w:sz w:val="24"/>
          <w:highlight w:val="none"/>
          <w:lang w:eastAsia="zh-CN" w:bidi="ar"/>
        </w:rPr>
        <w:t>社会稳定风险分析报告</w:t>
      </w:r>
      <w:r>
        <w:rPr>
          <w:rFonts w:hint="eastAsia" w:ascii="宋体" w:hAnsi="宋体" w:cs="宋体"/>
          <w:sz w:val="24"/>
          <w:highlight w:val="none"/>
          <w:lang w:bidi="ar"/>
        </w:rPr>
        <w:t>评审会后1</w:t>
      </w:r>
      <w:r>
        <w:rPr>
          <w:rFonts w:hint="eastAsia" w:ascii="宋体" w:hAnsi="宋体" w:cs="宋体"/>
          <w:sz w:val="24"/>
          <w:highlight w:val="none"/>
          <w:lang w:val="en-US" w:eastAsia="zh-CN" w:bidi="ar"/>
        </w:rPr>
        <w:t>5</w:t>
      </w:r>
      <w:r>
        <w:rPr>
          <w:rFonts w:hint="eastAsia" w:ascii="宋体" w:hAnsi="宋体" w:cs="宋体"/>
          <w:sz w:val="24"/>
          <w:highlight w:val="none"/>
          <w:lang w:bidi="ar"/>
        </w:rPr>
        <w:t>日历天内完成报批稿。并配合采购人最终取得批复。</w:t>
      </w:r>
    </w:p>
    <w:p w14:paraId="126A3882">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主管部门审查、审批时间另行计算。</w:t>
      </w:r>
    </w:p>
    <w:p w14:paraId="20B2F5E3">
      <w:pPr>
        <w:widowControl/>
        <w:spacing w:line="360" w:lineRule="auto"/>
        <w:ind w:firstLine="482" w:firstLineChars="200"/>
        <w:rPr>
          <w:rFonts w:hint="eastAsia" w:ascii="宋体" w:hAnsi="宋体" w:eastAsia="宋体" w:cs="宋体"/>
          <w:b/>
          <w:bCs/>
          <w:sz w:val="24"/>
          <w:highlight w:val="none"/>
          <w:lang w:eastAsia="zh-CN" w:bidi="ar"/>
        </w:rPr>
      </w:pPr>
      <w:r>
        <w:rPr>
          <w:rFonts w:hint="eastAsia" w:ascii="宋体" w:hAnsi="宋体" w:cs="宋体"/>
          <w:b/>
          <w:bCs/>
          <w:sz w:val="24"/>
          <w:highlight w:val="none"/>
          <w:lang w:bidi="ar"/>
        </w:rPr>
        <w:t>（</w:t>
      </w:r>
      <w:r>
        <w:rPr>
          <w:rFonts w:hint="eastAsia" w:ascii="宋体" w:hAnsi="宋体" w:cs="宋体"/>
          <w:b/>
          <w:bCs/>
          <w:sz w:val="24"/>
          <w:highlight w:val="none"/>
          <w:lang w:eastAsia="zh-CN" w:bidi="ar"/>
        </w:rPr>
        <w:t>三</w:t>
      </w:r>
      <w:r>
        <w:rPr>
          <w:rFonts w:hint="eastAsia" w:ascii="宋体" w:hAnsi="宋体" w:cs="宋体"/>
          <w:b/>
          <w:bCs/>
          <w:sz w:val="24"/>
          <w:highlight w:val="none"/>
          <w:lang w:bidi="ar"/>
        </w:rPr>
        <w:t>）</w:t>
      </w:r>
      <w:r>
        <w:rPr>
          <w:rFonts w:hint="eastAsia" w:ascii="宋体" w:hAnsi="宋体" w:cs="宋体"/>
          <w:b/>
          <w:bCs/>
          <w:sz w:val="24"/>
          <w:highlight w:val="none"/>
          <w:lang w:eastAsia="zh-CN" w:bidi="ar"/>
        </w:rPr>
        <w:t>成果交付要求</w:t>
      </w:r>
    </w:p>
    <w:p w14:paraId="34F8C036">
      <w:pPr>
        <w:widowControl/>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提供成果份数：</w:t>
      </w:r>
    </w:p>
    <w:p w14:paraId="529881C8">
      <w:pPr>
        <w:widowControl/>
        <w:spacing w:line="360" w:lineRule="auto"/>
        <w:ind w:firstLine="482" w:firstLineChars="200"/>
        <w:rPr>
          <w:rFonts w:hint="eastAsia" w:ascii="宋体" w:hAnsi="宋体" w:cs="宋体"/>
          <w:b/>
          <w:bCs/>
          <w:sz w:val="24"/>
          <w:szCs w:val="24"/>
          <w:highlight w:val="none"/>
          <w:lang w:val="en-US" w:eastAsia="zh-CN" w:bidi="ar"/>
        </w:rPr>
      </w:pPr>
      <w:r>
        <w:rPr>
          <w:rFonts w:hint="eastAsia" w:ascii="宋体" w:hAnsi="宋体" w:cs="宋体"/>
          <w:b/>
          <w:bCs/>
          <w:sz w:val="24"/>
          <w:szCs w:val="24"/>
          <w:highlight w:val="none"/>
          <w:lang w:val="en-US" w:eastAsia="zh-CN" w:bidi="ar"/>
        </w:rPr>
        <w:t>1.提交一式20份成果报告初稿用于组织初审。</w:t>
      </w:r>
    </w:p>
    <w:p w14:paraId="3CFBDAB8">
      <w:pPr>
        <w:widowControl/>
        <w:spacing w:line="360" w:lineRule="auto"/>
        <w:ind w:firstLine="482" w:firstLineChars="200"/>
        <w:rPr>
          <w:rFonts w:hint="eastAsia" w:ascii="宋体" w:hAnsi="宋体" w:cs="宋体"/>
          <w:b/>
          <w:bCs/>
          <w:sz w:val="24"/>
          <w:szCs w:val="24"/>
          <w:highlight w:val="none"/>
          <w:lang w:val="en-US" w:eastAsia="zh-CN" w:bidi="ar"/>
        </w:rPr>
      </w:pPr>
      <w:r>
        <w:rPr>
          <w:rFonts w:hint="eastAsia" w:ascii="宋体" w:hAnsi="宋体" w:cs="宋体"/>
          <w:b/>
          <w:bCs/>
          <w:sz w:val="24"/>
          <w:szCs w:val="24"/>
          <w:highlight w:val="none"/>
          <w:lang w:val="en-US" w:eastAsia="zh-CN" w:bidi="ar"/>
        </w:rPr>
        <w:t>2.提交一式20份符合要求的成果报告送审稿，供行业主管部门审查。</w:t>
      </w:r>
    </w:p>
    <w:p w14:paraId="2E68CA32">
      <w:pPr>
        <w:widowControl/>
        <w:spacing w:line="360" w:lineRule="auto"/>
        <w:ind w:firstLine="482" w:firstLineChars="200"/>
        <w:rPr>
          <w:rFonts w:hint="eastAsia" w:ascii="宋体" w:hAnsi="宋体" w:cs="宋体"/>
          <w:b/>
          <w:bCs/>
          <w:sz w:val="24"/>
          <w:szCs w:val="24"/>
          <w:highlight w:val="none"/>
          <w:lang w:val="en-US" w:eastAsia="zh-CN" w:bidi="ar"/>
        </w:rPr>
      </w:pPr>
      <w:r>
        <w:rPr>
          <w:rFonts w:hint="eastAsia" w:ascii="宋体" w:hAnsi="宋体" w:cs="宋体"/>
          <w:b/>
          <w:bCs/>
          <w:sz w:val="24"/>
          <w:szCs w:val="24"/>
          <w:highlight w:val="none"/>
          <w:lang w:val="en-US" w:eastAsia="zh-CN" w:bidi="ar"/>
        </w:rPr>
        <w:t>3.提交一式10份修改完善后的成果报告报批稿，上报主管部门审批。</w:t>
      </w:r>
    </w:p>
    <w:p w14:paraId="60141354">
      <w:pPr>
        <w:widowControl/>
        <w:spacing w:line="360" w:lineRule="auto"/>
        <w:ind w:firstLine="482" w:firstLineChars="200"/>
        <w:rPr>
          <w:rFonts w:hint="eastAsia" w:ascii="宋体" w:hAnsi="宋体" w:cs="宋体"/>
          <w:sz w:val="24"/>
          <w:highlight w:val="none"/>
          <w:lang w:bidi="ar"/>
        </w:rPr>
      </w:pPr>
      <w:r>
        <w:rPr>
          <w:rFonts w:hint="eastAsia" w:ascii="宋体" w:hAnsi="宋体" w:cs="宋体"/>
          <w:b/>
          <w:bCs/>
          <w:sz w:val="24"/>
          <w:szCs w:val="24"/>
          <w:highlight w:val="none"/>
          <w:lang w:val="en-US" w:eastAsia="zh-CN" w:bidi="ar"/>
        </w:rPr>
        <w:t>4.最终成果报告纸质文件各5份；所有最终成果电子文件一式1份，包括可编辑文档和按要求签章的PDF成果文件，使用U盘贮存。</w:t>
      </w:r>
    </w:p>
    <w:p w14:paraId="03ACA769">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w:t>
      </w:r>
      <w:r>
        <w:rPr>
          <w:rFonts w:hint="eastAsia" w:ascii="宋体" w:hAnsi="宋体" w:cs="宋体"/>
          <w:b/>
          <w:bCs/>
          <w:sz w:val="24"/>
          <w:highlight w:val="none"/>
          <w:lang w:val="en-US" w:eastAsia="zh-CN" w:bidi="ar"/>
        </w:rPr>
        <w:t>四</w:t>
      </w:r>
      <w:r>
        <w:rPr>
          <w:rFonts w:hint="eastAsia" w:ascii="宋体" w:hAnsi="宋体" w:cs="宋体"/>
          <w:b/>
          <w:bCs/>
          <w:sz w:val="24"/>
          <w:highlight w:val="none"/>
          <w:lang w:bidi="ar"/>
        </w:rPr>
        <w:t>）付款方式</w:t>
      </w:r>
    </w:p>
    <w:p w14:paraId="569AAA46">
      <w:pPr>
        <w:widowControl/>
        <w:snapToGrid/>
        <w:spacing w:line="360" w:lineRule="auto"/>
        <w:ind w:firstLine="480" w:firstLineChars="200"/>
        <w:rPr>
          <w:rFonts w:hint="eastAsia" w:ascii="宋体" w:hAnsi="宋体" w:cs="宋体"/>
          <w:sz w:val="24"/>
          <w:szCs w:val="24"/>
          <w:highlight w:val="none"/>
          <w:lang w:bidi="ar"/>
        </w:rPr>
      </w:pPr>
      <w:r>
        <w:rPr>
          <w:rFonts w:hint="eastAsia" w:ascii="宋体" w:hAnsi="宋体" w:cs="宋体"/>
          <w:sz w:val="24"/>
          <w:highlight w:val="none"/>
          <w:lang w:val="en-US" w:eastAsia="zh-CN" w:bidi="ar"/>
        </w:rPr>
        <w:t>1.</w:t>
      </w:r>
      <w:r>
        <w:rPr>
          <w:rFonts w:hint="eastAsia" w:ascii="宋体" w:hAnsi="宋体" w:cs="宋体"/>
          <w:sz w:val="24"/>
          <w:szCs w:val="24"/>
          <w:highlight w:val="none"/>
          <w:lang w:bidi="ar"/>
        </w:rPr>
        <w:t>预付款</w:t>
      </w:r>
    </w:p>
    <w:p w14:paraId="250D5831">
      <w:pPr>
        <w:widowControl/>
        <w:snapToGrid/>
        <w:spacing w:line="360" w:lineRule="auto"/>
        <w:ind w:firstLine="480" w:firstLineChars="200"/>
        <w:rPr>
          <w:rFonts w:hint="eastAsia" w:ascii="宋体" w:hAnsi="宋体" w:cs="宋体"/>
          <w:sz w:val="24"/>
          <w:szCs w:val="24"/>
          <w:highlight w:val="none"/>
          <w:lang w:bidi="ar"/>
        </w:rPr>
      </w:pPr>
      <w:r>
        <w:rPr>
          <w:rFonts w:hint="eastAsia" w:ascii="宋体" w:hAnsi="宋体" w:cs="宋体"/>
          <w:sz w:val="24"/>
          <w:szCs w:val="24"/>
          <w:highlight w:val="none"/>
          <w:lang w:bidi="ar"/>
        </w:rPr>
        <w:t>合同签署后，由承包人提交预付款支付申请，发包人收到预付款支付申请后的14天内，向承包人支付社会稳定风险分析报告编制费用合同价的</w:t>
      </w:r>
      <w:r>
        <w:rPr>
          <w:rFonts w:hint="eastAsia" w:ascii="宋体" w:hAnsi="宋体" w:cs="宋体"/>
          <w:sz w:val="24"/>
          <w:szCs w:val="24"/>
          <w:highlight w:val="none"/>
          <w:lang w:val="en-US" w:eastAsia="zh-CN" w:bidi="ar"/>
        </w:rPr>
        <w:t>5</w:t>
      </w:r>
      <w:r>
        <w:rPr>
          <w:rFonts w:hint="eastAsia" w:ascii="宋体" w:hAnsi="宋体" w:cs="宋体"/>
          <w:sz w:val="24"/>
          <w:szCs w:val="24"/>
          <w:highlight w:val="none"/>
          <w:lang w:bidi="ar"/>
        </w:rPr>
        <w:t>0%作为预付款；承包人应当提供等额的增值税发票；本合同履行后，预付款抵作咨询费，不再扣回。</w:t>
      </w:r>
    </w:p>
    <w:p w14:paraId="0AB48E44">
      <w:pPr>
        <w:widowControl/>
        <w:snapToGrid/>
        <w:spacing w:line="360" w:lineRule="auto"/>
        <w:ind w:firstLine="480" w:firstLineChars="200"/>
        <w:rPr>
          <w:rFonts w:hint="eastAsia" w:ascii="宋体" w:hAnsi="宋体" w:cs="宋体"/>
          <w:sz w:val="24"/>
          <w:szCs w:val="24"/>
          <w:highlight w:val="none"/>
          <w:lang w:bidi="ar"/>
        </w:rPr>
      </w:pPr>
      <w:r>
        <w:rPr>
          <w:rFonts w:hint="eastAsia" w:ascii="宋体" w:hAnsi="宋体" w:cs="宋体"/>
          <w:sz w:val="24"/>
          <w:highlight w:val="none"/>
          <w:lang w:val="en-US" w:eastAsia="zh-CN" w:bidi="ar"/>
        </w:rPr>
        <w:t>2.</w:t>
      </w:r>
      <w:r>
        <w:rPr>
          <w:rFonts w:hint="eastAsia" w:ascii="宋体" w:hAnsi="宋体" w:cs="宋体"/>
          <w:sz w:val="24"/>
          <w:szCs w:val="24"/>
          <w:highlight w:val="none"/>
          <w:lang w:bidi="ar"/>
        </w:rPr>
        <w:t>进度款支付</w:t>
      </w:r>
    </w:p>
    <w:p w14:paraId="43182C60">
      <w:pPr>
        <w:widowControl/>
        <w:snapToGrid/>
        <w:spacing w:line="360" w:lineRule="auto"/>
        <w:ind w:firstLine="480" w:firstLineChars="200"/>
        <w:rPr>
          <w:rFonts w:hint="eastAsia" w:ascii="宋体" w:hAnsi="宋体" w:cs="宋体"/>
          <w:sz w:val="24"/>
          <w:szCs w:val="24"/>
          <w:highlight w:val="none"/>
          <w:lang w:bidi="ar"/>
        </w:rPr>
      </w:pPr>
      <w:r>
        <w:rPr>
          <w:rFonts w:hint="eastAsia" w:ascii="宋体" w:hAnsi="宋体" w:cs="宋体"/>
          <w:sz w:val="24"/>
          <w:szCs w:val="24"/>
          <w:highlight w:val="none"/>
          <w:lang w:bidi="ar"/>
        </w:rPr>
        <w:t>在提交社会稳定风险分析报告送审稿后，由承包人提交进度款支付申请，发包人收到进度款支付申请后的14天内，向承包人支付费用至相应社会稳定风险分析报告编制费合同价的</w:t>
      </w:r>
      <w:r>
        <w:rPr>
          <w:rFonts w:hint="eastAsia" w:ascii="宋体" w:hAnsi="宋体" w:cs="宋体"/>
          <w:sz w:val="24"/>
          <w:szCs w:val="24"/>
          <w:highlight w:val="none"/>
          <w:lang w:val="en-US" w:eastAsia="zh-CN" w:bidi="ar"/>
        </w:rPr>
        <w:t>9</w:t>
      </w:r>
      <w:r>
        <w:rPr>
          <w:rFonts w:hint="eastAsia" w:ascii="宋体" w:hAnsi="宋体" w:cs="宋体"/>
          <w:sz w:val="24"/>
          <w:szCs w:val="24"/>
          <w:highlight w:val="none"/>
          <w:lang w:bidi="ar"/>
        </w:rPr>
        <w:t>0%（含相应的预付款）；承包人应当提供等额的增值税发票。</w:t>
      </w:r>
    </w:p>
    <w:p w14:paraId="7F1C330E">
      <w:pPr>
        <w:widowControl/>
        <w:spacing w:line="360" w:lineRule="auto"/>
        <w:ind w:firstLine="480" w:firstLineChars="200"/>
        <w:rPr>
          <w:rFonts w:hint="default" w:ascii="宋体" w:hAnsi="宋体" w:eastAsia="宋体" w:cs="宋体"/>
          <w:sz w:val="24"/>
          <w:szCs w:val="24"/>
          <w:highlight w:val="none"/>
          <w:lang w:val="en-US" w:eastAsia="zh-CN" w:bidi="ar"/>
        </w:rPr>
      </w:pPr>
      <w:r>
        <w:rPr>
          <w:rFonts w:hint="eastAsia" w:ascii="宋体" w:hAnsi="宋体" w:cs="宋体"/>
          <w:sz w:val="24"/>
          <w:szCs w:val="24"/>
          <w:highlight w:val="none"/>
          <w:lang w:val="en-US" w:eastAsia="zh-CN" w:bidi="ar"/>
        </w:rPr>
        <w:t>3.结算支付</w:t>
      </w:r>
    </w:p>
    <w:p w14:paraId="18637B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szCs w:val="24"/>
          <w:highlight w:val="none"/>
          <w:lang w:bidi="ar"/>
        </w:rPr>
        <w:t>在社会稳定风险分析报告获得批复后，由承包人提交进度款支付申请，发包人收到进度款支付申请后的14天内，支付承包人该项费用的剩余款项；承包人应当提供等额的增值税发票。</w:t>
      </w:r>
    </w:p>
    <w:p w14:paraId="4B82A797">
      <w:pPr>
        <w:widowControl/>
        <w:spacing w:line="360" w:lineRule="auto"/>
        <w:ind w:firstLine="480" w:firstLineChars="200"/>
        <w:rPr>
          <w:rFonts w:hint="default" w:ascii="宋体" w:hAnsi="宋体" w:cs="宋体"/>
          <w:sz w:val="24"/>
          <w:highlight w:val="none"/>
          <w:lang w:val="en-US" w:eastAsia="zh-CN" w:bidi="ar"/>
        </w:rPr>
      </w:pPr>
    </w:p>
    <w:p w14:paraId="6C731FC2">
      <w:pPr>
        <w:rPr>
          <w:sz w:val="28"/>
          <w:szCs w:val="28"/>
          <w:highlight w:val="none"/>
        </w:rPr>
      </w:pPr>
      <w:bookmarkStart w:id="27" w:name="_Toc6863"/>
      <w:bookmarkStart w:id="28" w:name="_Toc23331"/>
      <w:bookmarkStart w:id="29" w:name="_Toc12517"/>
      <w:r>
        <w:rPr>
          <w:rFonts w:hint="eastAsia"/>
          <w:sz w:val="28"/>
          <w:szCs w:val="28"/>
          <w:highlight w:val="none"/>
        </w:rPr>
        <w:br w:type="page"/>
      </w:r>
    </w:p>
    <w:p w14:paraId="179654B5">
      <w:pPr>
        <w:pStyle w:val="2"/>
        <w:spacing w:before="0" w:after="0" w:line="360" w:lineRule="auto"/>
        <w:jc w:val="center"/>
        <w:rPr>
          <w:sz w:val="28"/>
          <w:szCs w:val="28"/>
          <w:highlight w:val="none"/>
        </w:rPr>
      </w:pPr>
      <w:bookmarkStart w:id="30" w:name="_Toc27586"/>
      <w:bookmarkStart w:id="31" w:name="_Toc3595"/>
      <w:bookmarkStart w:id="32" w:name="_Toc24083"/>
      <w:r>
        <w:rPr>
          <w:rFonts w:hint="eastAsia"/>
          <w:sz w:val="28"/>
          <w:szCs w:val="28"/>
          <w:highlight w:val="none"/>
        </w:rPr>
        <w:t>第四章  评审办法</w:t>
      </w:r>
      <w:bookmarkEnd w:id="27"/>
      <w:bookmarkEnd w:id="28"/>
      <w:bookmarkEnd w:id="30"/>
      <w:bookmarkEnd w:id="31"/>
      <w:bookmarkEnd w:id="32"/>
    </w:p>
    <w:p w14:paraId="7D3C67B6">
      <w:pPr>
        <w:spacing w:line="360" w:lineRule="auto"/>
        <w:jc w:val="center"/>
        <w:outlineLvl w:val="1"/>
        <w:rPr>
          <w:rFonts w:hint="eastAsia" w:ascii="宋体" w:hAnsi="宋体"/>
          <w:b/>
          <w:sz w:val="24"/>
          <w:highlight w:val="none"/>
        </w:rPr>
      </w:pPr>
      <w:bookmarkStart w:id="33" w:name="_Toc28533"/>
      <w:bookmarkStart w:id="34" w:name="_Toc11870"/>
      <w:bookmarkStart w:id="35" w:name="_Toc17459"/>
      <w:bookmarkStart w:id="36" w:name="_Toc14190"/>
      <w:bookmarkStart w:id="37" w:name="_Toc26385"/>
      <w:r>
        <w:rPr>
          <w:rFonts w:hint="eastAsia" w:ascii="宋体" w:hAnsi="宋体"/>
          <w:b/>
          <w:sz w:val="24"/>
          <w:highlight w:val="none"/>
        </w:rPr>
        <w:t>第一节  评审程序和评审方法</w:t>
      </w:r>
      <w:bookmarkEnd w:id="33"/>
      <w:bookmarkEnd w:id="34"/>
      <w:bookmarkEnd w:id="35"/>
      <w:bookmarkEnd w:id="36"/>
      <w:bookmarkEnd w:id="37"/>
    </w:p>
    <w:bookmarkEnd w:id="29"/>
    <w:p w14:paraId="1163A7A8">
      <w:pPr>
        <w:spacing w:line="360" w:lineRule="auto"/>
        <w:ind w:firstLine="420" w:firstLineChars="200"/>
        <w:rPr>
          <w:rFonts w:hint="eastAsia" w:ascii="宋体" w:hAnsi="宋体" w:eastAsia="宋体" w:cs="宋体"/>
          <w:szCs w:val="21"/>
          <w:highlight w:val="none"/>
          <w:lang w:eastAsia="zh-CN"/>
        </w:rPr>
      </w:pPr>
      <w:r>
        <w:rPr>
          <w:rFonts w:ascii="宋体" w:hAnsi="宋体" w:cs="宋体"/>
          <w:szCs w:val="21"/>
          <w:highlight w:val="none"/>
        </w:rPr>
        <w:t>根据《中华人民共和国政府采购法》《中华人民共和国民法典》《广西壮族自治区港航发展中心自行采购管理办法》等有关规定，采购人组建合议小组（评审小组）按本采购文件规定，对响应文件进行评审。</w:t>
      </w:r>
      <w:r>
        <w:rPr>
          <w:rFonts w:hint="eastAsia" w:ascii="宋体" w:hAnsi="宋体" w:cs="宋体"/>
          <w:szCs w:val="21"/>
          <w:highlight w:val="none"/>
          <w:lang w:eastAsia="zh-CN"/>
        </w:rPr>
        <w:t>本次采购采用综合评估法。</w:t>
      </w:r>
    </w:p>
    <w:p w14:paraId="3723994B">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一、资格审查</w:t>
      </w:r>
    </w:p>
    <w:p w14:paraId="6BBCB41A">
      <w:pPr>
        <w:snapToGrid w:val="0"/>
        <w:spacing w:line="360" w:lineRule="auto"/>
        <w:ind w:firstLine="420" w:firstLineChars="200"/>
        <w:rPr>
          <w:rFonts w:hint="eastAsia" w:ascii="宋体" w:hAnsi="宋体"/>
          <w:szCs w:val="21"/>
          <w:highlight w:val="none"/>
        </w:rPr>
      </w:pPr>
      <w:r>
        <w:rPr>
          <w:rFonts w:hint="eastAsia" w:ascii="宋体" w:hAnsi="宋体" w:cs="宋体"/>
          <w:szCs w:val="21"/>
          <w:highlight w:val="none"/>
        </w:rPr>
        <w:t>（一）</w:t>
      </w:r>
      <w:r>
        <w:rPr>
          <w:rFonts w:hint="eastAsia" w:ascii="宋体" w:hAnsi="宋体"/>
          <w:szCs w:val="21"/>
          <w:highlight w:val="none"/>
        </w:rPr>
        <w:t>评审小组依法对供应商的响应文件中资格证明文件进行审查。</w:t>
      </w:r>
    </w:p>
    <w:p w14:paraId="41562BD4">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1.查询渠道：</w:t>
      </w:r>
      <w:r>
        <w:rPr>
          <w:rFonts w:ascii="宋体" w:hAnsi="宋体" w:cs="宋体"/>
          <w:szCs w:val="21"/>
          <w:highlight w:val="none"/>
        </w:rPr>
        <w:t>“信用中国”网站、中国政府采购网</w:t>
      </w:r>
      <w:r>
        <w:rPr>
          <w:rFonts w:hint="eastAsia" w:ascii="宋体" w:hAnsi="宋体" w:cs="宋体"/>
          <w:szCs w:val="21"/>
          <w:highlight w:val="none"/>
        </w:rPr>
        <w:t>。</w:t>
      </w:r>
    </w:p>
    <w:p w14:paraId="21DC2A86">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2.信用查询截止时点：</w:t>
      </w:r>
      <w:r>
        <w:rPr>
          <w:rFonts w:ascii="宋体" w:hAnsi="宋体" w:cs="宋体"/>
          <w:szCs w:val="21"/>
          <w:highlight w:val="none"/>
        </w:rPr>
        <w:t>资格审查结束前</w:t>
      </w:r>
    </w:p>
    <w:p w14:paraId="16582D99">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3.查询记录和证据留存方式：将查询网站中的查询记录截图并作为评审资料保存。</w:t>
      </w:r>
    </w:p>
    <w:p w14:paraId="4FDA1508">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4.信用信息使用规则：</w:t>
      </w:r>
    </w:p>
    <w:p w14:paraId="7C65B48F">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1</w:t>
      </w:r>
      <w:r>
        <w:rPr>
          <w:rFonts w:hint="eastAsia" w:ascii="宋体" w:hAnsi="宋体" w:cs="宋体"/>
          <w:szCs w:val="21"/>
          <w:highlight w:val="none"/>
        </w:rPr>
        <w:t>）对在“信用中国”网站、中国政府采购网被列入失信被执行人、重大税收违法案件当事人名单、政府采购严重违法失信行为记录名单及其他不符合《中华人民共和国政府采购法》第二十二条规定条件的供应商，不得参与</w:t>
      </w:r>
      <w:r>
        <w:rPr>
          <w:rFonts w:hint="eastAsia" w:ascii="宋体" w:hAnsi="宋体" w:cs="宋体"/>
          <w:szCs w:val="21"/>
          <w:highlight w:val="none"/>
          <w:lang w:eastAsia="zh-CN"/>
        </w:rPr>
        <w:t>本次</w:t>
      </w:r>
      <w:r>
        <w:rPr>
          <w:rFonts w:hint="eastAsia" w:ascii="宋体" w:hAnsi="宋体" w:cs="宋体"/>
          <w:szCs w:val="21"/>
          <w:highlight w:val="none"/>
        </w:rPr>
        <w:t>采购活动。</w:t>
      </w:r>
    </w:p>
    <w:p w14:paraId="64CCDE4A">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2</w:t>
      </w:r>
      <w:r>
        <w:rPr>
          <w:rFonts w:hint="eastAsia" w:ascii="宋体" w:hAnsi="宋体" w:cs="宋体"/>
          <w:szCs w:val="21"/>
          <w:highlight w:val="none"/>
        </w:rPr>
        <w:t>)资格审查标准为本采购文件中载明对供应商资格要求的条件。资格审查采用合格制，凡符合采购文件规定的供应商资格要求的响应文件均通过资格审查。</w:t>
      </w:r>
    </w:p>
    <w:p w14:paraId="22789EF7">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)供应商资格审查不通过的，其响应文件按无效响应处理。</w:t>
      </w:r>
    </w:p>
    <w:p w14:paraId="08773AA8">
      <w:pPr>
        <w:tabs>
          <w:tab w:val="left" w:pos="3150"/>
        </w:tabs>
        <w:spacing w:line="360" w:lineRule="auto"/>
        <w:ind w:firstLine="420" w:firstLineChars="200"/>
        <w:rPr>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w:t>
      </w:r>
      <w:r>
        <w:rPr>
          <w:rFonts w:hint="eastAsia"/>
          <w:highlight w:val="none"/>
        </w:rPr>
        <w:t>凡是不满足资格审查中的任意一条，均为不通过资格审查。</w:t>
      </w:r>
    </w:p>
    <w:p w14:paraId="6111F919">
      <w:pPr>
        <w:tabs>
          <w:tab w:val="left" w:pos="3150"/>
        </w:tabs>
        <w:spacing w:line="360" w:lineRule="auto"/>
        <w:ind w:firstLine="420" w:firstLineChars="200"/>
        <w:rPr>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w:t>
      </w:r>
      <w:r>
        <w:rPr>
          <w:rFonts w:hint="eastAsia"/>
          <w:highlight w:val="none"/>
        </w:rPr>
        <w:t>如果通过资格审查的投标供应商不足三家：</w:t>
      </w:r>
    </w:p>
    <w:p w14:paraId="098E2B85">
      <w:pPr>
        <w:tabs>
          <w:tab w:val="left" w:pos="3150"/>
        </w:tabs>
        <w:spacing w:line="360" w:lineRule="auto"/>
        <w:ind w:firstLine="420" w:firstLineChars="200"/>
        <w:rPr>
          <w:highlight w:val="none"/>
        </w:rPr>
      </w:pPr>
      <w:r>
        <w:rPr>
          <w:rFonts w:hint="eastAsia" w:ascii="宋体" w:hAnsi="宋体" w:eastAsia="宋体" w:cs="宋体"/>
          <w:highlight w:val="none"/>
        </w:rPr>
        <w:t>①</w:t>
      </w:r>
      <w:r>
        <w:rPr>
          <w:rFonts w:hint="eastAsia"/>
          <w:highlight w:val="none"/>
        </w:rPr>
        <w:t>延长采购公告时间，延期3个工作日。</w:t>
      </w:r>
    </w:p>
    <w:p w14:paraId="2E285553">
      <w:pPr>
        <w:tabs>
          <w:tab w:val="left" w:pos="3150"/>
        </w:tabs>
        <w:spacing w:line="360" w:lineRule="auto"/>
        <w:ind w:firstLine="420" w:firstLineChars="200"/>
        <w:rPr>
          <w:highlight w:val="none"/>
        </w:rPr>
      </w:pPr>
      <w:r>
        <w:rPr>
          <w:rFonts w:hint="eastAsia" w:ascii="宋体" w:hAnsi="宋体" w:eastAsia="宋体" w:cs="宋体"/>
          <w:highlight w:val="none"/>
        </w:rPr>
        <w:t>②</w:t>
      </w:r>
      <w:r>
        <w:rPr>
          <w:rFonts w:hint="eastAsia"/>
          <w:highlight w:val="none"/>
        </w:rPr>
        <w:t>延期时间截止，响应供应商为2家或2家以上的，按照正常采购流程开展。</w:t>
      </w:r>
    </w:p>
    <w:p w14:paraId="5C5E19FB">
      <w:pPr>
        <w:snapToGrid w:val="0"/>
        <w:spacing w:line="360" w:lineRule="auto"/>
        <w:ind w:firstLine="420" w:firstLineChars="200"/>
        <w:jc w:val="left"/>
        <w:rPr>
          <w:rFonts w:hint="eastAsia" w:ascii="宋体" w:hAnsi="宋体" w:cs="宋体"/>
          <w:szCs w:val="21"/>
          <w:highlight w:val="none"/>
        </w:rPr>
      </w:pPr>
      <w:r>
        <w:rPr>
          <w:rFonts w:hint="eastAsia" w:ascii="仿宋" w:hAnsi="仿宋" w:eastAsia="仿宋" w:cs="仿宋"/>
          <w:highlight w:val="none"/>
        </w:rPr>
        <w:t>③</w:t>
      </w:r>
      <w:r>
        <w:rPr>
          <w:rFonts w:hint="eastAsia"/>
          <w:highlight w:val="none"/>
        </w:rPr>
        <w:t>延期时间截止，响应供应商为1家的，由</w:t>
      </w:r>
      <w:r>
        <w:rPr>
          <w:rFonts w:hint="eastAsia" w:ascii="宋体" w:hAnsi="宋体" w:cs="宋体"/>
          <w:szCs w:val="21"/>
          <w:highlight w:val="none"/>
        </w:rPr>
        <w:t>采购人</w:t>
      </w:r>
      <w:r>
        <w:rPr>
          <w:rFonts w:hint="eastAsia"/>
          <w:highlight w:val="none"/>
        </w:rPr>
        <w:t>审核供应商投标文件，</w:t>
      </w:r>
      <w:r>
        <w:rPr>
          <w:rFonts w:hint="eastAsia" w:ascii="宋体" w:hAnsi="宋体" w:cs="宋体"/>
          <w:szCs w:val="21"/>
          <w:highlight w:val="none"/>
        </w:rPr>
        <w:t>确定满足采购方案的条件后，组成谈判小组与供应商谈判。根据采购人内部程序，确定中标人，签订采购合同、支付合同款等。</w:t>
      </w:r>
    </w:p>
    <w:p w14:paraId="2117A14E">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二、符合性审查</w:t>
      </w:r>
    </w:p>
    <w:p w14:paraId="2293EF20">
      <w:pPr>
        <w:spacing w:line="360" w:lineRule="auto"/>
        <w:ind w:firstLine="420" w:firstLineChars="200"/>
        <w:rPr>
          <w:rFonts w:hint="eastAsia" w:ascii="宋体" w:hAnsi="宋体" w:cs="宋体"/>
          <w:szCs w:val="21"/>
          <w:highlight w:val="none"/>
        </w:rPr>
      </w:pPr>
      <w:bookmarkStart w:id="38" w:name="_Hlk42528882"/>
      <w:r>
        <w:rPr>
          <w:rFonts w:hint="eastAsia" w:ascii="宋体" w:hAnsi="宋体" w:cs="宋体"/>
          <w:szCs w:val="21"/>
          <w:highlight w:val="none"/>
        </w:rPr>
        <w:t>（一）由评审小组对</w:t>
      </w:r>
      <w:r>
        <w:rPr>
          <w:rFonts w:hint="eastAsia" w:ascii="宋体" w:hAnsi="宋体"/>
          <w:szCs w:val="21"/>
          <w:highlight w:val="none"/>
        </w:rPr>
        <w:t>资格审查的合格供应商</w:t>
      </w:r>
      <w:r>
        <w:rPr>
          <w:rFonts w:hint="eastAsia" w:ascii="宋体" w:hAnsi="宋体" w:cs="宋体"/>
          <w:szCs w:val="21"/>
          <w:highlight w:val="none"/>
        </w:rPr>
        <w:t>的响应文件进行符合性审查，以确定其是否满足采购文件的实质性要求。</w:t>
      </w:r>
    </w:p>
    <w:bookmarkEnd w:id="38"/>
    <w:p w14:paraId="2049648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二）评审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AA2A14E">
      <w:pPr>
        <w:spacing w:line="360" w:lineRule="auto"/>
        <w:ind w:firstLine="420" w:firstLineChars="200"/>
        <w:rPr>
          <w:rFonts w:hint="eastAsia" w:ascii="宋体" w:hAnsi="宋体" w:cs="宋体"/>
          <w:spacing w:val="-6"/>
          <w:szCs w:val="21"/>
          <w:highlight w:val="none"/>
        </w:rPr>
      </w:pPr>
      <w:r>
        <w:rPr>
          <w:rFonts w:hint="eastAsia" w:ascii="宋体" w:hAnsi="宋体" w:cs="宋体"/>
          <w:szCs w:val="21"/>
          <w:highlight w:val="none"/>
        </w:rPr>
        <w:t>（三）评审小组要求供应商澄清、说明或者更正响应文件应当以正式函形式作出。供应商的澄清、说明或者更正应当以正式形式按照评审小组的要求作出明确的澄清、说明或者更正，未按评审小组的要求作出明确澄清、说明或者更正的供应商的响应文件将按照有利于采购人的原则由评审小组进行判定。供应商的澄清、说明或者更正必须由法定代表人或者其授权代表签字或加盖供应商公章</w:t>
      </w:r>
      <w:r>
        <w:rPr>
          <w:rFonts w:hint="eastAsia" w:ascii="宋体" w:hAnsi="宋体" w:cs="宋体"/>
          <w:spacing w:val="-6"/>
          <w:szCs w:val="21"/>
          <w:highlight w:val="none"/>
        </w:rPr>
        <w:t>。</w:t>
      </w:r>
    </w:p>
    <w:p w14:paraId="0C12F665">
      <w:pPr>
        <w:spacing w:line="360" w:lineRule="auto"/>
        <w:ind w:firstLine="396" w:firstLineChars="200"/>
        <w:rPr>
          <w:rFonts w:hint="eastAsia" w:ascii="宋体" w:hAnsi="宋体" w:cs="宋体"/>
          <w:szCs w:val="21"/>
          <w:highlight w:val="none"/>
        </w:rPr>
      </w:pPr>
      <w:r>
        <w:rPr>
          <w:rFonts w:hint="eastAsia" w:ascii="宋体" w:hAnsi="宋体" w:cs="宋体"/>
          <w:spacing w:val="-6"/>
          <w:szCs w:val="21"/>
          <w:highlight w:val="none"/>
        </w:rPr>
        <w:t>（四）</w:t>
      </w:r>
      <w:r>
        <w:rPr>
          <w:rFonts w:hint="eastAsia" w:ascii="宋体" w:hAnsi="宋体" w:cs="宋体"/>
          <w:szCs w:val="21"/>
          <w:highlight w:val="none"/>
        </w:rPr>
        <w:t xml:space="preserve">响应文件报价出现前后不一致的，按照下列规定修正： </w:t>
      </w:r>
    </w:p>
    <w:p w14:paraId="4E8337F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1.响应文件中报价表内容与响应文件中相应内容不一致的，以报价表为准；</w:t>
      </w:r>
    </w:p>
    <w:p w14:paraId="1B07C0B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2.大写金额和小写金额不一致的，以大写金额为准；</w:t>
      </w:r>
    </w:p>
    <w:p w14:paraId="13785A1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3.单价金额小数点或者百分比有明显错位的，以报价表的总价为准，并修改单价；</w:t>
      </w:r>
    </w:p>
    <w:p w14:paraId="0B23D2C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4.总价金额与按单价汇总金额不一致的，以单价金额计算结果为准。</w:t>
      </w:r>
    </w:p>
    <w:p w14:paraId="785A1A9E">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同时出现两种以上不一致的，按照以上1-4规定的顺序逐条进行修正。修正后的报价经供应商确认后产生约束力，供应商不确认的，其响应文件按无效响应处理。</w:t>
      </w:r>
    </w:p>
    <w:p w14:paraId="33BC290B">
      <w:pPr>
        <w:spacing w:line="360"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（五）</w:t>
      </w:r>
      <w:r>
        <w:rPr>
          <w:rFonts w:hint="eastAsia" w:ascii="宋体" w:hAnsi="宋体" w:cs="宋体"/>
          <w:b/>
          <w:bCs/>
          <w:szCs w:val="21"/>
          <w:highlight w:val="none"/>
          <w:lang w:eastAsia="zh-CN"/>
        </w:rPr>
        <w:t>商务技术及</w:t>
      </w:r>
      <w:r>
        <w:rPr>
          <w:rFonts w:hint="eastAsia" w:ascii="宋体" w:hAnsi="宋体" w:cs="宋体"/>
          <w:b/>
          <w:bCs/>
          <w:szCs w:val="21"/>
          <w:highlight w:val="none"/>
        </w:rPr>
        <w:t>报价评审</w:t>
      </w:r>
    </w:p>
    <w:p w14:paraId="547F5865">
      <w:pPr>
        <w:spacing w:line="360"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在评审时，如发现下列情形之一的，将被视为响应文件无效响应处理：</w:t>
      </w:r>
    </w:p>
    <w:p w14:paraId="346F0CE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1.商务技术评审</w:t>
      </w:r>
    </w:p>
    <w:p w14:paraId="234E0D0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响应文件未按采购文件要求签署、盖章；</w:t>
      </w:r>
    </w:p>
    <w:p w14:paraId="0457622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w:t>
      </w:r>
      <w:r>
        <w:rPr>
          <w:rFonts w:hint="eastAsia" w:ascii="宋体" w:hAnsi="宋体" w:cs="宋体"/>
          <w:szCs w:val="21"/>
          <w:highlight w:val="none"/>
        </w:rPr>
        <w:t xml:space="preserve">委托代理人未能出具有效身份证或者出具的身份证与授权委托书中的信息不符的； </w:t>
      </w:r>
    </w:p>
    <w:p w14:paraId="275C142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响应文件的实质性内容未使用中文表述、使用计量单位不符合采购文件要求；</w:t>
      </w:r>
    </w:p>
    <w:p w14:paraId="127E14A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w:t>
      </w:r>
      <w:r>
        <w:rPr>
          <w:rFonts w:hint="eastAsia" w:ascii="宋体" w:hAnsi="宋体" w:cs="宋体"/>
          <w:szCs w:val="21"/>
          <w:highlight w:val="none"/>
        </w:rPr>
        <w:t>响应文件中的文件资料因填写不齐全或者内容虚假或者出现其他情形而导致被评审小组认定无效；</w:t>
      </w:r>
    </w:p>
    <w:p w14:paraId="09EB278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响应文件含有采购人不能接受的附加条件；</w:t>
      </w:r>
    </w:p>
    <w:p w14:paraId="1D575BB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6</w:t>
      </w:r>
      <w:r>
        <w:rPr>
          <w:rFonts w:hint="eastAsia" w:ascii="宋体" w:hAnsi="宋体" w:cs="宋体"/>
          <w:szCs w:val="21"/>
          <w:highlight w:val="none"/>
          <w:lang w:eastAsia="zh-CN"/>
        </w:rPr>
        <w:t>）</w:t>
      </w:r>
      <w:r>
        <w:rPr>
          <w:rFonts w:hint="eastAsia" w:ascii="宋体" w:hAnsi="宋体" w:cs="宋体"/>
          <w:szCs w:val="21"/>
          <w:highlight w:val="none"/>
        </w:rPr>
        <w:t>虚假</w:t>
      </w:r>
      <w:r>
        <w:rPr>
          <w:rFonts w:hint="eastAsia" w:ascii="宋体" w:hAnsi="宋体" w:cs="宋体"/>
          <w:szCs w:val="21"/>
          <w:highlight w:val="none"/>
          <w:lang w:eastAsia="zh-CN"/>
        </w:rPr>
        <w:t>投标</w:t>
      </w:r>
      <w:r>
        <w:rPr>
          <w:rFonts w:hint="eastAsia" w:ascii="宋体" w:hAnsi="宋体" w:cs="宋体"/>
          <w:szCs w:val="21"/>
          <w:highlight w:val="none"/>
        </w:rPr>
        <w:t>，或者出现其他情形而导致被评审小组认定无效；</w:t>
      </w:r>
    </w:p>
    <w:p w14:paraId="3B66BC92">
      <w:pPr>
        <w:spacing w:line="360" w:lineRule="auto"/>
        <w:ind w:firstLine="420" w:firstLineChars="200"/>
        <w:rPr>
          <w:rFonts w:hint="eastAsia" w:ascii="宋体" w:hAnsi="宋体" w:cs="宋体"/>
          <w:szCs w:val="21"/>
          <w:highlight w:val="none"/>
        </w:rPr>
      </w:pPr>
      <w:bookmarkStart w:id="39" w:name="_Hlk71704147"/>
      <w:r>
        <w:rPr>
          <w:rFonts w:hint="eastAsia" w:ascii="宋体" w:hAnsi="宋体" w:cs="宋体"/>
          <w:szCs w:val="21"/>
          <w:highlight w:val="none"/>
          <w:lang w:eastAsia="zh-CN"/>
        </w:rPr>
        <w:t>（</w:t>
      </w:r>
      <w:r>
        <w:rPr>
          <w:rFonts w:hint="eastAsia" w:ascii="宋体" w:hAnsi="宋体" w:cs="宋体"/>
          <w:szCs w:val="21"/>
          <w:highlight w:val="none"/>
          <w:lang w:val="en-US" w:eastAsia="zh-CN"/>
        </w:rPr>
        <w:t>7</w:t>
      </w:r>
      <w:r>
        <w:rPr>
          <w:rFonts w:hint="eastAsia" w:ascii="宋体" w:hAnsi="宋体" w:cs="宋体"/>
          <w:szCs w:val="21"/>
          <w:highlight w:val="none"/>
          <w:lang w:eastAsia="zh-CN"/>
        </w:rPr>
        <w:t>）</w:t>
      </w:r>
      <w:r>
        <w:rPr>
          <w:rFonts w:hint="eastAsia" w:ascii="宋体" w:hAnsi="宋体" w:cs="宋体"/>
          <w:szCs w:val="21"/>
          <w:highlight w:val="none"/>
        </w:rPr>
        <w:t>采购文件未载明允许提供备选（替代）</w:t>
      </w:r>
      <w:r>
        <w:rPr>
          <w:rFonts w:hint="eastAsia" w:ascii="宋体" w:hAnsi="宋体" w:cs="宋体"/>
          <w:szCs w:val="21"/>
          <w:highlight w:val="none"/>
          <w:lang w:eastAsia="zh-CN"/>
        </w:rPr>
        <w:t>投标</w:t>
      </w:r>
      <w:r>
        <w:rPr>
          <w:rFonts w:hint="eastAsia" w:ascii="宋体" w:hAnsi="宋体" w:cs="宋体"/>
          <w:szCs w:val="21"/>
          <w:highlight w:val="none"/>
        </w:rPr>
        <w:t>方案或明确不允许提供备选（替代）</w:t>
      </w:r>
      <w:r>
        <w:rPr>
          <w:rFonts w:hint="eastAsia" w:ascii="宋体" w:hAnsi="宋体" w:cs="宋体"/>
          <w:szCs w:val="21"/>
          <w:highlight w:val="none"/>
          <w:lang w:eastAsia="zh-CN"/>
        </w:rPr>
        <w:t>投标</w:t>
      </w:r>
      <w:r>
        <w:rPr>
          <w:rFonts w:hint="eastAsia" w:ascii="宋体" w:hAnsi="宋体" w:cs="宋体"/>
          <w:szCs w:val="21"/>
          <w:highlight w:val="none"/>
        </w:rPr>
        <w:t>方案时，供应商提供了备选（替代）</w:t>
      </w:r>
      <w:r>
        <w:rPr>
          <w:rFonts w:hint="eastAsia" w:ascii="宋体" w:hAnsi="宋体" w:cs="宋体"/>
          <w:szCs w:val="21"/>
          <w:highlight w:val="none"/>
          <w:lang w:eastAsia="zh-CN"/>
        </w:rPr>
        <w:t>投标</w:t>
      </w:r>
      <w:r>
        <w:rPr>
          <w:rFonts w:hint="eastAsia" w:ascii="宋体" w:hAnsi="宋体" w:cs="宋体"/>
          <w:szCs w:val="21"/>
          <w:highlight w:val="none"/>
        </w:rPr>
        <w:t>方案的；</w:t>
      </w:r>
      <w:bookmarkEnd w:id="39"/>
    </w:p>
    <w:p w14:paraId="6F5D0A3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8</w:t>
      </w:r>
      <w:r>
        <w:rPr>
          <w:rFonts w:hint="eastAsia" w:ascii="宋体" w:hAnsi="宋体" w:cs="宋体"/>
          <w:szCs w:val="21"/>
          <w:highlight w:val="none"/>
          <w:lang w:eastAsia="zh-CN"/>
        </w:rPr>
        <w:t>）</w:t>
      </w:r>
      <w:r>
        <w:rPr>
          <w:rFonts w:hint="eastAsia" w:ascii="宋体" w:hAnsi="宋体" w:cs="宋体"/>
          <w:szCs w:val="21"/>
          <w:highlight w:val="none"/>
        </w:rPr>
        <w:t>响应文件标注的项目名称或者项目编号与采购文件标注的项目名称或者项目编号不一致的；</w:t>
      </w:r>
    </w:p>
    <w:p w14:paraId="5F5F1197">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9</w:t>
      </w:r>
      <w:r>
        <w:rPr>
          <w:rFonts w:hint="eastAsia" w:ascii="宋体" w:hAnsi="宋体" w:cs="宋体"/>
          <w:szCs w:val="21"/>
          <w:highlight w:val="none"/>
          <w:lang w:eastAsia="zh-CN"/>
        </w:rPr>
        <w:t>）</w:t>
      </w:r>
      <w:r>
        <w:rPr>
          <w:rFonts w:hint="eastAsia" w:ascii="宋体" w:hAnsi="宋体"/>
          <w:szCs w:val="21"/>
          <w:highlight w:val="none"/>
        </w:rPr>
        <w:t>采购文件明确不允许分包，响应文件拟分包的；</w:t>
      </w:r>
    </w:p>
    <w:p w14:paraId="5D32ADB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10</w:t>
      </w:r>
      <w:r>
        <w:rPr>
          <w:rFonts w:hint="eastAsia" w:ascii="宋体" w:hAnsi="宋体" w:cs="宋体"/>
          <w:szCs w:val="21"/>
          <w:highlight w:val="none"/>
          <w:lang w:eastAsia="zh-CN"/>
        </w:rPr>
        <w:t>）</w:t>
      </w:r>
      <w:r>
        <w:rPr>
          <w:rFonts w:hint="eastAsia" w:ascii="宋体" w:hAnsi="宋体" w:cs="宋体"/>
          <w:szCs w:val="21"/>
          <w:highlight w:val="none"/>
        </w:rPr>
        <w:t>未响应采购文件</w:t>
      </w:r>
      <w:r>
        <w:rPr>
          <w:rFonts w:hint="eastAsia" w:ascii="宋体" w:hAnsi="宋体" w:cs="宋体"/>
          <w:szCs w:val="21"/>
          <w:highlight w:val="none"/>
          <w:lang w:eastAsia="zh-CN"/>
        </w:rPr>
        <w:t>的采购内容、工期要求、质量要求等</w:t>
      </w:r>
      <w:r>
        <w:rPr>
          <w:rFonts w:hint="eastAsia" w:ascii="宋体" w:hAnsi="宋体" w:cs="宋体"/>
          <w:szCs w:val="21"/>
          <w:highlight w:val="none"/>
        </w:rPr>
        <w:t>实质性要求；</w:t>
      </w:r>
    </w:p>
    <w:p w14:paraId="7C3E1EF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11</w:t>
      </w:r>
      <w:r>
        <w:rPr>
          <w:rFonts w:hint="eastAsia" w:ascii="宋体" w:hAnsi="宋体" w:cs="宋体"/>
          <w:szCs w:val="21"/>
          <w:highlight w:val="none"/>
          <w:lang w:eastAsia="zh-CN"/>
        </w:rPr>
        <w:t>）</w:t>
      </w:r>
      <w:r>
        <w:rPr>
          <w:rFonts w:hint="eastAsia" w:ascii="宋体" w:hAnsi="宋体" w:cs="宋体"/>
          <w:szCs w:val="21"/>
          <w:highlight w:val="none"/>
        </w:rPr>
        <w:t>法律、法规和采购文件规定的其他无效情形。</w:t>
      </w:r>
    </w:p>
    <w:p w14:paraId="7637B8E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2.报价评审</w:t>
      </w:r>
    </w:p>
    <w:p w14:paraId="52BCA25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响应文件未提供采购文件中规定的“</w:t>
      </w:r>
      <w:r>
        <w:rPr>
          <w:rFonts w:hint="eastAsia" w:ascii="宋体" w:hAnsi="宋体" w:cs="宋体"/>
          <w:szCs w:val="21"/>
          <w:highlight w:val="none"/>
          <w:lang w:eastAsia="zh-CN"/>
        </w:rPr>
        <w:t>投标</w:t>
      </w:r>
      <w:r>
        <w:rPr>
          <w:rFonts w:hint="eastAsia" w:ascii="宋体" w:hAnsi="宋体" w:cs="宋体"/>
          <w:szCs w:val="21"/>
          <w:highlight w:val="none"/>
        </w:rPr>
        <w:t>报价表”；</w:t>
      </w:r>
    </w:p>
    <w:p w14:paraId="29AE027C">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w:t>
      </w:r>
      <w:r>
        <w:rPr>
          <w:rFonts w:hint="eastAsia" w:ascii="宋体" w:hAnsi="宋体" w:cs="宋体"/>
          <w:szCs w:val="21"/>
          <w:highlight w:val="none"/>
        </w:rPr>
        <w:t>未采用人民币报价或者未按照采购文件标明的币种报价；</w:t>
      </w:r>
    </w:p>
    <w:p w14:paraId="13A21F1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供应商未就所</w:t>
      </w:r>
      <w:r>
        <w:rPr>
          <w:rFonts w:hint="eastAsia" w:ascii="宋体" w:hAnsi="宋体" w:cs="宋体"/>
          <w:szCs w:val="21"/>
          <w:highlight w:val="none"/>
          <w:lang w:eastAsia="zh-CN"/>
        </w:rPr>
        <w:t>投标</w:t>
      </w:r>
      <w:r>
        <w:rPr>
          <w:rFonts w:hint="eastAsia" w:ascii="宋体" w:hAnsi="宋体" w:cs="宋体"/>
          <w:szCs w:val="21"/>
          <w:highlight w:val="none"/>
        </w:rPr>
        <w:t>分标进行报价或者存在漏项报价；供应商未就所</w:t>
      </w:r>
      <w:r>
        <w:rPr>
          <w:rFonts w:hint="eastAsia" w:ascii="宋体" w:hAnsi="宋体" w:cs="宋体"/>
          <w:szCs w:val="21"/>
          <w:highlight w:val="none"/>
          <w:lang w:eastAsia="zh-CN"/>
        </w:rPr>
        <w:t>投标</w:t>
      </w:r>
      <w:r>
        <w:rPr>
          <w:rFonts w:hint="eastAsia" w:ascii="宋体" w:hAnsi="宋体" w:cs="宋体"/>
          <w:szCs w:val="21"/>
          <w:highlight w:val="none"/>
        </w:rPr>
        <w:t>分标的单项内容作唯一报价；供应商未就所</w:t>
      </w:r>
      <w:r>
        <w:rPr>
          <w:rFonts w:hint="eastAsia" w:ascii="宋体" w:hAnsi="宋体" w:cs="宋体"/>
          <w:szCs w:val="21"/>
          <w:highlight w:val="none"/>
          <w:lang w:eastAsia="zh-CN"/>
        </w:rPr>
        <w:t>投标</w:t>
      </w:r>
      <w:r>
        <w:rPr>
          <w:rFonts w:hint="eastAsia" w:ascii="宋体" w:hAnsi="宋体" w:cs="宋体"/>
          <w:szCs w:val="21"/>
          <w:highlight w:val="none"/>
        </w:rPr>
        <w:t>分标的全部内容作完整唯一总价报价；供应商响应文件中存在有选择、有条件报价的（采购文件允许有备选方案或者其他约定的除外）；</w:t>
      </w:r>
    </w:p>
    <w:p w14:paraId="4D8ECF1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w:t>
      </w:r>
      <w:r>
        <w:rPr>
          <w:rFonts w:hint="eastAsia" w:ascii="宋体" w:hAnsi="宋体" w:cs="宋体"/>
          <w:szCs w:val="21"/>
          <w:highlight w:val="none"/>
        </w:rPr>
        <w:t>报价超过最高限价的（如本项目公布了最高限价）；</w:t>
      </w:r>
      <w:bookmarkStart w:id="40" w:name="_Hlk42596405"/>
      <w:r>
        <w:rPr>
          <w:rFonts w:hint="eastAsia" w:ascii="宋体" w:hAnsi="宋体" w:cs="宋体"/>
          <w:szCs w:val="21"/>
          <w:highlight w:val="none"/>
        </w:rPr>
        <w:t xml:space="preserve"> </w:t>
      </w:r>
      <w:bookmarkEnd w:id="40"/>
    </w:p>
    <w:p w14:paraId="7AAB0E6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修正后的报价，供应商不确认的；或者经供应商确认修正后的最后报价超过最高限价（如本项目公布了最高限价）；</w:t>
      </w:r>
    </w:p>
    <w:p w14:paraId="0F55557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6</w:t>
      </w:r>
      <w:r>
        <w:rPr>
          <w:rFonts w:hint="eastAsia" w:ascii="宋体" w:hAnsi="宋体" w:cs="宋体"/>
          <w:szCs w:val="21"/>
          <w:highlight w:val="none"/>
          <w:lang w:eastAsia="zh-CN"/>
        </w:rPr>
        <w:t>）</w:t>
      </w:r>
      <w:r>
        <w:rPr>
          <w:rFonts w:hint="eastAsia" w:ascii="宋体" w:hAnsi="宋体"/>
          <w:szCs w:val="21"/>
          <w:highlight w:val="none"/>
        </w:rPr>
        <w:t>响应文件响应的标的数量及单位与采购文件要求实质性不一致的。</w:t>
      </w:r>
    </w:p>
    <w:p w14:paraId="57BCCFC2">
      <w:pPr>
        <w:spacing w:line="360" w:lineRule="auto"/>
        <w:ind w:firstLine="482" w:firstLineChars="200"/>
        <w:rPr>
          <w:rFonts w:hint="eastAsia" w:ascii="黑体" w:hAnsi="黑体" w:eastAsia="黑体" w:cs="宋体"/>
          <w:b/>
          <w:bCs/>
          <w:sz w:val="24"/>
          <w:highlight w:val="none"/>
          <w:lang w:eastAsia="zh-CN"/>
        </w:rPr>
      </w:pPr>
      <w:r>
        <w:rPr>
          <w:rFonts w:hint="eastAsia" w:ascii="黑体" w:hAnsi="黑体" w:eastAsia="黑体" w:cs="宋体"/>
          <w:b/>
          <w:bCs/>
          <w:sz w:val="24"/>
          <w:highlight w:val="none"/>
        </w:rPr>
        <w:t>三、比较与评</w:t>
      </w:r>
      <w:r>
        <w:rPr>
          <w:rFonts w:hint="eastAsia" w:ascii="黑体" w:hAnsi="黑体" w:eastAsia="黑体" w:cs="宋体"/>
          <w:b/>
          <w:bCs/>
          <w:sz w:val="24"/>
          <w:highlight w:val="none"/>
          <w:lang w:eastAsia="zh-CN"/>
        </w:rPr>
        <w:t>分</w:t>
      </w:r>
    </w:p>
    <w:p w14:paraId="017B264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（一）评审方法：综合评分法。</w:t>
      </w:r>
    </w:p>
    <w:p w14:paraId="6C788C11">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（二）由评审小组采用综合评分法对有效响应文件进行综合评分。</w:t>
      </w:r>
    </w:p>
    <w:p w14:paraId="67A2684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（三）评审时，评审小组各成员应当对每个有效响应的文件进行评价、打分，然后汇总每个供应商每项评分因素的得分。</w:t>
      </w:r>
    </w:p>
    <w:p w14:paraId="5C884E9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1.评审小组按照采购文件中规定的评审标准计算各供应商的报价得分。项目评审过程中，不得去掉最后报价中的最高报价和最低报价。</w:t>
      </w:r>
    </w:p>
    <w:p w14:paraId="743B603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2.以投标人的有效报价的算术平均值为基准价，报价与基准价的差取绝对值。</w:t>
      </w:r>
    </w:p>
    <w:p w14:paraId="24E77075">
      <w:pPr>
        <w:spacing w:line="360" w:lineRule="auto"/>
        <w:ind w:firstLine="420" w:firstLineChars="200"/>
        <w:rPr>
          <w:rFonts w:hint="eastAsia" w:ascii="宋体" w:hAnsi="宋体"/>
          <w:kern w:val="0"/>
          <w:szCs w:val="21"/>
          <w:highlight w:val="none"/>
        </w:rPr>
      </w:pPr>
      <w:r>
        <w:rPr>
          <w:rFonts w:hint="eastAsia" w:ascii="宋体" w:hAnsi="宋体" w:cs="宋体"/>
          <w:szCs w:val="21"/>
          <w:highlight w:val="none"/>
        </w:rPr>
        <w:t>（四）由评审小组根据综合评分情况，按照评审得分由高到低顺序推荐3名成交候选供应商，并编写评</w:t>
      </w:r>
      <w:r>
        <w:rPr>
          <w:rFonts w:hint="eastAsia" w:ascii="宋体" w:hAnsi="宋体"/>
          <w:kern w:val="0"/>
          <w:szCs w:val="21"/>
          <w:highlight w:val="none"/>
        </w:rPr>
        <w:t>审报告。评审得分相同的，按照最后报价由低到高的顺序推荐。</w:t>
      </w:r>
    </w:p>
    <w:p w14:paraId="5DD1F4D2">
      <w:pPr>
        <w:spacing w:line="360" w:lineRule="auto"/>
        <w:ind w:firstLine="420" w:firstLineChars="200"/>
        <w:rPr>
          <w:rFonts w:hint="eastAsia" w:ascii="宋体" w:hAnsi="宋体" w:cs="宋体"/>
          <w:szCs w:val="21"/>
          <w:highlight w:val="none"/>
        </w:rPr>
      </w:pPr>
      <w:r>
        <w:rPr>
          <w:rFonts w:hint="eastAsia" w:ascii="宋体" w:hAnsi="宋体"/>
          <w:kern w:val="0"/>
          <w:szCs w:val="21"/>
          <w:highlight w:val="none"/>
        </w:rPr>
        <w:t>（五）评审报告应当由评审小组全体人员签字认可。评审小组成员对评审报告有异议的，评审小组按照少数服从多数的原则推荐成交候选供应商，采购程序继续进行。对评审报告有异议的评审小组成员，应当在报告上签署不同意见并说明理由，由评审小组书面记录相关情况。评审小组成员拒绝在报告上签字又不书面说明其不同意见和理由的，视为同意评审报告。</w:t>
      </w:r>
    </w:p>
    <w:p w14:paraId="5AA9FE98">
      <w:pPr>
        <w:widowControl/>
        <w:spacing w:line="360" w:lineRule="auto"/>
        <w:jc w:val="center"/>
        <w:outlineLvl w:val="1"/>
        <w:rPr>
          <w:rFonts w:hint="eastAsia" w:ascii="宋体" w:hAnsi="宋体"/>
          <w:b/>
          <w:sz w:val="24"/>
          <w:highlight w:val="none"/>
        </w:rPr>
      </w:pPr>
      <w:r>
        <w:rPr>
          <w:rFonts w:ascii="宋体" w:hAnsi="宋体"/>
          <w:b/>
          <w:sz w:val="32"/>
          <w:szCs w:val="32"/>
          <w:highlight w:val="none"/>
        </w:rPr>
        <w:br w:type="page"/>
      </w:r>
      <w:bookmarkStart w:id="41" w:name="_Toc2435"/>
      <w:bookmarkStart w:id="42" w:name="_Toc7508"/>
      <w:bookmarkStart w:id="43" w:name="_Toc29563"/>
      <w:bookmarkStart w:id="44" w:name="_Toc8537"/>
      <w:bookmarkStart w:id="45" w:name="_Toc31098"/>
      <w:bookmarkStart w:id="46" w:name="_Toc12111"/>
      <w:r>
        <w:rPr>
          <w:rFonts w:hint="eastAsia" w:ascii="宋体" w:hAnsi="宋体"/>
          <w:b/>
          <w:sz w:val="24"/>
          <w:highlight w:val="none"/>
        </w:rPr>
        <w:t>第二节  评审标准</w:t>
      </w:r>
      <w:bookmarkEnd w:id="41"/>
      <w:bookmarkEnd w:id="42"/>
      <w:bookmarkEnd w:id="43"/>
      <w:bookmarkEnd w:id="44"/>
      <w:bookmarkEnd w:id="45"/>
      <w:bookmarkEnd w:id="46"/>
    </w:p>
    <w:p w14:paraId="4698F30C">
      <w:pPr>
        <w:spacing w:line="360" w:lineRule="auto"/>
        <w:ind w:firstLine="420" w:firstLineChars="200"/>
        <w:rPr>
          <w:rFonts w:hint="eastAsia" w:ascii="宋体" w:hAnsi="宋体"/>
          <w:bCs/>
          <w:szCs w:val="21"/>
          <w:highlight w:val="none"/>
        </w:rPr>
      </w:pPr>
      <w:r>
        <w:rPr>
          <w:rFonts w:hint="eastAsia" w:ascii="宋体" w:hAnsi="宋体"/>
          <w:bCs/>
          <w:szCs w:val="21"/>
          <w:highlight w:val="none"/>
        </w:rPr>
        <w:t>评审小组将以采购文件为评审依据，对供应商的报价、技术、商务等方面内容按百分制打分。（计分方法按四舍五入取至百分位）</w:t>
      </w:r>
    </w:p>
    <w:tbl>
      <w:tblPr>
        <w:tblStyle w:val="24"/>
        <w:tblW w:w="9118" w:type="dxa"/>
        <w:jc w:val="center"/>
        <w:tblLayout w:type="fixed"/>
        <w:tblCellMar>
          <w:top w:w="28" w:type="dxa"/>
          <w:left w:w="28" w:type="dxa"/>
          <w:bottom w:w="28" w:type="dxa"/>
          <w:right w:w="28" w:type="dxa"/>
        </w:tblCellMar>
      </w:tblPr>
      <w:tblGrid>
        <w:gridCol w:w="592"/>
        <w:gridCol w:w="1469"/>
        <w:gridCol w:w="7057"/>
      </w:tblGrid>
      <w:tr w14:paraId="3E0975DB">
        <w:tblPrEx>
          <w:tblCellMar>
            <w:top w:w="28" w:type="dxa"/>
            <w:left w:w="28" w:type="dxa"/>
            <w:bottom w:w="28" w:type="dxa"/>
            <w:right w:w="28" w:type="dxa"/>
          </w:tblCellMar>
        </w:tblPrEx>
        <w:trPr>
          <w:trHeight w:val="461"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74B0E76D">
            <w:pPr>
              <w:spacing w:line="264"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序号</w:t>
            </w:r>
          </w:p>
        </w:tc>
        <w:tc>
          <w:tcPr>
            <w:tcW w:w="1469" w:type="dxa"/>
            <w:tcBorders>
              <w:top w:val="single" w:color="000000" w:sz="4" w:space="0"/>
              <w:left w:val="single" w:color="000000" w:sz="4" w:space="0"/>
              <w:bottom w:val="single" w:color="000000" w:sz="4" w:space="0"/>
              <w:right w:val="single" w:color="000000" w:sz="4" w:space="0"/>
            </w:tcBorders>
            <w:vAlign w:val="center"/>
          </w:tcPr>
          <w:p w14:paraId="41AB3928">
            <w:pPr>
              <w:widowControl/>
              <w:spacing w:line="264" w:lineRule="auto"/>
              <w:jc w:val="center"/>
              <w:textAlignment w:val="center"/>
              <w:rPr>
                <w:rFonts w:hint="eastAsia" w:ascii="宋体" w:hAnsi="宋体" w:eastAsia="宋体" w:cs="宋体"/>
                <w:b/>
                <w:bCs/>
                <w:szCs w:val="21"/>
                <w:highlight w:val="none"/>
              </w:rPr>
            </w:pPr>
            <w:r>
              <w:rPr>
                <w:rFonts w:hint="eastAsia" w:ascii="宋体" w:hAnsi="宋体" w:eastAsia="宋体" w:cs="宋体"/>
                <w:b/>
                <w:bCs/>
                <w:szCs w:val="21"/>
                <w:highlight w:val="none"/>
              </w:rPr>
              <w:t>评审因素</w:t>
            </w:r>
          </w:p>
        </w:tc>
        <w:tc>
          <w:tcPr>
            <w:tcW w:w="7057" w:type="dxa"/>
            <w:tcBorders>
              <w:top w:val="single" w:color="000000" w:sz="4" w:space="0"/>
              <w:left w:val="single" w:color="000000" w:sz="4" w:space="0"/>
              <w:bottom w:val="single" w:color="000000" w:sz="4" w:space="0"/>
              <w:right w:val="single" w:color="000000" w:sz="4" w:space="0"/>
            </w:tcBorders>
            <w:vAlign w:val="center"/>
          </w:tcPr>
          <w:p w14:paraId="60BC9769">
            <w:pPr>
              <w:widowControl/>
              <w:spacing w:line="264" w:lineRule="auto"/>
              <w:jc w:val="center"/>
              <w:textAlignment w:val="center"/>
              <w:rPr>
                <w:rFonts w:hint="eastAsia" w:ascii="宋体" w:hAnsi="宋体" w:eastAsia="宋体" w:cs="宋体"/>
                <w:b/>
                <w:bCs/>
                <w:szCs w:val="21"/>
                <w:highlight w:val="none"/>
              </w:rPr>
            </w:pPr>
            <w:r>
              <w:rPr>
                <w:rFonts w:hint="eastAsia" w:ascii="宋体" w:hAnsi="宋体" w:eastAsia="宋体" w:cs="宋体"/>
                <w:b/>
                <w:bCs/>
                <w:szCs w:val="21"/>
                <w:highlight w:val="none"/>
              </w:rPr>
              <w:t>评</w:t>
            </w:r>
            <w:r>
              <w:rPr>
                <w:rFonts w:hint="eastAsia" w:ascii="宋体" w:hAnsi="宋体" w:eastAsia="宋体" w:cs="宋体"/>
                <w:b/>
                <w:bCs/>
                <w:szCs w:val="21"/>
                <w:highlight w:val="none"/>
                <w:lang w:eastAsia="zh-CN"/>
              </w:rPr>
              <w:t>分</w:t>
            </w:r>
            <w:r>
              <w:rPr>
                <w:rFonts w:hint="eastAsia" w:ascii="宋体" w:hAnsi="宋体" w:eastAsia="宋体" w:cs="宋体"/>
                <w:b/>
                <w:bCs/>
                <w:szCs w:val="21"/>
                <w:highlight w:val="none"/>
              </w:rPr>
              <w:t>标准</w:t>
            </w:r>
          </w:p>
        </w:tc>
      </w:tr>
      <w:tr w14:paraId="65BF5AD3">
        <w:tblPrEx>
          <w:tblCellMar>
            <w:top w:w="28" w:type="dxa"/>
            <w:left w:w="28" w:type="dxa"/>
            <w:bottom w:w="28" w:type="dxa"/>
            <w:right w:w="28" w:type="dxa"/>
          </w:tblCellMar>
        </w:tblPrEx>
        <w:trPr>
          <w:trHeight w:val="1647"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0BFB1CD1">
            <w:pPr>
              <w:spacing w:line="264" w:lineRule="auto"/>
              <w:jc w:val="center"/>
              <w:rPr>
                <w:rFonts w:hint="eastAsia" w:ascii="宋体" w:hAnsi="宋体" w:eastAsia="宋体" w:cs="宋体"/>
                <w:szCs w:val="21"/>
                <w:highlight w:val="none"/>
              </w:rPr>
            </w:pPr>
            <w:r>
              <w:rPr>
                <w:rFonts w:hint="eastAsia" w:ascii="宋体" w:hAnsi="宋体" w:eastAsia="宋体" w:cs="宋体"/>
                <w:szCs w:val="21"/>
                <w:highlight w:val="none"/>
              </w:rPr>
              <w:t>一</w:t>
            </w:r>
          </w:p>
        </w:tc>
        <w:tc>
          <w:tcPr>
            <w:tcW w:w="1469" w:type="dxa"/>
            <w:tcBorders>
              <w:top w:val="single" w:color="000000" w:sz="4" w:space="0"/>
              <w:left w:val="single" w:color="000000" w:sz="4" w:space="0"/>
              <w:bottom w:val="single" w:color="000000" w:sz="4" w:space="0"/>
              <w:right w:val="single" w:color="000000" w:sz="4" w:space="0"/>
            </w:tcBorders>
            <w:vAlign w:val="center"/>
          </w:tcPr>
          <w:p w14:paraId="3B8D31A0">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价格</w:t>
            </w:r>
          </w:p>
          <w:p w14:paraId="32B5ADB4">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eastAsia" w:ascii="宋体" w:hAnsi="宋体" w:eastAsia="宋体" w:cs="宋体"/>
                <w:szCs w:val="21"/>
                <w:highlight w:val="none"/>
                <w:lang w:val="en-US" w:eastAsia="zh-CN"/>
              </w:rPr>
              <w:t>10</w:t>
            </w:r>
            <w:r>
              <w:rPr>
                <w:rFonts w:hint="eastAsia" w:ascii="宋体" w:hAnsi="宋体" w:eastAsia="宋体" w:cs="宋体"/>
                <w:szCs w:val="21"/>
                <w:highlight w:val="none"/>
              </w:rPr>
              <w:t>分）</w:t>
            </w:r>
          </w:p>
        </w:tc>
        <w:tc>
          <w:tcPr>
            <w:tcW w:w="7057" w:type="dxa"/>
            <w:tcBorders>
              <w:top w:val="single" w:color="000000" w:sz="4" w:space="0"/>
              <w:left w:val="single" w:color="000000" w:sz="4" w:space="0"/>
              <w:bottom w:val="single" w:color="000000" w:sz="4" w:space="0"/>
              <w:right w:val="single" w:color="000000" w:sz="4" w:space="0"/>
            </w:tcBorders>
            <w:vAlign w:val="center"/>
          </w:tcPr>
          <w:p w14:paraId="7ED59F6A">
            <w:pPr>
              <w:widowControl/>
              <w:spacing w:line="264" w:lineRule="auto"/>
              <w:ind w:firstLine="420" w:firstLineChars="200"/>
              <w:textAlignment w:val="center"/>
              <w:rPr>
                <w:rFonts w:hint="eastAsia" w:ascii="宋体" w:hAnsi="宋体" w:eastAsia="宋体" w:cs="宋体"/>
                <w:szCs w:val="21"/>
                <w:highlight w:val="none"/>
              </w:rPr>
            </w:pPr>
            <w:r>
              <w:rPr>
                <w:rFonts w:hint="eastAsia" w:ascii="宋体" w:hAnsi="宋体" w:eastAsia="宋体" w:cs="宋体"/>
                <w:szCs w:val="21"/>
                <w:highlight w:val="none"/>
              </w:rPr>
              <w:t>以投标人的有效报价的算术平均值为基准价，报价与基准价的差取绝对值。有效报价为：投标人的报价未超过最高控制价，且投标人符合参与条件要求。</w:t>
            </w:r>
          </w:p>
          <w:p w14:paraId="64519B38">
            <w:pPr>
              <w:widowControl/>
              <w:spacing w:line="264" w:lineRule="auto"/>
              <w:ind w:firstLine="420" w:firstLineChars="200"/>
              <w:textAlignment w:val="center"/>
              <w:rPr>
                <w:rFonts w:hint="eastAsia" w:ascii="宋体" w:hAnsi="宋体" w:eastAsia="宋体" w:cs="宋体"/>
                <w:szCs w:val="21"/>
                <w:highlight w:val="none"/>
              </w:rPr>
            </w:pPr>
            <w:r>
              <w:rPr>
                <w:rFonts w:hint="eastAsia" w:ascii="宋体" w:hAnsi="宋体" w:eastAsia="宋体" w:cs="宋体"/>
                <w:szCs w:val="21"/>
                <w:highlight w:val="none"/>
              </w:rPr>
              <w:t>偏差率=100%×（报价-基准价）/基准价。</w:t>
            </w:r>
          </w:p>
          <w:p w14:paraId="29BC9AF9">
            <w:pPr>
              <w:widowControl/>
              <w:spacing w:line="264" w:lineRule="auto"/>
              <w:ind w:firstLine="420" w:firstLineChars="200"/>
              <w:textAlignment w:val="center"/>
              <w:rPr>
                <w:rFonts w:hint="eastAsia" w:ascii="宋体" w:hAnsi="宋体" w:eastAsia="宋体" w:cs="宋体"/>
                <w:szCs w:val="21"/>
                <w:highlight w:val="none"/>
              </w:rPr>
            </w:pPr>
            <w:r>
              <w:rPr>
                <w:rFonts w:hint="eastAsia" w:ascii="宋体" w:hAnsi="宋体" w:eastAsia="宋体" w:cs="宋体"/>
                <w:szCs w:val="21"/>
                <w:highlight w:val="none"/>
              </w:rPr>
              <w:t>若投标人报价&gt;评标基准价，则得分=</w:t>
            </w:r>
            <w:r>
              <w:rPr>
                <w:rFonts w:hint="eastAsia" w:ascii="宋体" w:hAnsi="宋体" w:eastAsia="宋体" w:cs="宋体"/>
                <w:szCs w:val="21"/>
                <w:highlight w:val="none"/>
                <w:lang w:val="en-US" w:eastAsia="zh-CN"/>
              </w:rPr>
              <w:t>15</w:t>
            </w:r>
            <w:r>
              <w:rPr>
                <w:rFonts w:hint="eastAsia" w:ascii="宋体" w:hAnsi="宋体" w:eastAsia="宋体" w:cs="宋体"/>
                <w:szCs w:val="21"/>
                <w:highlight w:val="none"/>
              </w:rPr>
              <w:t>-∣偏差率∣×100×0.</w:t>
            </w:r>
            <w:r>
              <w:rPr>
                <w:rFonts w:hint="eastAsia" w:ascii="宋体" w:hAnsi="宋体" w:eastAsia="宋体" w:cs="宋体"/>
                <w:szCs w:val="21"/>
                <w:highlight w:val="none"/>
                <w:lang w:val="en-US" w:eastAsia="zh-CN"/>
              </w:rPr>
              <w:t>1</w:t>
            </w:r>
            <w:r>
              <w:rPr>
                <w:rFonts w:hint="eastAsia" w:ascii="宋体" w:hAnsi="宋体" w:eastAsia="宋体" w:cs="宋体"/>
                <w:szCs w:val="21"/>
                <w:highlight w:val="none"/>
              </w:rPr>
              <w:t>；</w:t>
            </w:r>
          </w:p>
          <w:p w14:paraId="4391FDF3">
            <w:pPr>
              <w:widowControl/>
              <w:spacing w:line="264" w:lineRule="auto"/>
              <w:ind w:firstLine="420" w:firstLineChars="200"/>
              <w:textAlignment w:val="center"/>
              <w:rPr>
                <w:rFonts w:hint="eastAsia" w:ascii="宋体" w:hAnsi="宋体" w:eastAsia="宋体" w:cs="宋体"/>
                <w:szCs w:val="21"/>
                <w:highlight w:val="none"/>
              </w:rPr>
            </w:pPr>
            <w:r>
              <w:rPr>
                <w:rFonts w:hint="eastAsia" w:ascii="宋体" w:hAnsi="宋体" w:eastAsia="宋体" w:cs="宋体"/>
                <w:szCs w:val="21"/>
                <w:highlight w:val="none"/>
              </w:rPr>
              <w:t>若投标人报价≤评标基准价，则得分=</w:t>
            </w:r>
            <w:r>
              <w:rPr>
                <w:rFonts w:hint="eastAsia" w:ascii="宋体" w:hAnsi="宋体" w:eastAsia="宋体" w:cs="宋体"/>
                <w:szCs w:val="21"/>
                <w:highlight w:val="none"/>
                <w:lang w:val="en-US" w:eastAsia="zh-CN"/>
              </w:rPr>
              <w:t>15</w:t>
            </w:r>
            <w:r>
              <w:rPr>
                <w:rFonts w:hint="eastAsia" w:ascii="宋体" w:hAnsi="宋体" w:eastAsia="宋体" w:cs="宋体"/>
                <w:szCs w:val="21"/>
                <w:highlight w:val="none"/>
              </w:rPr>
              <w:t>-∣偏差率∣×100×0.</w:t>
            </w:r>
            <w:r>
              <w:rPr>
                <w:rFonts w:hint="eastAsia" w:ascii="宋体" w:hAnsi="宋体" w:eastAsia="宋体" w:cs="宋体"/>
                <w:szCs w:val="21"/>
                <w:highlight w:val="none"/>
                <w:lang w:val="en-US" w:eastAsia="zh-CN"/>
              </w:rPr>
              <w:t>05</w:t>
            </w:r>
            <w:r>
              <w:rPr>
                <w:rFonts w:hint="eastAsia" w:ascii="宋体" w:hAnsi="宋体" w:eastAsia="宋体" w:cs="宋体"/>
                <w:szCs w:val="21"/>
                <w:highlight w:val="none"/>
              </w:rPr>
              <w:t>。</w:t>
            </w:r>
          </w:p>
          <w:p w14:paraId="52C835A8">
            <w:pPr>
              <w:widowControl/>
              <w:spacing w:line="264" w:lineRule="auto"/>
              <w:textAlignment w:val="center"/>
              <w:rPr>
                <w:rFonts w:hint="eastAsia" w:ascii="宋体" w:hAnsi="宋体" w:eastAsia="宋体" w:cs="宋体"/>
                <w:szCs w:val="21"/>
                <w:highlight w:val="none"/>
              </w:rPr>
            </w:pPr>
            <w:r>
              <w:rPr>
                <w:rFonts w:hint="eastAsia" w:ascii="宋体" w:hAnsi="宋体" w:eastAsia="宋体" w:cs="宋体"/>
                <w:szCs w:val="21"/>
                <w:highlight w:val="none"/>
              </w:rPr>
              <w:t>注：分数取小数点后两位。</w:t>
            </w:r>
          </w:p>
        </w:tc>
      </w:tr>
      <w:tr w14:paraId="7A686926">
        <w:tblPrEx>
          <w:tblCellMar>
            <w:top w:w="28" w:type="dxa"/>
            <w:left w:w="28" w:type="dxa"/>
            <w:bottom w:w="28" w:type="dxa"/>
            <w:right w:w="28" w:type="dxa"/>
          </w:tblCellMar>
        </w:tblPrEx>
        <w:trPr>
          <w:trHeight w:val="632" w:hRule="atLeast"/>
          <w:jc w:val="center"/>
        </w:trPr>
        <w:tc>
          <w:tcPr>
            <w:tcW w:w="592" w:type="dxa"/>
            <w:tcBorders>
              <w:top w:val="single" w:color="000000" w:sz="4" w:space="0"/>
              <w:left w:val="single" w:color="000000" w:sz="4" w:space="0"/>
              <w:bottom w:val="single" w:color="auto" w:sz="4" w:space="0"/>
              <w:right w:val="single" w:color="auto" w:sz="4" w:space="0"/>
            </w:tcBorders>
            <w:vAlign w:val="center"/>
          </w:tcPr>
          <w:p w14:paraId="790C46F6">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二</w:t>
            </w:r>
          </w:p>
        </w:tc>
        <w:tc>
          <w:tcPr>
            <w:tcW w:w="1469" w:type="dxa"/>
            <w:tcBorders>
              <w:top w:val="single" w:color="000000" w:sz="4" w:space="0"/>
              <w:left w:val="single" w:color="auto" w:sz="4" w:space="0"/>
              <w:bottom w:val="single" w:color="000000" w:sz="4" w:space="0"/>
              <w:right w:val="single" w:color="000000" w:sz="4" w:space="0"/>
            </w:tcBorders>
            <w:vAlign w:val="center"/>
          </w:tcPr>
          <w:p w14:paraId="670B444D">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资信业绩</w:t>
            </w:r>
          </w:p>
          <w:p w14:paraId="36481E68">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0分）</w:t>
            </w:r>
          </w:p>
        </w:tc>
        <w:tc>
          <w:tcPr>
            <w:tcW w:w="7057" w:type="dxa"/>
            <w:tcBorders>
              <w:top w:val="nil"/>
              <w:left w:val="single" w:color="000000" w:sz="4" w:space="0"/>
              <w:bottom w:val="single" w:color="000000" w:sz="4" w:space="0"/>
              <w:right w:val="single" w:color="000000" w:sz="4" w:space="0"/>
            </w:tcBorders>
            <w:vAlign w:val="center"/>
          </w:tcPr>
          <w:p w14:paraId="07C34CDB">
            <w:pPr>
              <w:pStyle w:val="32"/>
              <w:spacing w:before="0" w:after="0" w:line="264" w:lineRule="auto"/>
              <w:ind w:firstLine="420" w:firstLineChars="200"/>
              <w:jc w:val="both"/>
              <w:rPr>
                <w:rFonts w:hint="eastAsia" w:ascii="宋体" w:hAnsi="宋体" w:eastAsia="宋体" w:cs="宋体"/>
                <w:bCs w:val="0"/>
                <w:spacing w:val="0"/>
                <w:kern w:val="2"/>
                <w:sz w:val="21"/>
                <w:szCs w:val="21"/>
                <w:highlight w:val="none"/>
              </w:rPr>
            </w:pPr>
            <w:r>
              <w:rPr>
                <w:rFonts w:hint="eastAsia" w:ascii="宋体" w:hAnsi="宋体" w:eastAsia="宋体" w:cs="宋体"/>
                <w:bCs w:val="0"/>
                <w:spacing w:val="0"/>
                <w:kern w:val="2"/>
                <w:sz w:val="21"/>
                <w:szCs w:val="21"/>
                <w:highlight w:val="none"/>
                <w:lang w:val="en-US" w:eastAsia="zh-CN"/>
              </w:rPr>
              <w:t>1</w:t>
            </w:r>
            <w:r>
              <w:rPr>
                <w:rFonts w:hint="eastAsia" w:ascii="宋体" w:hAnsi="宋体" w:eastAsia="宋体" w:cs="宋体"/>
                <w:bCs w:val="0"/>
                <w:spacing w:val="0"/>
                <w:kern w:val="2"/>
                <w:sz w:val="21"/>
                <w:szCs w:val="21"/>
                <w:highlight w:val="none"/>
              </w:rPr>
              <w:t>. 在满足资格条件的基础上，投标人自</w:t>
            </w:r>
            <w:r>
              <w:rPr>
                <w:rFonts w:hint="eastAsia" w:ascii="宋体" w:hAnsi="宋体" w:eastAsia="宋体" w:cs="宋体"/>
                <w:bCs w:val="0"/>
                <w:spacing w:val="0"/>
                <w:kern w:val="2"/>
                <w:sz w:val="21"/>
                <w:szCs w:val="21"/>
                <w:highlight w:val="none"/>
                <w:lang w:eastAsia="zh-CN"/>
              </w:rPr>
              <w:t>2019年</w:t>
            </w:r>
            <w:r>
              <w:rPr>
                <w:rFonts w:hint="eastAsia" w:ascii="宋体" w:hAnsi="宋体" w:eastAsia="宋体" w:cs="宋体"/>
                <w:bCs w:val="0"/>
                <w:spacing w:val="0"/>
                <w:kern w:val="2"/>
                <w:sz w:val="21"/>
                <w:szCs w:val="21"/>
                <w:highlight w:val="none"/>
              </w:rPr>
              <w:t>1月1日至今完成类似项目（航道工程）的</w:t>
            </w:r>
            <w:r>
              <w:rPr>
                <w:rFonts w:hint="eastAsia" w:ascii="宋体" w:hAnsi="宋体" w:eastAsia="宋体" w:cs="宋体"/>
                <w:bCs w:val="0"/>
                <w:spacing w:val="0"/>
                <w:kern w:val="2"/>
                <w:sz w:val="21"/>
                <w:szCs w:val="21"/>
                <w:highlight w:val="none"/>
                <w:lang w:val="en-US" w:eastAsia="zh-CN"/>
              </w:rPr>
              <w:t>社会稳定分险分析报告工作的</w:t>
            </w:r>
            <w:r>
              <w:rPr>
                <w:rFonts w:hint="eastAsia" w:ascii="宋体" w:hAnsi="宋体" w:eastAsia="宋体" w:cs="宋体"/>
                <w:bCs w:val="0"/>
                <w:spacing w:val="0"/>
                <w:kern w:val="2"/>
                <w:sz w:val="21"/>
                <w:szCs w:val="21"/>
                <w:highlight w:val="none"/>
              </w:rPr>
              <w:t>，每项得</w:t>
            </w:r>
            <w:r>
              <w:rPr>
                <w:rFonts w:hint="eastAsia" w:ascii="宋体" w:hAnsi="宋体" w:eastAsia="宋体" w:cs="宋体"/>
                <w:bCs w:val="0"/>
                <w:spacing w:val="0"/>
                <w:kern w:val="2"/>
                <w:sz w:val="21"/>
                <w:szCs w:val="21"/>
                <w:highlight w:val="none"/>
                <w:lang w:val="en-US" w:eastAsia="zh-CN"/>
              </w:rPr>
              <w:t>3</w:t>
            </w:r>
            <w:r>
              <w:rPr>
                <w:rFonts w:hint="eastAsia" w:ascii="宋体" w:hAnsi="宋体" w:eastAsia="宋体" w:cs="宋体"/>
                <w:bCs w:val="0"/>
                <w:spacing w:val="0"/>
                <w:kern w:val="2"/>
                <w:sz w:val="21"/>
                <w:szCs w:val="21"/>
                <w:highlight w:val="none"/>
              </w:rPr>
              <w:t>分；</w:t>
            </w:r>
            <w:r>
              <w:rPr>
                <w:rFonts w:hint="eastAsia" w:ascii="宋体" w:hAnsi="宋体" w:eastAsia="宋体" w:cs="宋体"/>
                <w:kern w:val="2"/>
                <w:sz w:val="21"/>
                <w:szCs w:val="21"/>
                <w:highlight w:val="none"/>
              </w:rPr>
              <w:t>本项满分</w:t>
            </w:r>
            <w:r>
              <w:rPr>
                <w:rFonts w:hint="eastAsia" w:ascii="宋体" w:hAnsi="宋体" w:eastAsia="宋体" w:cs="宋体"/>
                <w:bCs w:val="0"/>
                <w:spacing w:val="0"/>
                <w:kern w:val="2"/>
                <w:sz w:val="21"/>
                <w:szCs w:val="21"/>
                <w:highlight w:val="none"/>
                <w:lang w:val="en-US" w:eastAsia="zh-CN"/>
              </w:rPr>
              <w:t>24</w:t>
            </w:r>
            <w:r>
              <w:rPr>
                <w:rFonts w:hint="eastAsia" w:ascii="宋体" w:hAnsi="宋体" w:eastAsia="宋体" w:cs="宋体"/>
                <w:bCs w:val="0"/>
                <w:spacing w:val="0"/>
                <w:kern w:val="2"/>
                <w:sz w:val="21"/>
                <w:szCs w:val="21"/>
                <w:highlight w:val="none"/>
              </w:rPr>
              <w:t>分。</w:t>
            </w:r>
          </w:p>
          <w:p w14:paraId="6A683590">
            <w:pPr>
              <w:pStyle w:val="32"/>
              <w:spacing w:before="0" w:after="0" w:line="264" w:lineRule="auto"/>
              <w:ind w:firstLine="420" w:firstLineChars="200"/>
              <w:jc w:val="both"/>
              <w:rPr>
                <w:rFonts w:hint="eastAsia" w:ascii="宋体" w:hAnsi="宋体" w:eastAsia="宋体" w:cs="宋体"/>
                <w:bCs w:val="0"/>
                <w:spacing w:val="0"/>
                <w:kern w:val="2"/>
                <w:sz w:val="21"/>
                <w:szCs w:val="21"/>
                <w:highlight w:val="none"/>
              </w:rPr>
            </w:pPr>
            <w:r>
              <w:rPr>
                <w:rFonts w:hint="eastAsia" w:ascii="宋体" w:hAnsi="宋体" w:eastAsia="宋体" w:cs="宋体"/>
                <w:bCs w:val="0"/>
                <w:spacing w:val="0"/>
                <w:kern w:val="2"/>
                <w:sz w:val="21"/>
                <w:szCs w:val="21"/>
                <w:highlight w:val="none"/>
              </w:rPr>
              <w:t>注：</w:t>
            </w:r>
            <w:r>
              <w:rPr>
                <w:rFonts w:hint="eastAsia" w:ascii="宋体" w:hAnsi="宋体" w:eastAsia="宋体" w:cs="宋体"/>
                <w:bCs w:val="0"/>
                <w:spacing w:val="0"/>
                <w:kern w:val="2"/>
                <w:sz w:val="21"/>
                <w:szCs w:val="21"/>
                <w:highlight w:val="none"/>
                <w:lang w:val="en-US" w:eastAsia="zh-CN"/>
              </w:rPr>
              <w:t>1.业绩时间</w:t>
            </w:r>
            <w:r>
              <w:rPr>
                <w:rFonts w:hint="eastAsia" w:ascii="宋体" w:hAnsi="宋体" w:eastAsia="宋体" w:cs="宋体"/>
                <w:bCs w:val="0"/>
                <w:spacing w:val="0"/>
                <w:kern w:val="2"/>
                <w:sz w:val="21"/>
                <w:szCs w:val="21"/>
                <w:highlight w:val="none"/>
              </w:rPr>
              <w:t>以</w:t>
            </w:r>
            <w:r>
              <w:rPr>
                <w:rFonts w:hint="eastAsia" w:ascii="宋体" w:hAnsi="宋体" w:eastAsia="宋体" w:cs="宋体"/>
                <w:bCs w:val="0"/>
                <w:spacing w:val="0"/>
                <w:kern w:val="2"/>
                <w:sz w:val="21"/>
                <w:szCs w:val="21"/>
                <w:highlight w:val="none"/>
                <w:lang w:val="en-US" w:eastAsia="zh-CN"/>
              </w:rPr>
              <w:t>签订合同</w:t>
            </w:r>
            <w:r>
              <w:rPr>
                <w:rFonts w:hint="eastAsia" w:ascii="宋体" w:hAnsi="宋体" w:eastAsia="宋体" w:cs="宋体"/>
                <w:bCs w:val="0"/>
                <w:spacing w:val="0"/>
                <w:kern w:val="2"/>
                <w:sz w:val="21"/>
                <w:szCs w:val="21"/>
                <w:highlight w:val="none"/>
              </w:rPr>
              <w:t>时间为准</w:t>
            </w:r>
            <w:r>
              <w:rPr>
                <w:rFonts w:hint="eastAsia" w:ascii="宋体" w:hAnsi="宋体" w:eastAsia="宋体" w:cs="宋体"/>
                <w:bCs w:val="0"/>
                <w:spacing w:val="0"/>
                <w:kern w:val="2"/>
                <w:sz w:val="21"/>
                <w:szCs w:val="21"/>
                <w:highlight w:val="none"/>
                <w:lang w:eastAsia="zh-CN"/>
              </w:rPr>
              <w:t>；</w:t>
            </w:r>
            <w:r>
              <w:rPr>
                <w:rFonts w:hint="eastAsia" w:ascii="宋体" w:hAnsi="宋体" w:eastAsia="宋体" w:cs="宋体"/>
                <w:bCs w:val="0"/>
                <w:spacing w:val="0"/>
                <w:kern w:val="2"/>
                <w:sz w:val="21"/>
                <w:szCs w:val="21"/>
                <w:highlight w:val="none"/>
                <w:lang w:val="en-US" w:eastAsia="zh-CN"/>
              </w:rPr>
              <w:t>2.</w:t>
            </w:r>
            <w:r>
              <w:rPr>
                <w:rFonts w:hint="eastAsia" w:ascii="宋体" w:hAnsi="宋体" w:eastAsia="宋体" w:cs="宋体"/>
                <w:bCs w:val="0"/>
                <w:spacing w:val="0"/>
                <w:kern w:val="2"/>
                <w:sz w:val="21"/>
                <w:szCs w:val="21"/>
                <w:highlight w:val="none"/>
              </w:rPr>
              <w:t>业绩需提供合同复印件作为评审依据，证明材料均加盖公章</w:t>
            </w:r>
            <w:r>
              <w:rPr>
                <w:rFonts w:hint="eastAsia" w:ascii="宋体" w:hAnsi="宋体" w:eastAsia="宋体" w:cs="宋体"/>
                <w:kern w:val="2"/>
                <w:sz w:val="21"/>
                <w:szCs w:val="21"/>
                <w:highlight w:val="none"/>
              </w:rPr>
              <w:t>，未按要求提供相关证明材料的不得分</w:t>
            </w:r>
            <w:r>
              <w:rPr>
                <w:rFonts w:hint="eastAsia" w:ascii="宋体" w:hAnsi="宋体" w:eastAsia="宋体" w:cs="宋体"/>
                <w:bCs w:val="0"/>
                <w:spacing w:val="0"/>
                <w:kern w:val="2"/>
                <w:sz w:val="21"/>
                <w:szCs w:val="21"/>
                <w:highlight w:val="none"/>
              </w:rPr>
              <w:t>。</w:t>
            </w:r>
          </w:p>
          <w:p w14:paraId="7ED600EE">
            <w:pPr>
              <w:pStyle w:val="32"/>
              <w:spacing w:before="0" w:after="0" w:line="264" w:lineRule="auto"/>
              <w:ind w:firstLine="420" w:firstLineChars="200"/>
              <w:jc w:val="both"/>
              <w:rPr>
                <w:rFonts w:hint="eastAsia" w:ascii="宋体" w:hAnsi="宋体" w:eastAsia="宋体" w:cs="宋体"/>
                <w:bCs w:val="0"/>
                <w:spacing w:val="0"/>
                <w:kern w:val="2"/>
                <w:sz w:val="21"/>
                <w:szCs w:val="21"/>
                <w:highlight w:val="none"/>
              </w:rPr>
            </w:pPr>
            <w:r>
              <w:rPr>
                <w:rFonts w:hint="eastAsia" w:ascii="宋体" w:hAnsi="宋体" w:eastAsia="宋体" w:cs="宋体"/>
                <w:bCs w:val="0"/>
                <w:spacing w:val="0"/>
                <w:kern w:val="2"/>
                <w:sz w:val="21"/>
                <w:szCs w:val="21"/>
                <w:highlight w:val="none"/>
                <w:lang w:val="en-US" w:eastAsia="zh-CN"/>
              </w:rPr>
              <w:t>2</w:t>
            </w:r>
            <w:r>
              <w:rPr>
                <w:rFonts w:hint="eastAsia" w:ascii="宋体" w:hAnsi="宋体" w:eastAsia="宋体" w:cs="宋体"/>
                <w:bCs w:val="0"/>
                <w:spacing w:val="0"/>
                <w:kern w:val="2"/>
                <w:sz w:val="21"/>
                <w:szCs w:val="21"/>
                <w:highlight w:val="none"/>
              </w:rPr>
              <w:t>. 具备工程咨询水运（含港口河海工程）乙级资信证书得</w:t>
            </w:r>
            <w:r>
              <w:rPr>
                <w:rFonts w:hint="eastAsia" w:ascii="宋体" w:hAnsi="宋体" w:eastAsia="宋体" w:cs="宋体"/>
                <w:bCs w:val="0"/>
                <w:spacing w:val="0"/>
                <w:kern w:val="2"/>
                <w:sz w:val="21"/>
                <w:szCs w:val="21"/>
                <w:highlight w:val="none"/>
                <w:lang w:val="en-US" w:eastAsia="zh-CN"/>
              </w:rPr>
              <w:t>1</w:t>
            </w:r>
            <w:r>
              <w:rPr>
                <w:rFonts w:hint="eastAsia" w:ascii="宋体" w:hAnsi="宋体" w:eastAsia="宋体" w:cs="宋体"/>
                <w:bCs w:val="0"/>
                <w:spacing w:val="0"/>
                <w:kern w:val="2"/>
                <w:sz w:val="21"/>
                <w:szCs w:val="21"/>
                <w:highlight w:val="none"/>
              </w:rPr>
              <w:t>分，具备工程咨询水运（含港口河海工程）甲级资信证书得</w:t>
            </w:r>
            <w:r>
              <w:rPr>
                <w:rFonts w:hint="eastAsia" w:ascii="宋体" w:hAnsi="宋体" w:eastAsia="宋体" w:cs="宋体"/>
                <w:bCs w:val="0"/>
                <w:spacing w:val="0"/>
                <w:kern w:val="2"/>
                <w:sz w:val="21"/>
                <w:szCs w:val="21"/>
                <w:highlight w:val="none"/>
                <w:lang w:val="en-US" w:eastAsia="zh-CN"/>
              </w:rPr>
              <w:t>3</w:t>
            </w:r>
            <w:r>
              <w:rPr>
                <w:rFonts w:hint="eastAsia" w:ascii="宋体" w:hAnsi="宋体" w:eastAsia="宋体" w:cs="宋体"/>
                <w:bCs w:val="0"/>
                <w:spacing w:val="0"/>
                <w:kern w:val="2"/>
                <w:sz w:val="21"/>
                <w:szCs w:val="21"/>
                <w:highlight w:val="none"/>
              </w:rPr>
              <w:t>分，</w:t>
            </w:r>
            <w:r>
              <w:rPr>
                <w:rFonts w:hint="eastAsia" w:ascii="宋体" w:hAnsi="宋体" w:eastAsia="宋体" w:cs="宋体"/>
                <w:kern w:val="2"/>
                <w:sz w:val="21"/>
                <w:szCs w:val="21"/>
                <w:highlight w:val="none"/>
              </w:rPr>
              <w:t>本项满分</w:t>
            </w:r>
            <w:r>
              <w:rPr>
                <w:rFonts w:hint="eastAsia" w:ascii="宋体" w:hAnsi="宋体" w:eastAsia="宋体" w:cs="宋体"/>
                <w:bCs w:val="0"/>
                <w:spacing w:val="0"/>
                <w:kern w:val="2"/>
                <w:sz w:val="21"/>
                <w:szCs w:val="21"/>
                <w:highlight w:val="none"/>
                <w:lang w:val="en-US" w:eastAsia="zh-CN"/>
              </w:rPr>
              <w:t>3</w:t>
            </w:r>
            <w:r>
              <w:rPr>
                <w:rFonts w:hint="eastAsia" w:ascii="宋体" w:hAnsi="宋体" w:eastAsia="宋体" w:cs="宋体"/>
                <w:kern w:val="2"/>
                <w:sz w:val="21"/>
                <w:szCs w:val="21"/>
                <w:highlight w:val="none"/>
              </w:rPr>
              <w:t>分</w:t>
            </w:r>
            <w:r>
              <w:rPr>
                <w:rFonts w:hint="eastAsia" w:ascii="宋体" w:hAnsi="宋体" w:eastAsia="宋体" w:cs="宋体"/>
                <w:bCs w:val="0"/>
                <w:spacing w:val="0"/>
                <w:kern w:val="2"/>
                <w:sz w:val="21"/>
                <w:szCs w:val="21"/>
                <w:highlight w:val="none"/>
              </w:rPr>
              <w:t>；</w:t>
            </w:r>
          </w:p>
          <w:p w14:paraId="588CE5AB">
            <w:pPr>
              <w:pStyle w:val="32"/>
              <w:spacing w:after="0" w:line="264" w:lineRule="auto"/>
              <w:ind w:firstLine="420" w:firstLineChars="200"/>
              <w:jc w:val="both"/>
              <w:rPr>
                <w:rFonts w:hint="eastAsia" w:ascii="宋体" w:hAnsi="宋体" w:eastAsia="宋体" w:cs="宋体"/>
                <w:sz w:val="21"/>
                <w:szCs w:val="21"/>
              </w:rPr>
            </w:pPr>
            <w:r>
              <w:rPr>
                <w:rFonts w:hint="eastAsia" w:ascii="宋体" w:hAnsi="宋体" w:eastAsia="宋体" w:cs="宋体"/>
                <w:bCs w:val="0"/>
                <w:spacing w:val="0"/>
                <w:kern w:val="2"/>
                <w:sz w:val="21"/>
                <w:szCs w:val="21"/>
                <w:highlight w:val="none"/>
              </w:rPr>
              <w:t>3</w:t>
            </w:r>
            <w:r>
              <w:rPr>
                <w:rFonts w:hint="eastAsia" w:ascii="宋体" w:hAnsi="宋体" w:eastAsia="宋体" w:cs="宋体"/>
                <w:bCs w:val="0"/>
                <w:spacing w:val="0"/>
                <w:kern w:val="2"/>
                <w:sz w:val="21"/>
                <w:szCs w:val="21"/>
                <w:highlight w:val="none"/>
                <w:lang w:val="en-US" w:eastAsia="zh-CN"/>
              </w:rPr>
              <w:t xml:space="preserve">. </w:t>
            </w:r>
            <w:r>
              <w:rPr>
                <w:rFonts w:hint="eastAsia" w:ascii="宋体" w:hAnsi="宋体" w:eastAsia="宋体" w:cs="宋体"/>
                <w:bCs w:val="0"/>
                <w:spacing w:val="0"/>
                <w:kern w:val="2"/>
                <w:sz w:val="21"/>
                <w:szCs w:val="21"/>
                <w:highlight w:val="none"/>
              </w:rPr>
              <w:t>20</w:t>
            </w:r>
            <w:r>
              <w:rPr>
                <w:rFonts w:hint="eastAsia" w:ascii="宋体" w:hAnsi="宋体" w:eastAsia="宋体" w:cs="宋体"/>
                <w:bCs w:val="0"/>
                <w:spacing w:val="0"/>
                <w:kern w:val="2"/>
                <w:sz w:val="21"/>
                <w:szCs w:val="21"/>
                <w:highlight w:val="none"/>
                <w:lang w:val="en-US" w:eastAsia="zh-CN"/>
              </w:rPr>
              <w:t>19</w:t>
            </w:r>
            <w:r>
              <w:rPr>
                <w:rFonts w:hint="eastAsia" w:ascii="宋体" w:hAnsi="宋体" w:eastAsia="宋体" w:cs="宋体"/>
                <w:bCs w:val="0"/>
                <w:spacing w:val="0"/>
                <w:kern w:val="2"/>
                <w:sz w:val="21"/>
                <w:szCs w:val="21"/>
                <w:highlight w:val="none"/>
              </w:rPr>
              <w:t>年1月至今</w:t>
            </w:r>
            <w:r>
              <w:rPr>
                <w:rFonts w:hint="eastAsia" w:ascii="宋体" w:hAnsi="宋体" w:eastAsia="宋体" w:cs="宋体"/>
                <w:bCs w:val="0"/>
                <w:spacing w:val="0"/>
                <w:kern w:val="2"/>
                <w:sz w:val="21"/>
                <w:szCs w:val="21"/>
                <w:highlight w:val="none"/>
                <w:lang w:val="en-US" w:eastAsia="zh-CN"/>
              </w:rPr>
              <w:t>（以获奖证书颁发时间为准）每获得一个省部级（含）以上优秀工程咨询成果奖一等奖（仅指社会稳定风险分析报告）得3分；每获得一个省部级（含）以上优秀工程咨询成果奖二等奖（仅指社会稳定风险分析报告）得2分；每获得一个省部级优秀工程咨询成果奖三等奖（仅指社会稳定风险分析报告）得1分</w:t>
            </w:r>
            <w:r>
              <w:rPr>
                <w:rFonts w:hint="eastAsia" w:ascii="宋体" w:hAnsi="宋体" w:eastAsia="宋体" w:cs="宋体"/>
                <w:bCs w:val="0"/>
                <w:spacing w:val="0"/>
                <w:kern w:val="2"/>
                <w:sz w:val="21"/>
                <w:szCs w:val="21"/>
                <w:highlight w:val="none"/>
              </w:rPr>
              <w:t>，</w:t>
            </w:r>
            <w:r>
              <w:rPr>
                <w:rFonts w:hint="eastAsia" w:ascii="宋体" w:hAnsi="宋体" w:eastAsia="宋体" w:cs="宋体"/>
                <w:kern w:val="2"/>
                <w:sz w:val="21"/>
                <w:szCs w:val="21"/>
                <w:highlight w:val="none"/>
              </w:rPr>
              <w:t>本项满分</w:t>
            </w:r>
            <w:r>
              <w:rPr>
                <w:rFonts w:hint="eastAsia" w:ascii="宋体" w:hAnsi="宋体" w:eastAsia="宋体" w:cs="宋体"/>
                <w:bCs w:val="0"/>
                <w:spacing w:val="0"/>
                <w:kern w:val="2"/>
                <w:sz w:val="21"/>
                <w:szCs w:val="21"/>
                <w:highlight w:val="none"/>
                <w:lang w:val="en-US" w:eastAsia="zh-CN"/>
              </w:rPr>
              <w:t>3</w:t>
            </w:r>
            <w:r>
              <w:rPr>
                <w:rFonts w:hint="eastAsia" w:ascii="宋体" w:hAnsi="宋体" w:eastAsia="宋体" w:cs="宋体"/>
                <w:bCs w:val="0"/>
                <w:spacing w:val="0"/>
                <w:kern w:val="2"/>
                <w:sz w:val="21"/>
                <w:szCs w:val="21"/>
                <w:highlight w:val="none"/>
              </w:rPr>
              <w:t>分。</w:t>
            </w:r>
          </w:p>
        </w:tc>
      </w:tr>
      <w:tr w14:paraId="14E4CFFC">
        <w:tblPrEx>
          <w:tblCellMar>
            <w:top w:w="28" w:type="dxa"/>
            <w:left w:w="28" w:type="dxa"/>
            <w:bottom w:w="28" w:type="dxa"/>
            <w:right w:w="28" w:type="dxa"/>
          </w:tblCellMar>
        </w:tblPrEx>
        <w:trPr>
          <w:trHeight w:val="1372"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1296C2C8">
            <w:pPr>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三</w:t>
            </w:r>
          </w:p>
        </w:tc>
        <w:tc>
          <w:tcPr>
            <w:tcW w:w="1469" w:type="dxa"/>
            <w:tcBorders>
              <w:top w:val="single" w:color="000000" w:sz="4" w:space="0"/>
              <w:left w:val="single" w:color="auto" w:sz="4" w:space="0"/>
              <w:bottom w:val="single" w:color="000000" w:sz="4" w:space="0"/>
              <w:right w:val="single" w:color="000000" w:sz="4" w:space="0"/>
            </w:tcBorders>
            <w:vAlign w:val="center"/>
          </w:tcPr>
          <w:p w14:paraId="3CBB1C64">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人员配置</w:t>
            </w:r>
          </w:p>
          <w:p w14:paraId="713D08D5">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0分）</w:t>
            </w:r>
          </w:p>
        </w:tc>
        <w:tc>
          <w:tcPr>
            <w:tcW w:w="7057" w:type="dxa"/>
            <w:tcBorders>
              <w:top w:val="single" w:color="000000" w:sz="4" w:space="0"/>
              <w:left w:val="single" w:color="000000" w:sz="4" w:space="0"/>
              <w:bottom w:val="single" w:color="000000" w:sz="4" w:space="0"/>
              <w:right w:val="single" w:color="000000" w:sz="4" w:space="0"/>
            </w:tcBorders>
            <w:vAlign w:val="center"/>
          </w:tcPr>
          <w:p w14:paraId="0BE2E83C">
            <w:pPr>
              <w:pStyle w:val="32"/>
              <w:numPr>
                <w:ilvl w:val="-1"/>
                <w:numId w:val="0"/>
              </w:numPr>
              <w:spacing w:before="0" w:after="0" w:line="264" w:lineRule="auto"/>
              <w:ind w:firstLine="420" w:firstLineChars="200"/>
              <w:jc w:val="left"/>
              <w:rPr>
                <w:rFonts w:hint="eastAsia" w:ascii="宋体" w:hAnsi="宋体" w:eastAsia="宋体" w:cs="宋体"/>
                <w:bCs w:val="0"/>
                <w:spacing w:val="0"/>
                <w:kern w:val="2"/>
                <w:sz w:val="21"/>
                <w:szCs w:val="21"/>
                <w:highlight w:val="none"/>
                <w:lang w:val="en-US" w:eastAsia="zh-CN"/>
              </w:rPr>
            </w:pPr>
            <w:r>
              <w:rPr>
                <w:rFonts w:hint="eastAsia" w:ascii="宋体" w:hAnsi="宋体" w:eastAsia="宋体" w:cs="宋体"/>
                <w:bCs w:val="0"/>
                <w:spacing w:val="0"/>
                <w:kern w:val="2"/>
                <w:sz w:val="21"/>
                <w:szCs w:val="21"/>
                <w:highlight w:val="none"/>
                <w:lang w:val="en-US" w:eastAsia="zh-CN"/>
              </w:rPr>
              <w:t xml:space="preserve">1. </w:t>
            </w:r>
            <w:r>
              <w:rPr>
                <w:rFonts w:hint="eastAsia" w:ascii="宋体" w:hAnsi="宋体" w:eastAsia="宋体" w:cs="宋体"/>
                <w:bCs w:val="0"/>
                <w:spacing w:val="0"/>
                <w:kern w:val="2"/>
                <w:sz w:val="21"/>
                <w:szCs w:val="21"/>
                <w:highlight w:val="none"/>
              </w:rPr>
              <w:t>拟投入人员</w:t>
            </w:r>
            <w:r>
              <w:rPr>
                <w:rFonts w:hint="eastAsia" w:ascii="宋体" w:hAnsi="宋体" w:eastAsia="宋体" w:cs="宋体"/>
                <w:bCs w:val="0"/>
                <w:spacing w:val="0"/>
                <w:kern w:val="2"/>
                <w:sz w:val="21"/>
                <w:szCs w:val="21"/>
                <w:highlight w:val="none"/>
                <w:lang w:val="en-US" w:eastAsia="zh-CN"/>
              </w:rPr>
              <w:t>同时</w:t>
            </w:r>
            <w:r>
              <w:rPr>
                <w:rFonts w:hint="eastAsia" w:ascii="宋体" w:hAnsi="宋体" w:eastAsia="宋体" w:cs="宋体"/>
                <w:bCs w:val="0"/>
                <w:spacing w:val="0"/>
                <w:kern w:val="2"/>
                <w:sz w:val="21"/>
                <w:szCs w:val="21"/>
                <w:highlight w:val="none"/>
              </w:rPr>
              <w:t>具有高级职称</w:t>
            </w:r>
            <w:r>
              <w:rPr>
                <w:rFonts w:hint="eastAsia" w:ascii="宋体" w:hAnsi="宋体" w:eastAsia="宋体" w:cs="宋体"/>
                <w:bCs w:val="0"/>
                <w:spacing w:val="0"/>
                <w:kern w:val="2"/>
                <w:sz w:val="21"/>
                <w:szCs w:val="21"/>
                <w:highlight w:val="none"/>
                <w:lang w:val="en-US" w:eastAsia="zh-CN"/>
              </w:rPr>
              <w:t>和咨询工程师每人加3分，</w:t>
            </w:r>
            <w:r>
              <w:rPr>
                <w:rFonts w:hint="eastAsia" w:ascii="宋体" w:hAnsi="宋体" w:eastAsia="宋体" w:cs="宋体"/>
                <w:bCs w:val="0"/>
                <w:spacing w:val="0"/>
                <w:kern w:val="2"/>
                <w:sz w:val="21"/>
                <w:szCs w:val="21"/>
                <w:highlight w:val="none"/>
              </w:rPr>
              <w:t>本项满分</w:t>
            </w:r>
            <w:r>
              <w:rPr>
                <w:rFonts w:hint="eastAsia" w:ascii="宋体" w:hAnsi="宋体" w:eastAsia="宋体" w:cs="宋体"/>
                <w:bCs w:val="0"/>
                <w:spacing w:val="0"/>
                <w:kern w:val="2"/>
                <w:sz w:val="21"/>
                <w:szCs w:val="21"/>
                <w:highlight w:val="none"/>
                <w:lang w:val="en-US" w:eastAsia="zh-CN"/>
              </w:rPr>
              <w:t>18</w:t>
            </w:r>
            <w:r>
              <w:rPr>
                <w:rFonts w:hint="eastAsia" w:ascii="宋体" w:hAnsi="宋体" w:eastAsia="宋体" w:cs="宋体"/>
                <w:bCs w:val="0"/>
                <w:spacing w:val="0"/>
                <w:kern w:val="2"/>
                <w:sz w:val="21"/>
                <w:szCs w:val="21"/>
                <w:highlight w:val="none"/>
              </w:rPr>
              <w:t>分。</w:t>
            </w:r>
          </w:p>
          <w:p w14:paraId="6DEDAC10">
            <w:pPr>
              <w:pStyle w:val="32"/>
              <w:numPr>
                <w:ilvl w:val="-1"/>
                <w:numId w:val="0"/>
              </w:numPr>
              <w:spacing w:before="0" w:after="0" w:line="264" w:lineRule="auto"/>
              <w:ind w:firstLine="420" w:firstLineChars="200"/>
              <w:jc w:val="left"/>
              <w:rPr>
                <w:rFonts w:hint="eastAsia" w:ascii="宋体" w:hAnsi="宋体" w:eastAsia="宋体" w:cs="宋体"/>
                <w:bCs w:val="0"/>
                <w:spacing w:val="0"/>
                <w:kern w:val="2"/>
                <w:sz w:val="21"/>
                <w:szCs w:val="21"/>
                <w:highlight w:val="none"/>
                <w:lang w:val="en-US" w:eastAsia="zh-CN"/>
              </w:rPr>
            </w:pPr>
            <w:r>
              <w:rPr>
                <w:rFonts w:hint="eastAsia" w:ascii="宋体" w:hAnsi="宋体" w:eastAsia="宋体" w:cs="宋体"/>
                <w:bCs w:val="0"/>
                <w:spacing w:val="0"/>
                <w:kern w:val="2"/>
                <w:sz w:val="21"/>
                <w:szCs w:val="21"/>
                <w:highlight w:val="none"/>
                <w:lang w:val="en-US" w:eastAsia="zh-CN"/>
              </w:rPr>
              <w:t>2. 以上人员</w:t>
            </w:r>
            <w:r>
              <w:rPr>
                <w:rFonts w:hint="eastAsia" w:ascii="宋体" w:hAnsi="宋体" w:eastAsia="宋体" w:cs="宋体"/>
                <w:bCs w:val="0"/>
                <w:spacing w:val="0"/>
                <w:kern w:val="2"/>
                <w:sz w:val="21"/>
                <w:szCs w:val="21"/>
                <w:highlight w:val="none"/>
              </w:rPr>
              <w:t>201</w:t>
            </w:r>
            <w:r>
              <w:rPr>
                <w:rFonts w:hint="eastAsia" w:ascii="宋体" w:hAnsi="宋体" w:eastAsia="宋体" w:cs="宋体"/>
                <w:bCs w:val="0"/>
                <w:spacing w:val="0"/>
                <w:kern w:val="2"/>
                <w:sz w:val="21"/>
                <w:szCs w:val="21"/>
                <w:highlight w:val="none"/>
                <w:lang w:eastAsia="zh-CN"/>
              </w:rPr>
              <w:t>9</w:t>
            </w:r>
            <w:r>
              <w:rPr>
                <w:rFonts w:hint="eastAsia" w:ascii="宋体" w:hAnsi="宋体" w:eastAsia="宋体" w:cs="宋体"/>
                <w:bCs w:val="0"/>
                <w:spacing w:val="0"/>
                <w:kern w:val="2"/>
                <w:sz w:val="21"/>
                <w:szCs w:val="21"/>
                <w:highlight w:val="none"/>
              </w:rPr>
              <w:t>年1月至今</w:t>
            </w:r>
            <w:r>
              <w:rPr>
                <w:rFonts w:hint="eastAsia" w:ascii="宋体" w:hAnsi="宋体" w:eastAsia="宋体" w:cs="宋体"/>
                <w:bCs w:val="0"/>
                <w:spacing w:val="0"/>
                <w:kern w:val="2"/>
                <w:sz w:val="21"/>
                <w:szCs w:val="21"/>
                <w:highlight w:val="none"/>
                <w:lang w:val="en-US" w:eastAsia="zh-CN"/>
              </w:rPr>
              <w:t>（以获奖证书颁发时间为准）得省部级（含）以上优秀工程咨询成果奖一等奖（仅指社会稳定风险分析报告）每人加1分；</w:t>
            </w:r>
            <w:r>
              <w:rPr>
                <w:rFonts w:hint="eastAsia" w:ascii="宋体" w:hAnsi="宋体" w:eastAsia="宋体" w:cs="宋体"/>
                <w:bCs w:val="0"/>
                <w:spacing w:val="0"/>
                <w:kern w:val="2"/>
                <w:sz w:val="21"/>
                <w:szCs w:val="21"/>
                <w:highlight w:val="none"/>
              </w:rPr>
              <w:t>本项满分</w:t>
            </w:r>
            <w:r>
              <w:rPr>
                <w:rFonts w:hint="eastAsia" w:ascii="宋体" w:hAnsi="宋体" w:eastAsia="宋体" w:cs="宋体"/>
                <w:bCs w:val="0"/>
                <w:spacing w:val="0"/>
                <w:kern w:val="2"/>
                <w:sz w:val="21"/>
                <w:szCs w:val="21"/>
                <w:highlight w:val="none"/>
                <w:lang w:val="en-US" w:eastAsia="zh-CN"/>
              </w:rPr>
              <w:t>5</w:t>
            </w:r>
            <w:r>
              <w:rPr>
                <w:rFonts w:hint="eastAsia" w:ascii="宋体" w:hAnsi="宋体" w:eastAsia="宋体" w:cs="宋体"/>
                <w:bCs w:val="0"/>
                <w:spacing w:val="0"/>
                <w:kern w:val="2"/>
                <w:sz w:val="21"/>
                <w:szCs w:val="21"/>
                <w:highlight w:val="none"/>
              </w:rPr>
              <w:t>分。</w:t>
            </w:r>
          </w:p>
          <w:p w14:paraId="4C88D3B6">
            <w:pPr>
              <w:pStyle w:val="32"/>
              <w:spacing w:before="0" w:after="0" w:line="264" w:lineRule="auto"/>
              <w:ind w:firstLine="420" w:firstLineChars="200"/>
              <w:rPr>
                <w:rFonts w:hint="eastAsia" w:ascii="宋体" w:hAnsi="宋体" w:eastAsia="宋体" w:cs="宋体"/>
                <w:bCs w:val="0"/>
                <w:spacing w:val="0"/>
                <w:kern w:val="2"/>
                <w:sz w:val="21"/>
                <w:szCs w:val="21"/>
                <w:highlight w:val="none"/>
              </w:rPr>
            </w:pPr>
            <w:r>
              <w:rPr>
                <w:rFonts w:hint="eastAsia" w:ascii="宋体" w:hAnsi="宋体" w:eastAsia="宋体" w:cs="宋体"/>
                <w:bCs w:val="0"/>
                <w:spacing w:val="0"/>
                <w:kern w:val="2"/>
                <w:sz w:val="21"/>
                <w:szCs w:val="21"/>
                <w:highlight w:val="none"/>
                <w:lang w:val="en-US" w:eastAsia="zh-CN"/>
              </w:rPr>
              <w:t>3</w:t>
            </w:r>
            <w:r>
              <w:rPr>
                <w:rFonts w:hint="eastAsia" w:ascii="宋体" w:hAnsi="宋体" w:eastAsia="宋体" w:cs="宋体"/>
                <w:bCs w:val="0"/>
                <w:spacing w:val="0"/>
                <w:kern w:val="2"/>
                <w:sz w:val="21"/>
                <w:szCs w:val="21"/>
                <w:highlight w:val="none"/>
              </w:rPr>
              <w:t>.</w:t>
            </w:r>
            <w:r>
              <w:rPr>
                <w:rFonts w:hint="eastAsia" w:ascii="宋体" w:hAnsi="宋体" w:eastAsia="宋体" w:cs="宋体"/>
                <w:bCs w:val="0"/>
                <w:spacing w:val="0"/>
                <w:kern w:val="2"/>
                <w:sz w:val="21"/>
                <w:szCs w:val="21"/>
                <w:highlight w:val="none"/>
                <w:lang w:val="en-US" w:eastAsia="zh-CN"/>
              </w:rPr>
              <w:t xml:space="preserve"> </w:t>
            </w:r>
            <w:r>
              <w:rPr>
                <w:rFonts w:hint="eastAsia" w:ascii="宋体" w:hAnsi="宋体" w:eastAsia="宋体" w:cs="宋体"/>
                <w:bCs w:val="0"/>
                <w:spacing w:val="0"/>
                <w:kern w:val="2"/>
                <w:sz w:val="21"/>
                <w:szCs w:val="21"/>
                <w:highlight w:val="none"/>
              </w:rPr>
              <w:t>拟投入人员具有</w:t>
            </w:r>
            <w:r>
              <w:rPr>
                <w:rFonts w:hint="eastAsia" w:ascii="宋体" w:hAnsi="宋体" w:eastAsia="宋体" w:cs="宋体"/>
                <w:bCs w:val="0"/>
                <w:spacing w:val="0"/>
                <w:kern w:val="2"/>
                <w:sz w:val="21"/>
                <w:szCs w:val="21"/>
                <w:highlight w:val="none"/>
                <w:lang w:val="en-US" w:eastAsia="zh-CN"/>
              </w:rPr>
              <w:t>社会稳定风险评估师证书</w:t>
            </w:r>
            <w:r>
              <w:rPr>
                <w:rFonts w:hint="eastAsia" w:ascii="宋体" w:hAnsi="宋体" w:eastAsia="宋体" w:cs="宋体"/>
                <w:bCs w:val="0"/>
                <w:spacing w:val="0"/>
                <w:kern w:val="2"/>
                <w:sz w:val="21"/>
                <w:szCs w:val="21"/>
                <w:highlight w:val="none"/>
              </w:rPr>
              <w:t>的每人得</w:t>
            </w:r>
            <w:r>
              <w:rPr>
                <w:rFonts w:hint="eastAsia" w:ascii="宋体" w:hAnsi="宋体" w:eastAsia="宋体" w:cs="宋体"/>
                <w:bCs w:val="0"/>
                <w:spacing w:val="0"/>
                <w:kern w:val="2"/>
                <w:sz w:val="21"/>
                <w:szCs w:val="21"/>
                <w:highlight w:val="none"/>
                <w:lang w:val="en-US" w:eastAsia="zh-CN"/>
              </w:rPr>
              <w:t>1</w:t>
            </w:r>
            <w:r>
              <w:rPr>
                <w:rFonts w:hint="eastAsia" w:ascii="宋体" w:hAnsi="宋体" w:eastAsia="宋体" w:cs="宋体"/>
                <w:bCs w:val="0"/>
                <w:spacing w:val="0"/>
                <w:kern w:val="2"/>
                <w:sz w:val="21"/>
                <w:szCs w:val="21"/>
                <w:highlight w:val="none"/>
              </w:rPr>
              <w:t>分，满分</w:t>
            </w:r>
            <w:r>
              <w:rPr>
                <w:rFonts w:hint="eastAsia" w:ascii="宋体" w:hAnsi="宋体" w:eastAsia="宋体" w:cs="宋体"/>
                <w:bCs w:val="0"/>
                <w:spacing w:val="0"/>
                <w:kern w:val="2"/>
                <w:sz w:val="21"/>
                <w:szCs w:val="21"/>
                <w:highlight w:val="none"/>
                <w:lang w:val="en-US" w:eastAsia="zh-CN"/>
              </w:rPr>
              <w:t>7</w:t>
            </w:r>
            <w:r>
              <w:rPr>
                <w:rFonts w:hint="eastAsia" w:ascii="宋体" w:hAnsi="宋体" w:eastAsia="宋体" w:cs="宋体"/>
                <w:bCs w:val="0"/>
                <w:spacing w:val="0"/>
                <w:kern w:val="2"/>
                <w:sz w:val="21"/>
                <w:szCs w:val="21"/>
                <w:highlight w:val="none"/>
              </w:rPr>
              <w:t>分。</w:t>
            </w:r>
          </w:p>
          <w:p w14:paraId="4D88D1C8">
            <w:pPr>
              <w:pStyle w:val="32"/>
              <w:spacing w:before="0" w:after="0" w:line="264" w:lineRule="auto"/>
              <w:ind w:firstLine="420" w:firstLineChars="200"/>
              <w:rPr>
                <w:rFonts w:hint="eastAsia" w:ascii="宋体" w:hAnsi="宋体" w:eastAsia="宋体" w:cs="宋体"/>
                <w:sz w:val="21"/>
                <w:szCs w:val="21"/>
                <w:highlight w:val="none"/>
              </w:rPr>
            </w:pPr>
            <w:r>
              <w:rPr>
                <w:rFonts w:hint="eastAsia" w:ascii="宋体" w:hAnsi="宋体" w:eastAsia="宋体" w:cs="宋体"/>
                <w:bCs w:val="0"/>
                <w:spacing w:val="0"/>
                <w:kern w:val="2"/>
                <w:sz w:val="21"/>
                <w:szCs w:val="21"/>
                <w:highlight w:val="none"/>
              </w:rPr>
              <w:t>注：提供职称证书</w:t>
            </w:r>
            <w:r>
              <w:rPr>
                <w:rFonts w:hint="eastAsia" w:ascii="宋体" w:hAnsi="宋体" w:eastAsia="宋体" w:cs="宋体"/>
                <w:bCs w:val="0"/>
                <w:spacing w:val="0"/>
                <w:kern w:val="2"/>
                <w:sz w:val="21"/>
                <w:szCs w:val="21"/>
                <w:highlight w:val="none"/>
                <w:lang w:eastAsia="zh-CN"/>
              </w:rPr>
              <w:t>、注册资格证书</w:t>
            </w:r>
            <w:r>
              <w:rPr>
                <w:rFonts w:hint="eastAsia" w:ascii="宋体" w:hAnsi="宋体" w:eastAsia="宋体" w:cs="宋体"/>
                <w:bCs w:val="0"/>
                <w:spacing w:val="0"/>
                <w:kern w:val="2"/>
                <w:sz w:val="21"/>
                <w:szCs w:val="21"/>
                <w:highlight w:val="none"/>
              </w:rPr>
              <w:t>复印件作为评审依据，证明材料均需加盖公章</w:t>
            </w:r>
            <w:r>
              <w:rPr>
                <w:rFonts w:hint="eastAsia" w:ascii="宋体" w:hAnsi="宋体" w:eastAsia="宋体" w:cs="宋体"/>
                <w:kern w:val="2"/>
                <w:sz w:val="21"/>
                <w:szCs w:val="21"/>
                <w:highlight w:val="none"/>
              </w:rPr>
              <w:t>，未按要求提供相关证明材料的不得分</w:t>
            </w:r>
            <w:r>
              <w:rPr>
                <w:rFonts w:hint="eastAsia" w:ascii="宋体" w:hAnsi="宋体" w:eastAsia="宋体" w:cs="宋体"/>
                <w:bCs w:val="0"/>
                <w:spacing w:val="0"/>
                <w:kern w:val="2"/>
                <w:sz w:val="21"/>
                <w:szCs w:val="21"/>
                <w:highlight w:val="none"/>
              </w:rPr>
              <w:t>。</w:t>
            </w:r>
          </w:p>
        </w:tc>
      </w:tr>
      <w:tr w14:paraId="7AE94F1D">
        <w:tblPrEx>
          <w:tblCellMar>
            <w:top w:w="28" w:type="dxa"/>
            <w:left w:w="28" w:type="dxa"/>
            <w:bottom w:w="28" w:type="dxa"/>
            <w:right w:w="28" w:type="dxa"/>
          </w:tblCellMar>
        </w:tblPrEx>
        <w:trPr>
          <w:trHeight w:val="2893"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290BA05C">
            <w:pPr>
              <w:spacing w:line="264" w:lineRule="auto"/>
              <w:jc w:val="center"/>
              <w:rPr>
                <w:rFonts w:hint="eastAsia" w:ascii="宋体" w:hAnsi="宋体" w:eastAsia="宋体" w:cs="宋体"/>
                <w:szCs w:val="21"/>
                <w:highlight w:val="none"/>
              </w:rPr>
            </w:pPr>
            <w:r>
              <w:rPr>
                <w:rFonts w:hint="eastAsia" w:ascii="宋体" w:hAnsi="宋体" w:eastAsia="宋体" w:cs="宋体"/>
                <w:szCs w:val="21"/>
                <w:highlight w:val="none"/>
              </w:rPr>
              <w:t>四</w:t>
            </w:r>
          </w:p>
        </w:tc>
        <w:tc>
          <w:tcPr>
            <w:tcW w:w="1469" w:type="dxa"/>
            <w:tcBorders>
              <w:top w:val="single" w:color="000000" w:sz="4" w:space="0"/>
              <w:left w:val="single" w:color="auto" w:sz="4" w:space="0"/>
              <w:bottom w:val="single" w:color="000000" w:sz="4" w:space="0"/>
              <w:right w:val="single" w:color="000000" w:sz="4" w:space="0"/>
            </w:tcBorders>
            <w:vAlign w:val="center"/>
          </w:tcPr>
          <w:p w14:paraId="3E13AA89">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lang w:eastAsia="zh-CN"/>
              </w:rPr>
              <w:t>服务方案</w:t>
            </w:r>
          </w:p>
          <w:p w14:paraId="13821DB1">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0分）</w:t>
            </w:r>
          </w:p>
        </w:tc>
        <w:tc>
          <w:tcPr>
            <w:tcW w:w="7057" w:type="dxa"/>
            <w:tcBorders>
              <w:top w:val="single" w:color="000000" w:sz="4" w:space="0"/>
              <w:left w:val="single" w:color="000000" w:sz="4" w:space="0"/>
              <w:bottom w:val="single" w:color="000000" w:sz="4" w:space="0"/>
              <w:right w:val="single" w:color="000000" w:sz="4" w:space="0"/>
            </w:tcBorders>
            <w:vAlign w:val="center"/>
          </w:tcPr>
          <w:p w14:paraId="01B9D391">
            <w:pPr>
              <w:widowControl/>
              <w:spacing w:line="264" w:lineRule="auto"/>
              <w:ind w:firstLine="422" w:firstLineChars="200"/>
              <w:textAlignment w:val="center"/>
              <w:rPr>
                <w:rFonts w:hint="eastAsia" w:ascii="宋体" w:hAnsi="宋体" w:eastAsia="宋体" w:cs="宋体"/>
                <w:b w:val="0"/>
                <w:szCs w:val="21"/>
                <w:highlight w:val="none"/>
              </w:rPr>
            </w:pPr>
            <w:r>
              <w:rPr>
                <w:rFonts w:hint="eastAsia" w:ascii="宋体" w:hAnsi="宋体" w:eastAsia="宋体" w:cs="宋体"/>
                <w:b/>
                <w:szCs w:val="21"/>
                <w:highlight w:val="none"/>
              </w:rPr>
              <w:t>优：</w:t>
            </w:r>
            <w:r>
              <w:rPr>
                <w:rFonts w:hint="eastAsia" w:ascii="宋体" w:hAnsi="宋体" w:eastAsia="宋体" w:cs="宋体"/>
                <w:szCs w:val="21"/>
                <w:highlight w:val="none"/>
              </w:rPr>
              <w:t>工作思路清晰，内容详实，对社会稳定风险重点要点分析准确到位，提出的安全措施可行、有针对性，评估结论客观准确，能很好地满足采购需求</w:t>
            </w:r>
            <w:r>
              <w:rPr>
                <w:rFonts w:hint="eastAsia" w:ascii="宋体" w:hAnsi="宋体" w:eastAsia="宋体" w:cs="宋体"/>
                <w:bCs w:val="0"/>
                <w:szCs w:val="21"/>
                <w:highlight w:val="none"/>
              </w:rPr>
              <w:t>（</w:t>
            </w:r>
            <w:r>
              <w:rPr>
                <w:rFonts w:hint="eastAsia" w:ascii="宋体" w:hAnsi="宋体" w:eastAsia="宋体" w:cs="宋体"/>
                <w:bCs w:val="0"/>
                <w:szCs w:val="21"/>
                <w:highlight w:val="none"/>
                <w:lang w:val="en-US" w:eastAsia="zh-CN"/>
              </w:rPr>
              <w:t>25.1</w:t>
            </w:r>
            <w:r>
              <w:rPr>
                <w:rFonts w:hint="eastAsia" w:ascii="宋体" w:hAnsi="宋体" w:eastAsia="宋体" w:cs="宋体"/>
                <w:bCs w:val="0"/>
                <w:szCs w:val="21"/>
                <w:highlight w:val="none"/>
              </w:rPr>
              <w:t>-</w:t>
            </w:r>
            <w:r>
              <w:rPr>
                <w:rFonts w:hint="eastAsia" w:ascii="宋体" w:hAnsi="宋体" w:eastAsia="宋体" w:cs="宋体"/>
                <w:bCs w:val="0"/>
                <w:szCs w:val="21"/>
                <w:highlight w:val="none"/>
                <w:lang w:val="en-US" w:eastAsia="zh-CN"/>
              </w:rPr>
              <w:t>3</w:t>
            </w:r>
            <w:r>
              <w:rPr>
                <w:rFonts w:hint="eastAsia" w:ascii="宋体" w:hAnsi="宋体" w:eastAsia="宋体" w:cs="宋体"/>
                <w:bCs w:val="0"/>
                <w:szCs w:val="21"/>
                <w:highlight w:val="none"/>
              </w:rPr>
              <w:t>0分）；</w:t>
            </w:r>
          </w:p>
          <w:p w14:paraId="50F600FF">
            <w:pPr>
              <w:widowControl/>
              <w:spacing w:line="264" w:lineRule="auto"/>
              <w:ind w:firstLine="422" w:firstLineChars="200"/>
              <w:textAlignment w:val="center"/>
              <w:rPr>
                <w:rFonts w:hint="eastAsia" w:ascii="宋体" w:hAnsi="宋体" w:eastAsia="宋体" w:cs="宋体"/>
                <w:b w:val="0"/>
                <w:szCs w:val="21"/>
                <w:highlight w:val="none"/>
              </w:rPr>
            </w:pPr>
            <w:r>
              <w:rPr>
                <w:rFonts w:hint="eastAsia" w:ascii="宋体" w:hAnsi="宋体" w:eastAsia="宋体" w:cs="宋体"/>
                <w:b/>
                <w:szCs w:val="21"/>
                <w:highlight w:val="none"/>
              </w:rPr>
              <w:t>良：</w:t>
            </w:r>
            <w:r>
              <w:rPr>
                <w:rFonts w:hint="eastAsia" w:ascii="宋体" w:hAnsi="宋体" w:eastAsia="宋体" w:cs="宋体"/>
                <w:szCs w:val="21"/>
                <w:highlight w:val="none"/>
              </w:rPr>
              <w:t>工作思路较清晰，内容较详实，对社会稳定风险重点要点分析比较准确到位，提出的安全措施可行、有针对性，评估结论客观准确，满足采购需求</w:t>
            </w:r>
            <w:r>
              <w:rPr>
                <w:rFonts w:hint="eastAsia" w:ascii="宋体" w:hAnsi="宋体" w:eastAsia="宋体" w:cs="宋体"/>
                <w:bCs w:val="0"/>
                <w:szCs w:val="21"/>
                <w:highlight w:val="none"/>
              </w:rPr>
              <w:t>（</w:t>
            </w:r>
            <w:r>
              <w:rPr>
                <w:rFonts w:hint="eastAsia" w:ascii="宋体" w:hAnsi="宋体" w:eastAsia="宋体" w:cs="宋体"/>
                <w:bCs w:val="0"/>
                <w:szCs w:val="21"/>
                <w:highlight w:val="none"/>
                <w:lang w:val="en-US" w:eastAsia="zh-CN"/>
              </w:rPr>
              <w:t>20.1</w:t>
            </w:r>
            <w:r>
              <w:rPr>
                <w:rFonts w:hint="eastAsia" w:ascii="宋体" w:hAnsi="宋体" w:eastAsia="宋体" w:cs="宋体"/>
                <w:bCs w:val="0"/>
                <w:szCs w:val="21"/>
                <w:highlight w:val="none"/>
              </w:rPr>
              <w:t>-</w:t>
            </w:r>
            <w:r>
              <w:rPr>
                <w:rFonts w:hint="eastAsia" w:ascii="宋体" w:hAnsi="宋体" w:eastAsia="宋体" w:cs="宋体"/>
                <w:bCs w:val="0"/>
                <w:szCs w:val="21"/>
                <w:highlight w:val="none"/>
                <w:lang w:val="en-US" w:eastAsia="zh-CN"/>
              </w:rPr>
              <w:t>25</w:t>
            </w:r>
            <w:r>
              <w:rPr>
                <w:rFonts w:hint="eastAsia" w:ascii="宋体" w:hAnsi="宋体" w:eastAsia="宋体" w:cs="宋体"/>
                <w:bCs w:val="0"/>
                <w:szCs w:val="21"/>
                <w:highlight w:val="none"/>
              </w:rPr>
              <w:t>分）；</w:t>
            </w:r>
          </w:p>
          <w:p w14:paraId="08910DA2">
            <w:pPr>
              <w:widowControl/>
              <w:spacing w:line="264" w:lineRule="auto"/>
              <w:ind w:firstLine="422" w:firstLineChars="200"/>
              <w:textAlignment w:val="center"/>
              <w:rPr>
                <w:rFonts w:hint="eastAsia" w:ascii="宋体" w:hAnsi="宋体" w:eastAsia="宋体" w:cs="宋体"/>
                <w:b w:val="0"/>
                <w:szCs w:val="21"/>
                <w:highlight w:val="none"/>
              </w:rPr>
            </w:pPr>
            <w:r>
              <w:rPr>
                <w:rFonts w:hint="eastAsia" w:ascii="宋体" w:hAnsi="宋体" w:eastAsia="宋体" w:cs="宋体"/>
                <w:b/>
                <w:szCs w:val="21"/>
                <w:highlight w:val="none"/>
              </w:rPr>
              <w:t>中：</w:t>
            </w:r>
            <w:r>
              <w:rPr>
                <w:rFonts w:hint="eastAsia" w:ascii="宋体" w:hAnsi="宋体" w:eastAsia="宋体" w:cs="宋体"/>
                <w:szCs w:val="21"/>
                <w:highlight w:val="none"/>
              </w:rPr>
              <w:t>工作思路基本清晰，内容基本详实，对社会稳定风险重点要点分析基本准确到位，提出的安全措施可行，评估结论客观基本准确，基本满足采购需求</w:t>
            </w:r>
            <w:r>
              <w:rPr>
                <w:rFonts w:hint="eastAsia" w:ascii="宋体" w:hAnsi="宋体" w:eastAsia="宋体" w:cs="宋体"/>
                <w:bCs w:val="0"/>
                <w:szCs w:val="21"/>
                <w:highlight w:val="none"/>
              </w:rPr>
              <w:t>（</w:t>
            </w:r>
            <w:r>
              <w:rPr>
                <w:rFonts w:hint="eastAsia" w:ascii="宋体" w:hAnsi="宋体" w:eastAsia="宋体" w:cs="宋体"/>
                <w:bCs w:val="0"/>
                <w:szCs w:val="21"/>
                <w:highlight w:val="none"/>
                <w:lang w:val="en-US" w:eastAsia="zh-CN"/>
              </w:rPr>
              <w:t>15</w:t>
            </w:r>
            <w:r>
              <w:rPr>
                <w:rFonts w:hint="eastAsia" w:ascii="宋体" w:hAnsi="宋体" w:eastAsia="宋体" w:cs="宋体"/>
                <w:bCs w:val="0"/>
                <w:szCs w:val="21"/>
                <w:highlight w:val="none"/>
              </w:rPr>
              <w:t>.1-</w:t>
            </w:r>
            <w:r>
              <w:rPr>
                <w:rFonts w:hint="eastAsia" w:ascii="宋体" w:hAnsi="宋体" w:eastAsia="宋体" w:cs="宋体"/>
                <w:bCs w:val="0"/>
                <w:szCs w:val="21"/>
                <w:highlight w:val="none"/>
                <w:lang w:val="en-US" w:eastAsia="zh-CN"/>
              </w:rPr>
              <w:t>20</w:t>
            </w:r>
            <w:r>
              <w:rPr>
                <w:rFonts w:hint="eastAsia" w:ascii="宋体" w:hAnsi="宋体" w:eastAsia="宋体" w:cs="宋体"/>
                <w:bCs w:val="0"/>
                <w:szCs w:val="21"/>
                <w:highlight w:val="none"/>
              </w:rPr>
              <w:t>分）；</w:t>
            </w:r>
          </w:p>
          <w:p w14:paraId="3FC4C5E9">
            <w:pPr>
              <w:widowControl/>
              <w:spacing w:line="264" w:lineRule="auto"/>
              <w:ind w:firstLine="422" w:firstLineChars="200"/>
              <w:textAlignment w:val="center"/>
              <w:rPr>
                <w:rFonts w:hint="eastAsia" w:ascii="宋体" w:hAnsi="宋体" w:eastAsia="宋体" w:cs="宋体"/>
                <w:b/>
                <w:szCs w:val="21"/>
                <w:highlight w:val="none"/>
              </w:rPr>
            </w:pPr>
            <w:r>
              <w:rPr>
                <w:rFonts w:hint="eastAsia" w:ascii="宋体" w:hAnsi="宋体" w:eastAsia="宋体" w:cs="宋体"/>
                <w:b/>
                <w:szCs w:val="21"/>
                <w:highlight w:val="none"/>
              </w:rPr>
              <w:t>差：服务方案不能满足采购需求（0-</w:t>
            </w:r>
            <w:r>
              <w:rPr>
                <w:rFonts w:hint="eastAsia" w:ascii="宋体" w:hAnsi="宋体" w:eastAsia="宋体" w:cs="宋体"/>
                <w:b/>
                <w:szCs w:val="21"/>
                <w:highlight w:val="none"/>
                <w:lang w:val="en-US" w:eastAsia="zh-CN"/>
              </w:rPr>
              <w:t>15</w:t>
            </w:r>
            <w:r>
              <w:rPr>
                <w:rFonts w:hint="eastAsia" w:ascii="宋体" w:hAnsi="宋体" w:eastAsia="宋体" w:cs="宋体"/>
                <w:b/>
                <w:szCs w:val="21"/>
                <w:highlight w:val="none"/>
              </w:rPr>
              <w:t>分）。</w:t>
            </w:r>
          </w:p>
        </w:tc>
      </w:tr>
      <w:tr w14:paraId="346505A9">
        <w:tblPrEx>
          <w:tblCellMar>
            <w:top w:w="28" w:type="dxa"/>
            <w:left w:w="28" w:type="dxa"/>
            <w:bottom w:w="28" w:type="dxa"/>
            <w:right w:w="28" w:type="dxa"/>
          </w:tblCellMar>
        </w:tblPrEx>
        <w:trPr>
          <w:trHeight w:val="589"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638CF2B6">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五</w:t>
            </w:r>
          </w:p>
        </w:tc>
        <w:tc>
          <w:tcPr>
            <w:tcW w:w="8526" w:type="dxa"/>
            <w:gridSpan w:val="2"/>
            <w:tcBorders>
              <w:top w:val="single" w:color="000000" w:sz="4" w:space="0"/>
              <w:left w:val="single" w:color="auto" w:sz="4" w:space="0"/>
              <w:bottom w:val="single" w:color="000000" w:sz="4" w:space="0"/>
              <w:right w:val="single" w:color="000000" w:sz="4" w:space="0"/>
            </w:tcBorders>
            <w:vAlign w:val="center"/>
          </w:tcPr>
          <w:p w14:paraId="31480E9A">
            <w:pPr>
              <w:widowControl/>
              <w:spacing w:line="264" w:lineRule="auto"/>
              <w:textAlignment w:val="center"/>
              <w:rPr>
                <w:rFonts w:hint="eastAsia" w:ascii="宋体" w:hAnsi="宋体" w:eastAsia="宋体" w:cs="宋体"/>
                <w:szCs w:val="21"/>
                <w:highlight w:val="none"/>
              </w:rPr>
            </w:pPr>
            <w:r>
              <w:rPr>
                <w:rFonts w:hint="eastAsia" w:ascii="宋体" w:hAnsi="宋体" w:eastAsia="宋体" w:cs="宋体"/>
                <w:szCs w:val="21"/>
                <w:highlight w:val="none"/>
              </w:rPr>
              <w:t>总分=价格分+业绩分+人员配置分+服务方案分</w:t>
            </w:r>
          </w:p>
        </w:tc>
      </w:tr>
    </w:tbl>
    <w:p w14:paraId="2296E476">
      <w:pPr>
        <w:spacing w:line="360" w:lineRule="auto"/>
        <w:ind w:firstLine="420" w:firstLineChars="200"/>
        <w:rPr>
          <w:rFonts w:hint="eastAsia" w:ascii="宋体" w:hAnsi="宋体"/>
          <w:bCs/>
          <w:szCs w:val="21"/>
          <w:highlight w:val="none"/>
        </w:rPr>
      </w:pPr>
    </w:p>
    <w:p w14:paraId="11C741F6">
      <w:pPr>
        <w:rPr>
          <w:highlight w:val="none"/>
        </w:rPr>
      </w:pPr>
      <w:r>
        <w:rPr>
          <w:rFonts w:hint="eastAsia"/>
          <w:highlight w:val="none"/>
        </w:rPr>
        <w:br w:type="page"/>
      </w:r>
    </w:p>
    <w:p w14:paraId="243A2B99">
      <w:pPr>
        <w:pStyle w:val="10"/>
        <w:rPr>
          <w:highlight w:val="none"/>
        </w:rPr>
      </w:pPr>
    </w:p>
    <w:p w14:paraId="66A74D05">
      <w:pPr>
        <w:rPr>
          <w:highlight w:val="none"/>
        </w:rPr>
      </w:pPr>
    </w:p>
    <w:p w14:paraId="3B429AC0">
      <w:pPr>
        <w:pStyle w:val="2"/>
        <w:spacing w:before="0" w:after="0" w:line="579" w:lineRule="auto"/>
        <w:jc w:val="center"/>
        <w:rPr>
          <w:sz w:val="28"/>
          <w:szCs w:val="28"/>
          <w:highlight w:val="none"/>
        </w:rPr>
      </w:pPr>
      <w:bookmarkStart w:id="47" w:name="_Toc5116"/>
      <w:bookmarkStart w:id="48" w:name="_Toc31993"/>
      <w:bookmarkStart w:id="49" w:name="_Toc29925"/>
      <w:bookmarkStart w:id="50" w:name="_Toc7276"/>
      <w:bookmarkStart w:id="51" w:name="_Toc15131"/>
      <w:r>
        <w:rPr>
          <w:rFonts w:hint="eastAsia"/>
          <w:sz w:val="28"/>
          <w:szCs w:val="28"/>
          <w:highlight w:val="none"/>
        </w:rPr>
        <w:t>第五章 响应文件格式</w:t>
      </w:r>
      <w:bookmarkEnd w:id="47"/>
      <w:bookmarkEnd w:id="48"/>
      <w:bookmarkEnd w:id="49"/>
      <w:bookmarkEnd w:id="50"/>
      <w:bookmarkEnd w:id="51"/>
    </w:p>
    <w:p w14:paraId="221E7559">
      <w:pPr>
        <w:spacing w:line="240" w:lineRule="atLeast"/>
        <w:rPr>
          <w:rFonts w:hint="eastAsia" w:ascii="仿宋_GB2312" w:hAnsi="仿宋_GB2312" w:eastAsia="仿宋_GB2312" w:cs="仿宋_GB2312"/>
          <w:bCs/>
          <w:sz w:val="32"/>
          <w:szCs w:val="32"/>
          <w:highlight w:val="none"/>
        </w:rPr>
      </w:pPr>
    </w:p>
    <w:p w14:paraId="0588A915">
      <w:pPr>
        <w:snapToGrid w:val="0"/>
        <w:spacing w:before="120" w:beforeLines="50" w:after="50" w:line="360" w:lineRule="auto"/>
        <w:jc w:val="left"/>
        <w:rPr>
          <w:rFonts w:hint="eastAsia" w:ascii="宋体" w:hAnsi="宋体"/>
          <w:b/>
          <w:sz w:val="24"/>
          <w:highlight w:val="none"/>
        </w:rPr>
      </w:pPr>
      <w:bookmarkStart w:id="52" w:name="_Toc35611438"/>
      <w:bookmarkStart w:id="53" w:name="_Toc71365925"/>
      <w:bookmarkStart w:id="54" w:name="_Toc31723070"/>
      <w:bookmarkStart w:id="55" w:name="_Toc35611516"/>
      <w:bookmarkStart w:id="56" w:name="_Toc44229899"/>
      <w:bookmarkStart w:id="57" w:name="_Toc31728084"/>
      <w:r>
        <w:rPr>
          <w:b/>
          <w:sz w:val="32"/>
          <w:szCs w:val="32"/>
          <w:highlight w:val="none"/>
        </w:rPr>
        <w:br w:type="page"/>
      </w:r>
      <w:bookmarkEnd w:id="52"/>
      <w:bookmarkEnd w:id="53"/>
      <w:bookmarkEnd w:id="54"/>
      <w:bookmarkEnd w:id="55"/>
      <w:bookmarkEnd w:id="56"/>
      <w:bookmarkEnd w:id="57"/>
    </w:p>
    <w:p w14:paraId="66CB449F">
      <w:pPr>
        <w:snapToGrid w:val="0"/>
        <w:spacing w:before="120" w:beforeLines="50" w:after="50"/>
        <w:rPr>
          <w:rFonts w:hint="eastAsia" w:ascii="宋体" w:hAnsi="宋体"/>
          <w:bCs/>
          <w:sz w:val="32"/>
          <w:szCs w:val="20"/>
          <w:highlight w:val="none"/>
        </w:rPr>
      </w:pPr>
      <w:r>
        <w:rPr>
          <w:rFonts w:hint="eastAsia" w:ascii="宋体" w:hAnsi="宋体"/>
          <w:sz w:val="24"/>
          <w:highlight w:val="none"/>
        </w:rPr>
        <w:t xml:space="preserve">                                                    </w:t>
      </w:r>
    </w:p>
    <w:p w14:paraId="1F14783B">
      <w:pPr>
        <w:snapToGrid w:val="0"/>
        <w:spacing w:before="120" w:beforeLines="50" w:after="50"/>
        <w:rPr>
          <w:rFonts w:hint="eastAsia" w:ascii="宋体" w:hAnsi="宋体"/>
          <w:sz w:val="24"/>
          <w:szCs w:val="20"/>
          <w:highlight w:val="none"/>
        </w:rPr>
      </w:pPr>
    </w:p>
    <w:p w14:paraId="33DACBC5">
      <w:pPr>
        <w:snapToGrid w:val="0"/>
        <w:spacing w:before="120" w:beforeLines="50" w:after="50"/>
        <w:jc w:val="center"/>
        <w:rPr>
          <w:rFonts w:hint="eastAsia" w:ascii="宋体" w:hAnsi="宋体" w:eastAsia="宋体" w:cs="宋体"/>
          <w:sz w:val="32"/>
          <w:szCs w:val="32"/>
          <w:highlight w:val="none"/>
          <w:lang w:eastAsia="zh-CN"/>
        </w:rPr>
      </w:pPr>
      <w:r>
        <w:rPr>
          <w:rFonts w:hint="eastAsia" w:ascii="宋体" w:hAnsi="宋体" w:cs="宋体"/>
          <w:sz w:val="32"/>
          <w:szCs w:val="32"/>
          <w:highlight w:val="none"/>
          <w:lang w:eastAsia="zh-CN"/>
        </w:rPr>
        <w:t>桂江（莲花大桥至桂江河口）航道扩建工程社会稳定风险分析及评估服务采购项目</w:t>
      </w:r>
    </w:p>
    <w:p w14:paraId="684C2188">
      <w:pPr>
        <w:snapToGrid w:val="0"/>
        <w:spacing w:before="120" w:beforeLines="50" w:after="50"/>
        <w:jc w:val="center"/>
        <w:rPr>
          <w:rFonts w:hint="eastAsia" w:ascii="宋体" w:hAnsi="宋体" w:cs="宋体"/>
          <w:bCs/>
          <w:sz w:val="32"/>
          <w:szCs w:val="32"/>
          <w:highlight w:val="none"/>
        </w:rPr>
      </w:pPr>
    </w:p>
    <w:p w14:paraId="6BC810EA">
      <w:pPr>
        <w:snapToGrid w:val="0"/>
        <w:spacing w:before="120" w:beforeLines="50" w:after="50"/>
        <w:jc w:val="center"/>
        <w:rPr>
          <w:rFonts w:hint="eastAsia" w:ascii="黑体" w:hAnsi="黑体" w:eastAsia="黑体" w:cs="黑体"/>
          <w:bCs/>
          <w:sz w:val="84"/>
          <w:szCs w:val="84"/>
          <w:highlight w:val="none"/>
        </w:rPr>
      </w:pPr>
      <w:r>
        <w:rPr>
          <w:rFonts w:hint="eastAsia" w:ascii="黑体" w:hAnsi="黑体" w:eastAsia="黑体" w:cs="黑体"/>
          <w:bCs/>
          <w:sz w:val="84"/>
          <w:szCs w:val="84"/>
          <w:highlight w:val="none"/>
        </w:rPr>
        <w:t>响 应 文 件</w:t>
      </w:r>
    </w:p>
    <w:p w14:paraId="753DE4BB">
      <w:pPr>
        <w:snapToGrid w:val="0"/>
        <w:spacing w:before="120" w:beforeLines="50" w:after="50"/>
        <w:jc w:val="center"/>
        <w:rPr>
          <w:rFonts w:hint="eastAsia" w:ascii="方正小标宋简体" w:hAnsi="方正小标宋简体" w:eastAsia="方正小标宋简体" w:cs="方正小标宋简体"/>
          <w:bCs/>
          <w:sz w:val="44"/>
          <w:szCs w:val="44"/>
          <w:highlight w:val="none"/>
        </w:rPr>
      </w:pPr>
    </w:p>
    <w:p w14:paraId="627CC05C">
      <w:pPr>
        <w:snapToGrid w:val="0"/>
        <w:spacing w:before="120" w:beforeLines="50" w:after="50"/>
        <w:jc w:val="center"/>
        <w:rPr>
          <w:rFonts w:hint="eastAsia" w:ascii="方正小标宋简体" w:hAnsi="方正小标宋简体" w:eastAsia="方正小标宋简体" w:cs="方正小标宋简体"/>
          <w:bCs/>
          <w:sz w:val="32"/>
          <w:szCs w:val="32"/>
          <w:highlight w:val="none"/>
        </w:rPr>
      </w:pPr>
    </w:p>
    <w:p w14:paraId="66EC6EF3">
      <w:pPr>
        <w:snapToGrid w:val="0"/>
        <w:spacing w:before="120" w:beforeLines="50" w:after="50"/>
        <w:rPr>
          <w:rFonts w:hint="eastAsia" w:ascii="宋体" w:hAnsi="宋体"/>
          <w:bCs/>
          <w:sz w:val="24"/>
          <w:szCs w:val="20"/>
          <w:highlight w:val="none"/>
        </w:rPr>
      </w:pPr>
    </w:p>
    <w:p w14:paraId="17693ED7">
      <w:pPr>
        <w:snapToGrid w:val="0"/>
        <w:spacing w:before="120" w:beforeLines="50" w:after="50"/>
        <w:rPr>
          <w:rFonts w:hint="eastAsia" w:ascii="宋体" w:hAnsi="宋体"/>
          <w:bCs/>
          <w:sz w:val="24"/>
          <w:szCs w:val="20"/>
          <w:highlight w:val="none"/>
        </w:rPr>
      </w:pPr>
    </w:p>
    <w:p w14:paraId="3B9C7A6C">
      <w:pPr>
        <w:snapToGrid w:val="0"/>
        <w:spacing w:before="120" w:beforeLines="50" w:after="50"/>
        <w:rPr>
          <w:rFonts w:hint="eastAsia" w:ascii="宋体" w:hAnsi="宋体"/>
          <w:bCs/>
          <w:sz w:val="24"/>
          <w:szCs w:val="20"/>
          <w:highlight w:val="none"/>
        </w:rPr>
      </w:pPr>
    </w:p>
    <w:p w14:paraId="7D116389">
      <w:pPr>
        <w:snapToGrid w:val="0"/>
        <w:spacing w:before="120" w:beforeLines="50" w:after="50"/>
        <w:ind w:firstLine="640" w:firstLineChars="200"/>
        <w:rPr>
          <w:rFonts w:hint="eastAsia" w:ascii="宋体" w:hAnsi="宋体" w:cs="仿宋_GB2312"/>
          <w:bCs/>
          <w:sz w:val="32"/>
          <w:szCs w:val="32"/>
          <w:highlight w:val="none"/>
        </w:rPr>
      </w:pPr>
    </w:p>
    <w:p w14:paraId="1F248AF6">
      <w:pPr>
        <w:snapToGrid w:val="0"/>
        <w:spacing w:before="120" w:beforeLines="50" w:after="50"/>
        <w:ind w:firstLine="720" w:firstLineChars="225"/>
        <w:rPr>
          <w:rFonts w:hint="eastAsia" w:ascii="宋体" w:hAnsi="宋体" w:cs="仿宋_GB2312"/>
          <w:bCs/>
          <w:sz w:val="32"/>
          <w:szCs w:val="32"/>
          <w:highlight w:val="none"/>
        </w:rPr>
      </w:pPr>
    </w:p>
    <w:p w14:paraId="57F3D383">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供应商名称：</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（盖单位公章）</w:t>
      </w:r>
    </w:p>
    <w:p w14:paraId="400621C1">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法定代表人或其委托代理人：</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（签字）</w:t>
      </w:r>
    </w:p>
    <w:p w14:paraId="4649C8CC">
      <w:pPr>
        <w:snapToGrid w:val="0"/>
        <w:spacing w:before="120" w:beforeLines="50" w:after="50"/>
        <w:ind w:firstLine="720" w:firstLineChars="225"/>
        <w:rPr>
          <w:rFonts w:hint="eastAsia" w:ascii="宋体" w:hAnsi="宋体" w:cs="仿宋_GB2312"/>
          <w:bCs/>
          <w:sz w:val="32"/>
          <w:szCs w:val="32"/>
          <w:highlight w:val="none"/>
        </w:rPr>
      </w:pPr>
    </w:p>
    <w:p w14:paraId="17A9123A">
      <w:pPr>
        <w:pStyle w:val="5"/>
        <w:snapToGrid w:val="0"/>
        <w:spacing w:before="50" w:after="50"/>
        <w:ind w:firstLine="720" w:firstLineChars="225"/>
        <w:rPr>
          <w:rFonts w:hint="eastAsia" w:ascii="宋体" w:hAnsi="宋体" w:cs="仿宋_GB2312"/>
          <w:bCs/>
          <w:sz w:val="32"/>
          <w:szCs w:val="32"/>
          <w:highlight w:val="none"/>
        </w:rPr>
      </w:pPr>
    </w:p>
    <w:p w14:paraId="4C2D05EC">
      <w:pPr>
        <w:pStyle w:val="5"/>
        <w:snapToGrid w:val="0"/>
        <w:spacing w:before="50" w:after="50"/>
        <w:ind w:firstLine="720" w:firstLineChars="225"/>
        <w:rPr>
          <w:rFonts w:hint="eastAsia" w:ascii="宋体" w:hAnsi="宋体" w:cs="仿宋_GB2312"/>
          <w:bCs/>
          <w:sz w:val="32"/>
          <w:szCs w:val="32"/>
          <w:highlight w:val="none"/>
        </w:rPr>
      </w:pPr>
    </w:p>
    <w:p w14:paraId="76491A2E">
      <w:pPr>
        <w:pStyle w:val="5"/>
        <w:snapToGrid w:val="0"/>
        <w:spacing w:before="50" w:after="50"/>
        <w:ind w:firstLine="720" w:firstLineChars="225"/>
        <w:rPr>
          <w:rFonts w:hint="eastAsia" w:ascii="宋体" w:hAnsi="宋体" w:cs="仿宋_GB2312"/>
          <w:bCs/>
          <w:sz w:val="32"/>
          <w:szCs w:val="32"/>
          <w:highlight w:val="none"/>
        </w:rPr>
      </w:pPr>
    </w:p>
    <w:p w14:paraId="6D7E42AE">
      <w:pPr>
        <w:pStyle w:val="5"/>
        <w:snapToGrid w:val="0"/>
        <w:spacing w:before="50" w:after="50"/>
        <w:ind w:firstLine="1280" w:firstLineChars="400"/>
        <w:rPr>
          <w:rFonts w:hint="eastAsia" w:ascii="宋体" w:hAnsi="宋体" w:cs="仿宋_GB2312"/>
          <w:bCs/>
          <w:sz w:val="32"/>
          <w:szCs w:val="32"/>
          <w:highlight w:val="none"/>
        </w:rPr>
      </w:pPr>
    </w:p>
    <w:p w14:paraId="1FD103AD">
      <w:pPr>
        <w:snapToGrid w:val="0"/>
        <w:spacing w:before="120" w:beforeLines="50" w:after="50"/>
        <w:jc w:val="center"/>
        <w:rPr>
          <w:rFonts w:hint="eastAsia" w:ascii="宋体" w:hAnsi="宋体" w:cs="仿宋_GB2312"/>
          <w:sz w:val="32"/>
          <w:szCs w:val="32"/>
          <w:highlight w:val="none"/>
        </w:rPr>
      </w:pP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年</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月</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日</w:t>
      </w:r>
    </w:p>
    <w:p w14:paraId="3086BE11">
      <w:pPr>
        <w:snapToGrid w:val="0"/>
        <w:spacing w:before="120" w:beforeLines="50" w:after="50" w:line="360" w:lineRule="auto"/>
        <w:jc w:val="center"/>
        <w:outlineLvl w:val="1"/>
        <w:rPr>
          <w:rFonts w:hint="eastAsia" w:ascii="宋体" w:hAnsi="宋体"/>
          <w:b/>
          <w:bCs/>
          <w:sz w:val="36"/>
          <w:szCs w:val="36"/>
          <w:highlight w:val="none"/>
        </w:rPr>
      </w:pPr>
      <w:r>
        <w:rPr>
          <w:rFonts w:ascii="宋体" w:hAnsi="宋体"/>
          <w:sz w:val="24"/>
          <w:highlight w:val="none"/>
        </w:rPr>
        <w:br w:type="page"/>
      </w:r>
      <w:bookmarkStart w:id="58" w:name="_Toc13495"/>
      <w:bookmarkStart w:id="59" w:name="_Toc5241"/>
      <w:bookmarkStart w:id="60" w:name="_Toc14424"/>
      <w:bookmarkStart w:id="61" w:name="_Toc15878"/>
      <w:bookmarkStart w:id="62" w:name="_Toc28937"/>
      <w:r>
        <w:rPr>
          <w:rFonts w:hint="eastAsia" w:ascii="宋体" w:hAnsi="宋体"/>
          <w:b/>
          <w:bCs/>
          <w:sz w:val="36"/>
          <w:szCs w:val="36"/>
          <w:highlight w:val="none"/>
        </w:rPr>
        <w:t>目录</w:t>
      </w:r>
      <w:bookmarkEnd w:id="58"/>
      <w:bookmarkEnd w:id="59"/>
      <w:bookmarkEnd w:id="60"/>
      <w:bookmarkEnd w:id="61"/>
      <w:bookmarkEnd w:id="62"/>
    </w:p>
    <w:p w14:paraId="3C36712F">
      <w:pPr>
        <w:snapToGrid w:val="0"/>
        <w:spacing w:before="120" w:beforeLines="50" w:after="50"/>
        <w:rPr>
          <w:rFonts w:hint="eastAsia" w:ascii="宋体" w:hAnsi="宋体"/>
          <w:sz w:val="24"/>
          <w:szCs w:val="20"/>
          <w:highlight w:val="none"/>
        </w:rPr>
      </w:pPr>
    </w:p>
    <w:p w14:paraId="0FA0FE34">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w:t>
      </w:r>
      <w:r>
        <w:rPr>
          <w:rFonts w:hint="eastAsia" w:ascii="宋体" w:hAnsi="宋体"/>
          <w:sz w:val="24"/>
          <w:szCs w:val="20"/>
          <w:highlight w:val="none"/>
          <w:lang w:eastAsia="zh-CN"/>
        </w:rPr>
        <w:t>投标</w:t>
      </w:r>
      <w:r>
        <w:rPr>
          <w:rFonts w:hint="eastAsia" w:ascii="宋体" w:hAnsi="宋体"/>
          <w:sz w:val="24"/>
          <w:szCs w:val="20"/>
          <w:highlight w:val="none"/>
        </w:rPr>
        <w:t>函</w:t>
      </w:r>
    </w:p>
    <w:p w14:paraId="2E44DA7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二、法定代表人身份证明（适用于无委托代理人的情况）</w:t>
      </w:r>
    </w:p>
    <w:p w14:paraId="227E15A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二、授权委托书（适用于有委托代理人的情况）</w:t>
      </w:r>
    </w:p>
    <w:p w14:paraId="5A12266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三、报价清单</w:t>
      </w:r>
    </w:p>
    <w:p w14:paraId="0558ED42">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四、</w:t>
      </w:r>
      <w:r>
        <w:rPr>
          <w:rFonts w:hint="eastAsia" w:ascii="宋体" w:hAnsi="宋体"/>
          <w:sz w:val="24"/>
          <w:szCs w:val="20"/>
          <w:highlight w:val="none"/>
          <w:lang w:eastAsia="zh-CN"/>
        </w:rPr>
        <w:t>资格审查</w:t>
      </w:r>
      <w:r>
        <w:rPr>
          <w:rFonts w:hint="eastAsia" w:ascii="宋体" w:hAnsi="宋体"/>
          <w:sz w:val="24"/>
          <w:szCs w:val="20"/>
          <w:highlight w:val="none"/>
        </w:rPr>
        <w:t>资料</w:t>
      </w:r>
    </w:p>
    <w:p w14:paraId="2D9D475F">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(一)投标人基本情况表</w:t>
      </w:r>
    </w:p>
    <w:p w14:paraId="6B3D613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w:t>
      </w:r>
      <w:r>
        <w:rPr>
          <w:rFonts w:hint="eastAsia" w:ascii="宋体" w:hAnsi="宋体"/>
          <w:sz w:val="24"/>
          <w:szCs w:val="20"/>
          <w:highlight w:val="none"/>
          <w:lang w:eastAsia="zh-CN"/>
        </w:rPr>
        <w:t>近年的业绩证明文件</w:t>
      </w:r>
    </w:p>
    <w:p w14:paraId="651BCCD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三</w:t>
      </w:r>
      <w:r>
        <w:rPr>
          <w:rFonts w:hint="eastAsia" w:ascii="宋体" w:hAnsi="宋体"/>
          <w:sz w:val="24"/>
          <w:szCs w:val="20"/>
          <w:highlight w:val="none"/>
        </w:rPr>
        <w:t>)</w:t>
      </w:r>
      <w:r>
        <w:rPr>
          <w:rFonts w:hint="eastAsia" w:ascii="宋体" w:hAnsi="宋体"/>
          <w:sz w:val="24"/>
          <w:szCs w:val="20"/>
          <w:highlight w:val="none"/>
          <w:lang w:eastAsia="zh-CN"/>
        </w:rPr>
        <w:t>供应商信用及守法证明材料</w:t>
      </w:r>
    </w:p>
    <w:p w14:paraId="6A8968C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四</w:t>
      </w:r>
      <w:r>
        <w:rPr>
          <w:rFonts w:hint="eastAsia" w:ascii="宋体" w:hAnsi="宋体"/>
          <w:sz w:val="24"/>
          <w:szCs w:val="20"/>
          <w:highlight w:val="none"/>
        </w:rPr>
        <w:t>)</w:t>
      </w:r>
      <w:r>
        <w:rPr>
          <w:rFonts w:hint="eastAsia" w:ascii="宋体" w:hAnsi="宋体"/>
          <w:sz w:val="24"/>
          <w:szCs w:val="20"/>
          <w:highlight w:val="none"/>
          <w:lang w:eastAsia="zh-CN"/>
        </w:rPr>
        <w:t>拟投入的主要人员表</w:t>
      </w:r>
    </w:p>
    <w:p w14:paraId="3F929F4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五、</w:t>
      </w:r>
      <w:r>
        <w:rPr>
          <w:rFonts w:hint="eastAsia" w:ascii="宋体" w:hAnsi="宋体"/>
          <w:sz w:val="24"/>
          <w:szCs w:val="20"/>
          <w:highlight w:val="none"/>
          <w:lang w:eastAsia="zh-CN"/>
        </w:rPr>
        <w:t>服务方案</w:t>
      </w:r>
    </w:p>
    <w:p w14:paraId="76F5E16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六、其他资料</w:t>
      </w:r>
    </w:p>
    <w:p w14:paraId="51D602FD">
      <w:pPr>
        <w:spacing w:line="300" w:lineRule="auto"/>
        <w:rPr>
          <w:rFonts w:hint="eastAsia" w:ascii="宋体" w:hAnsi="宋体"/>
          <w:szCs w:val="21"/>
          <w:highlight w:val="none"/>
        </w:rPr>
      </w:pPr>
    </w:p>
    <w:p w14:paraId="1A3D8F6F">
      <w:pPr>
        <w:spacing w:line="300" w:lineRule="auto"/>
        <w:rPr>
          <w:rFonts w:hint="eastAsia" w:ascii="宋体" w:hAnsi="宋体"/>
          <w:szCs w:val="21"/>
          <w:highlight w:val="none"/>
        </w:rPr>
      </w:pPr>
    </w:p>
    <w:p w14:paraId="46B461E7">
      <w:pPr>
        <w:spacing w:line="300" w:lineRule="auto"/>
        <w:rPr>
          <w:rFonts w:hint="eastAsia" w:ascii="宋体" w:hAnsi="宋体"/>
          <w:szCs w:val="21"/>
          <w:highlight w:val="none"/>
        </w:rPr>
      </w:pPr>
    </w:p>
    <w:p w14:paraId="111CA6D3">
      <w:pPr>
        <w:spacing w:line="300" w:lineRule="auto"/>
        <w:rPr>
          <w:rFonts w:hint="eastAsia" w:ascii="宋体" w:hAnsi="宋体"/>
          <w:szCs w:val="21"/>
          <w:highlight w:val="none"/>
        </w:rPr>
      </w:pPr>
    </w:p>
    <w:p w14:paraId="1338A035">
      <w:pPr>
        <w:jc w:val="center"/>
        <w:outlineLvl w:val="1"/>
        <w:rPr>
          <w:rFonts w:hint="eastAsia" w:ascii="黑体" w:hAnsi="黑体" w:eastAsia="黑体" w:cs="黑体"/>
          <w:sz w:val="36"/>
          <w:szCs w:val="36"/>
          <w:highlight w:val="none"/>
        </w:rPr>
      </w:pPr>
      <w:r>
        <w:rPr>
          <w:rFonts w:ascii="宋体" w:hAnsi="宋体"/>
          <w:szCs w:val="21"/>
          <w:highlight w:val="none"/>
        </w:rPr>
        <w:br w:type="page"/>
      </w:r>
      <w:bookmarkStart w:id="63" w:name="_Toc30651"/>
      <w:bookmarkStart w:id="64" w:name="_Toc12166"/>
      <w:bookmarkStart w:id="65" w:name="_Toc5505"/>
      <w:bookmarkStart w:id="66" w:name="_Toc10457"/>
      <w:bookmarkStart w:id="67" w:name="_Toc29629"/>
      <w:r>
        <w:rPr>
          <w:rFonts w:hint="eastAsia" w:ascii="黑体" w:hAnsi="黑体" w:eastAsia="黑体" w:cs="黑体"/>
          <w:sz w:val="36"/>
          <w:szCs w:val="36"/>
          <w:highlight w:val="none"/>
        </w:rPr>
        <w:t>一、</w:t>
      </w:r>
      <w:r>
        <w:rPr>
          <w:rFonts w:hint="eastAsia" w:ascii="黑体" w:hAnsi="黑体" w:eastAsia="黑体" w:cs="黑体"/>
          <w:sz w:val="36"/>
          <w:szCs w:val="36"/>
          <w:highlight w:val="none"/>
          <w:lang w:eastAsia="zh-CN"/>
        </w:rPr>
        <w:t>投标</w:t>
      </w:r>
      <w:r>
        <w:rPr>
          <w:rFonts w:hint="eastAsia" w:ascii="黑体" w:hAnsi="黑体" w:eastAsia="黑体" w:cs="黑体"/>
          <w:sz w:val="36"/>
          <w:szCs w:val="36"/>
          <w:highlight w:val="none"/>
        </w:rPr>
        <w:t>函</w:t>
      </w:r>
      <w:bookmarkEnd w:id="63"/>
      <w:bookmarkEnd w:id="64"/>
      <w:bookmarkEnd w:id="65"/>
      <w:bookmarkEnd w:id="66"/>
      <w:bookmarkEnd w:id="67"/>
    </w:p>
    <w:p w14:paraId="7E66C387">
      <w:pPr>
        <w:spacing w:line="320" w:lineRule="exact"/>
        <w:jc w:val="center"/>
        <w:rPr>
          <w:rFonts w:hint="eastAsia" w:ascii="宋体" w:hAnsi="宋体"/>
          <w:b/>
          <w:sz w:val="32"/>
          <w:szCs w:val="32"/>
          <w:highlight w:val="none"/>
        </w:rPr>
      </w:pPr>
    </w:p>
    <w:p w14:paraId="47680DAD">
      <w:pPr>
        <w:jc w:val="center"/>
        <w:rPr>
          <w:rFonts w:hint="eastAsia" w:ascii="宋体" w:hAnsi="宋体"/>
          <w:b/>
          <w:sz w:val="32"/>
          <w:szCs w:val="32"/>
          <w:highlight w:val="none"/>
        </w:rPr>
      </w:pPr>
      <w:r>
        <w:rPr>
          <w:rFonts w:hint="eastAsia" w:ascii="宋体" w:hAnsi="宋体"/>
          <w:b/>
          <w:sz w:val="32"/>
          <w:szCs w:val="32"/>
          <w:highlight w:val="none"/>
          <w:lang w:eastAsia="zh-CN"/>
        </w:rPr>
        <w:t>投标</w:t>
      </w:r>
      <w:r>
        <w:rPr>
          <w:rFonts w:hint="eastAsia" w:ascii="宋体" w:hAnsi="宋体"/>
          <w:b/>
          <w:sz w:val="32"/>
          <w:szCs w:val="32"/>
          <w:highlight w:val="none"/>
        </w:rPr>
        <w:t>函</w:t>
      </w:r>
    </w:p>
    <w:p w14:paraId="7DE17498">
      <w:pPr>
        <w:spacing w:line="320" w:lineRule="exact"/>
        <w:jc w:val="center"/>
        <w:rPr>
          <w:rFonts w:hint="eastAsia" w:ascii="宋体" w:hAnsi="宋体"/>
          <w:sz w:val="24"/>
          <w:szCs w:val="20"/>
          <w:highlight w:val="none"/>
        </w:rPr>
      </w:pPr>
    </w:p>
    <w:p w14:paraId="4D42E7C0">
      <w:pPr>
        <w:spacing w:line="360" w:lineRule="auto"/>
        <w:contextualSpacing/>
        <w:rPr>
          <w:rFonts w:hint="eastAsia" w:ascii="宋体" w:hAnsi="宋体" w:cs="宋体"/>
          <w:sz w:val="24"/>
          <w:highlight w:val="none"/>
        </w:rPr>
      </w:pPr>
      <w:r>
        <w:rPr>
          <w:rFonts w:hint="eastAsia" w:ascii="宋体" w:hAnsi="宋体" w:cs="宋体"/>
          <w:sz w:val="24"/>
          <w:highlight w:val="none"/>
          <w:u w:val="single"/>
        </w:rPr>
        <w:t xml:space="preserve">广西壮族自治区港行发展中心 </w:t>
      </w:r>
      <w:r>
        <w:rPr>
          <w:rFonts w:hint="eastAsia" w:ascii="宋体" w:hAnsi="宋体" w:cs="宋体"/>
          <w:sz w:val="24"/>
          <w:highlight w:val="none"/>
        </w:rPr>
        <w:t>：</w:t>
      </w:r>
    </w:p>
    <w:p w14:paraId="1AC18665">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1.我方已仔细研究了</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桂江（莲花大桥至桂江河口）航道扩建工程社会稳定风险分析及评估服务</w:t>
      </w:r>
      <w:r>
        <w:rPr>
          <w:rFonts w:hint="eastAsia" w:ascii="宋体" w:hAnsi="宋体" w:cs="宋体"/>
          <w:sz w:val="24"/>
          <w:highlight w:val="none"/>
        </w:rPr>
        <w:t>采购文件的全部内容，愿意以人民币（大写）</w:t>
      </w:r>
      <w:r>
        <w:rPr>
          <w:rFonts w:hint="eastAsia" w:ascii="宋体" w:hAnsi="宋体" w:cs="宋体"/>
          <w:sz w:val="24"/>
          <w:highlight w:val="none"/>
          <w:u w:val="single"/>
        </w:rPr>
        <w:t xml:space="preserve">             （¥               ）</w:t>
      </w:r>
      <w:r>
        <w:rPr>
          <w:rFonts w:hint="eastAsia" w:ascii="宋体" w:hAnsi="宋体" w:cs="宋体"/>
          <w:sz w:val="24"/>
          <w:highlight w:val="none"/>
        </w:rPr>
        <w:t>的</w:t>
      </w:r>
      <w:r>
        <w:rPr>
          <w:rFonts w:hint="eastAsia" w:ascii="宋体" w:hAnsi="宋体" w:cs="宋体"/>
          <w:sz w:val="24"/>
          <w:highlight w:val="none"/>
          <w:lang w:eastAsia="zh-CN"/>
        </w:rPr>
        <w:t>投标</w:t>
      </w:r>
      <w:r>
        <w:rPr>
          <w:rFonts w:hint="eastAsia" w:ascii="宋体" w:hAnsi="宋体" w:cs="宋体"/>
          <w:sz w:val="24"/>
          <w:highlight w:val="none"/>
        </w:rPr>
        <w:t>总报价</w:t>
      </w:r>
      <w:r>
        <w:rPr>
          <w:rFonts w:hint="eastAsia" w:ascii="宋体" w:hAnsi="宋体" w:cs="宋体"/>
          <w:sz w:val="24"/>
          <w:highlight w:val="none"/>
          <w:lang w:eastAsia="zh-CN"/>
        </w:rPr>
        <w:t>（其中，增值税税率为</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eastAsia="zh-CN"/>
        </w:rPr>
        <w:t>）</w:t>
      </w:r>
      <w:r>
        <w:rPr>
          <w:rFonts w:hint="eastAsia" w:ascii="宋体" w:hAnsi="宋体" w:cs="宋体"/>
          <w:sz w:val="24"/>
          <w:highlight w:val="none"/>
        </w:rPr>
        <w:t>，</w:t>
      </w:r>
      <w:r>
        <w:rPr>
          <w:rFonts w:hint="eastAsia" w:ascii="宋体" w:hAnsi="宋体" w:cs="宋体"/>
          <w:sz w:val="24"/>
          <w:highlight w:val="none"/>
          <w:lang w:eastAsia="zh-CN"/>
        </w:rPr>
        <w:t>社会稳定风险分析及评估服务期限：</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val="en-US" w:eastAsia="zh-CN"/>
        </w:rPr>
        <w:t>日历天，</w:t>
      </w:r>
      <w:r>
        <w:rPr>
          <w:rFonts w:hint="eastAsia" w:ascii="宋体" w:hAnsi="宋体" w:cs="宋体"/>
          <w:sz w:val="24"/>
          <w:highlight w:val="none"/>
        </w:rPr>
        <w:t>按合同约定完成</w:t>
      </w:r>
      <w:r>
        <w:rPr>
          <w:rFonts w:hint="eastAsia" w:ascii="宋体" w:hAnsi="宋体" w:cs="宋体"/>
          <w:sz w:val="24"/>
          <w:highlight w:val="none"/>
          <w:lang w:eastAsia="zh-CN"/>
        </w:rPr>
        <w:t>社会稳定风险分析及评估</w:t>
      </w:r>
      <w:r>
        <w:rPr>
          <w:rFonts w:hint="eastAsia" w:ascii="宋体" w:hAnsi="宋体" w:cs="宋体"/>
          <w:sz w:val="24"/>
          <w:highlight w:val="none"/>
        </w:rPr>
        <w:t>工作。</w:t>
      </w:r>
    </w:p>
    <w:p w14:paraId="0D4D9BC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2.我方的响应文件包括下列内容：：</w:t>
      </w:r>
    </w:p>
    <w:p w14:paraId="755DAE8D">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w:t>
      </w:r>
      <w:r>
        <w:rPr>
          <w:rFonts w:hint="eastAsia" w:ascii="宋体" w:hAnsi="宋体" w:cs="宋体"/>
          <w:sz w:val="24"/>
          <w:highlight w:val="none"/>
          <w:lang w:eastAsia="zh-CN"/>
        </w:rPr>
        <w:t>投标</w:t>
      </w:r>
      <w:r>
        <w:rPr>
          <w:rFonts w:hint="eastAsia" w:ascii="宋体" w:hAnsi="宋体" w:cs="宋体"/>
          <w:sz w:val="24"/>
          <w:highlight w:val="none"/>
        </w:rPr>
        <w:t>函；</w:t>
      </w:r>
    </w:p>
    <w:p w14:paraId="25FE5D32">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（2）法定代表人身份证明或授权委托书；</w:t>
      </w:r>
    </w:p>
    <w:p w14:paraId="2A4A1850">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（3）报价清单；</w:t>
      </w:r>
    </w:p>
    <w:p w14:paraId="77938409">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（4）资格审查资料；</w:t>
      </w:r>
    </w:p>
    <w:p w14:paraId="713D385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（5）</w:t>
      </w:r>
      <w:r>
        <w:rPr>
          <w:rFonts w:hint="eastAsia" w:ascii="宋体" w:hAnsi="宋体" w:cs="宋体"/>
          <w:sz w:val="24"/>
          <w:highlight w:val="none"/>
          <w:lang w:eastAsia="zh-CN"/>
        </w:rPr>
        <w:t>服务方案</w:t>
      </w:r>
      <w:r>
        <w:rPr>
          <w:rFonts w:hint="eastAsia" w:ascii="宋体" w:hAnsi="宋体" w:cs="宋体"/>
          <w:sz w:val="24"/>
          <w:highlight w:val="none"/>
        </w:rPr>
        <w:t>。</w:t>
      </w:r>
    </w:p>
    <w:p w14:paraId="54A7512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响应文件的上述组成部分如存在内容不一致的，以</w:t>
      </w:r>
      <w:r>
        <w:rPr>
          <w:rFonts w:hint="eastAsia" w:ascii="宋体" w:hAnsi="宋体" w:cs="宋体"/>
          <w:sz w:val="24"/>
          <w:highlight w:val="none"/>
          <w:lang w:eastAsia="zh-CN"/>
        </w:rPr>
        <w:t>投标</w:t>
      </w:r>
      <w:r>
        <w:rPr>
          <w:rFonts w:hint="eastAsia" w:ascii="宋体" w:hAnsi="宋体" w:cs="宋体"/>
          <w:sz w:val="24"/>
          <w:highlight w:val="none"/>
        </w:rPr>
        <w:t>函为准。</w:t>
      </w:r>
    </w:p>
    <w:p w14:paraId="43DA378B">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lang w:val="en-US" w:eastAsia="zh-CN"/>
        </w:rPr>
        <w:t>3</w:t>
      </w:r>
      <w:r>
        <w:rPr>
          <w:rFonts w:hint="eastAsia" w:ascii="宋体" w:hAnsi="宋体" w:cs="宋体"/>
          <w:sz w:val="24"/>
          <w:highlight w:val="none"/>
        </w:rPr>
        <w:t>.我方承诺在采购文件规定的</w:t>
      </w:r>
      <w:r>
        <w:rPr>
          <w:rFonts w:hint="eastAsia" w:ascii="宋体" w:hAnsi="宋体" w:cs="宋体"/>
          <w:sz w:val="24"/>
          <w:highlight w:val="none"/>
          <w:lang w:eastAsia="zh-CN"/>
        </w:rPr>
        <w:t>投标</w:t>
      </w:r>
      <w:r>
        <w:rPr>
          <w:rFonts w:hint="eastAsia" w:ascii="宋体" w:hAnsi="宋体" w:cs="宋体"/>
          <w:sz w:val="24"/>
          <w:highlight w:val="none"/>
        </w:rPr>
        <w:t>有效期内不撤销响应文件。</w:t>
      </w:r>
    </w:p>
    <w:p w14:paraId="2591B98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lang w:val="en-US" w:eastAsia="zh-CN"/>
        </w:rPr>
        <w:t>4</w:t>
      </w:r>
      <w:r>
        <w:rPr>
          <w:rFonts w:hint="eastAsia" w:ascii="宋体" w:hAnsi="宋体" w:cs="宋体"/>
          <w:sz w:val="24"/>
          <w:highlight w:val="none"/>
        </w:rPr>
        <w:t>.如我方中标，我方承诺：</w:t>
      </w:r>
    </w:p>
    <w:p w14:paraId="6286FDFA">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（1）在收到中标通知书后，在中标通知书规定的期限内与你方签订合同；</w:t>
      </w:r>
    </w:p>
    <w:p w14:paraId="6FCA57C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（2）在签订合同时不向你方提出附加条件；</w:t>
      </w:r>
    </w:p>
    <w:p w14:paraId="40966614">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（3）在合同约定的期限内完成合同规定的全部义务。</w:t>
      </w:r>
    </w:p>
    <w:p w14:paraId="64D6DF9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lang w:val="en-US" w:eastAsia="zh-CN"/>
        </w:rPr>
        <w:t>5</w:t>
      </w:r>
      <w:r>
        <w:rPr>
          <w:rFonts w:hint="eastAsia" w:ascii="宋体" w:hAnsi="宋体" w:cs="宋体"/>
          <w:sz w:val="24"/>
          <w:highlight w:val="none"/>
        </w:rPr>
        <w:t>.我方在此声明，所递交的响应文件及有关资料内容完整、真实和准确。</w:t>
      </w:r>
    </w:p>
    <w:p w14:paraId="224D556A">
      <w:pPr>
        <w:pStyle w:val="12"/>
        <w:tabs>
          <w:tab w:val="left" w:pos="939"/>
        </w:tabs>
        <w:spacing w:line="360" w:lineRule="auto"/>
        <w:ind w:left="0" w:leftChars="0" w:firstLine="480" w:firstLineChars="200"/>
        <w:rPr>
          <w:rFonts w:hint="eastAsia" w:ascii="宋体" w:hAnsi="宋体" w:cs="宋体"/>
          <w:sz w:val="24"/>
          <w:highlight w:val="none"/>
        </w:rPr>
      </w:pPr>
    </w:p>
    <w:p w14:paraId="0BD29303">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85E82DA">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CCEB7D7">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16F9A5C">
      <w:pPr>
        <w:rPr>
          <w:rFonts w:hint="eastAsia" w:ascii="宋体" w:hAnsi="宋体" w:cs="仿宋_GB2312"/>
          <w:sz w:val="24"/>
          <w:highlight w:val="none"/>
        </w:rPr>
      </w:pPr>
      <w:r>
        <w:rPr>
          <w:rFonts w:hint="eastAsia" w:ascii="宋体" w:hAnsi="宋体" w:cs="仿宋_GB2312"/>
          <w:sz w:val="24"/>
          <w:highlight w:val="none"/>
        </w:rPr>
        <w:br w:type="page"/>
      </w:r>
    </w:p>
    <w:p w14:paraId="21817A70">
      <w:pPr>
        <w:snapToGrid w:val="0"/>
        <w:spacing w:line="360" w:lineRule="auto"/>
        <w:jc w:val="center"/>
        <w:outlineLvl w:val="1"/>
        <w:rPr>
          <w:rFonts w:hint="eastAsia" w:ascii="黑体" w:hAnsi="黑体" w:eastAsia="黑体" w:cs="黑体"/>
          <w:sz w:val="36"/>
          <w:szCs w:val="36"/>
          <w:highlight w:val="none"/>
        </w:rPr>
      </w:pPr>
      <w:bookmarkStart w:id="68" w:name="_Toc10185"/>
      <w:bookmarkStart w:id="69" w:name="_Toc9179"/>
      <w:bookmarkStart w:id="70" w:name="_Toc15603"/>
      <w:bookmarkStart w:id="71" w:name="_Toc27814"/>
      <w:bookmarkStart w:id="72" w:name="_Toc11484"/>
      <w:r>
        <w:rPr>
          <w:rFonts w:hint="eastAsia" w:ascii="黑体" w:hAnsi="黑体" w:eastAsia="黑体" w:cs="黑体"/>
          <w:sz w:val="36"/>
          <w:szCs w:val="36"/>
          <w:highlight w:val="none"/>
        </w:rPr>
        <w:t>二、法定代表人身份证明</w:t>
      </w:r>
      <w:bookmarkEnd w:id="68"/>
      <w:bookmarkEnd w:id="69"/>
      <w:bookmarkEnd w:id="70"/>
      <w:bookmarkEnd w:id="71"/>
      <w:bookmarkEnd w:id="72"/>
    </w:p>
    <w:p w14:paraId="7F42EB4F">
      <w:pPr>
        <w:snapToGrid w:val="0"/>
        <w:spacing w:line="360" w:lineRule="auto"/>
        <w:ind w:firstLine="480" w:firstLineChars="200"/>
        <w:rPr>
          <w:rFonts w:hint="eastAsia" w:ascii="宋体" w:hAnsi="宋体" w:cs="仿宋_GB2312"/>
          <w:sz w:val="24"/>
          <w:highlight w:val="none"/>
        </w:rPr>
      </w:pPr>
    </w:p>
    <w:p w14:paraId="454A209F">
      <w:pPr>
        <w:pStyle w:val="32"/>
        <w:jc w:val="center"/>
        <w:rPr>
          <w:highlight w:val="none"/>
        </w:rPr>
      </w:pPr>
      <w:r>
        <w:rPr>
          <w:rFonts w:hint="eastAsia" w:ascii="宋体" w:hAnsi="宋体"/>
          <w:b/>
          <w:sz w:val="28"/>
          <w:szCs w:val="28"/>
          <w:highlight w:val="none"/>
        </w:rPr>
        <w:t>法定代表人身份证明</w:t>
      </w:r>
    </w:p>
    <w:p w14:paraId="47D25565">
      <w:pPr>
        <w:pStyle w:val="32"/>
        <w:rPr>
          <w:rFonts w:hint="eastAsia" w:ascii="宋体" w:hAnsi="宋体" w:cs="仿宋_GB2312"/>
          <w:highlight w:val="none"/>
        </w:rPr>
      </w:pPr>
    </w:p>
    <w:p w14:paraId="6B22D12A">
      <w:pPr>
        <w:pStyle w:val="10"/>
        <w:rPr>
          <w:highlight w:val="none"/>
        </w:rPr>
      </w:pPr>
    </w:p>
    <w:p w14:paraId="31BF316B">
      <w:pPr>
        <w:snapToGrid w:val="0"/>
        <w:spacing w:line="360" w:lineRule="auto"/>
        <w:ind w:firstLine="480" w:firstLineChars="200"/>
        <w:rPr>
          <w:rFonts w:hint="eastAsia" w:ascii="宋体" w:hAnsi="宋体" w:cs="仿宋_GB2312"/>
          <w:sz w:val="24"/>
          <w:highlight w:val="none"/>
          <w:u w:val="single"/>
        </w:rPr>
      </w:pPr>
      <w:r>
        <w:rPr>
          <w:rFonts w:hint="eastAsia" w:ascii="宋体" w:hAnsi="宋体" w:cs="仿宋_GB2312"/>
          <w:sz w:val="24"/>
          <w:highlight w:val="none"/>
        </w:rPr>
        <w:t>供应商名称：</w:t>
      </w:r>
      <w:r>
        <w:rPr>
          <w:rFonts w:hint="eastAsia" w:ascii="宋体" w:hAnsi="宋体" w:cs="仿宋_GB2312"/>
          <w:sz w:val="24"/>
          <w:highlight w:val="none"/>
          <w:u w:val="single"/>
        </w:rPr>
        <w:t xml:space="preserve">                                 </w:t>
      </w:r>
    </w:p>
    <w:p w14:paraId="0ED7A4C6">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姓名：</w:t>
      </w:r>
      <w:r>
        <w:rPr>
          <w:rFonts w:hint="eastAsia" w:ascii="宋体" w:hAnsi="宋体" w:cs="仿宋_GB2312"/>
          <w:sz w:val="24"/>
          <w:highlight w:val="none"/>
          <w:u w:val="single"/>
        </w:rPr>
        <w:t xml:space="preserve">            </w:t>
      </w:r>
      <w:r>
        <w:rPr>
          <w:rFonts w:hint="eastAsia" w:ascii="宋体" w:hAnsi="宋体" w:cs="仿宋_GB2312"/>
          <w:sz w:val="24"/>
          <w:highlight w:val="none"/>
        </w:rPr>
        <w:t>性别：</w:t>
      </w:r>
      <w:r>
        <w:rPr>
          <w:rFonts w:hint="eastAsia" w:ascii="宋体" w:hAnsi="宋体" w:cs="仿宋_GB2312"/>
          <w:sz w:val="24"/>
          <w:highlight w:val="none"/>
          <w:u w:val="single"/>
        </w:rPr>
        <w:t xml:space="preserve">     </w:t>
      </w:r>
      <w:r>
        <w:rPr>
          <w:rFonts w:hint="eastAsia" w:ascii="宋体" w:hAnsi="宋体" w:cs="仿宋_GB2312"/>
          <w:sz w:val="24"/>
          <w:highlight w:val="none"/>
        </w:rPr>
        <w:t>年龄：</w:t>
      </w:r>
      <w:r>
        <w:rPr>
          <w:rFonts w:hint="eastAsia" w:ascii="宋体" w:hAnsi="宋体" w:cs="仿宋_GB2312"/>
          <w:sz w:val="24"/>
          <w:highlight w:val="none"/>
          <w:u w:val="single"/>
        </w:rPr>
        <w:t xml:space="preserve">       </w:t>
      </w:r>
      <w:r>
        <w:rPr>
          <w:rFonts w:hint="eastAsia" w:ascii="宋体" w:hAnsi="宋体" w:cs="仿宋_GB2312"/>
          <w:sz w:val="24"/>
          <w:highlight w:val="none"/>
        </w:rPr>
        <w:t>职务：</w:t>
      </w:r>
      <w:r>
        <w:rPr>
          <w:rFonts w:hint="eastAsia" w:ascii="宋体" w:hAnsi="宋体" w:cs="仿宋_GB2312"/>
          <w:sz w:val="24"/>
          <w:highlight w:val="none"/>
          <w:u w:val="single"/>
        </w:rPr>
        <w:t xml:space="preserve">         </w:t>
      </w:r>
    </w:p>
    <w:p w14:paraId="01D8FDAD">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系</w:t>
      </w:r>
      <w:r>
        <w:rPr>
          <w:rFonts w:hint="eastAsia" w:ascii="宋体" w:hAnsi="宋体" w:cs="仿宋_GB2312"/>
          <w:sz w:val="24"/>
          <w:highlight w:val="none"/>
          <w:u w:val="single"/>
        </w:rPr>
        <w:t xml:space="preserve">                            </w:t>
      </w:r>
      <w:r>
        <w:rPr>
          <w:rFonts w:hint="eastAsia" w:ascii="宋体" w:hAnsi="宋体" w:cs="仿宋_GB2312"/>
          <w:sz w:val="24"/>
          <w:highlight w:val="none"/>
        </w:rPr>
        <w:t>（供应商名称）的法定代表人。</w:t>
      </w:r>
    </w:p>
    <w:p w14:paraId="7C887CBB">
      <w:pPr>
        <w:pStyle w:val="10"/>
        <w:ind w:firstLine="1200" w:firstLineChars="500"/>
        <w:rPr>
          <w:highlight w:val="none"/>
        </w:rPr>
      </w:pPr>
      <w:r>
        <w:rPr>
          <w:rFonts w:hint="eastAsia" w:ascii="宋体" w:hAnsi="宋体" w:cs="仿宋_GB2312"/>
          <w:sz w:val="24"/>
          <w:highlight w:val="none"/>
        </w:rPr>
        <w:t>特此证明。</w:t>
      </w:r>
    </w:p>
    <w:p w14:paraId="1B261C8E">
      <w:pPr>
        <w:snapToGrid w:val="0"/>
        <w:spacing w:line="360" w:lineRule="auto"/>
        <w:ind w:firstLine="480" w:firstLineChars="200"/>
        <w:rPr>
          <w:rFonts w:hint="eastAsia" w:ascii="宋体" w:hAnsi="宋体" w:cs="仿宋_GB2312"/>
          <w:sz w:val="24"/>
          <w:highlight w:val="none"/>
        </w:rPr>
      </w:pPr>
    </w:p>
    <w:p w14:paraId="20223F7E">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附：法定代表人身份证复印件</w:t>
      </w:r>
    </w:p>
    <w:p w14:paraId="5CEA7853">
      <w:pPr>
        <w:pStyle w:val="10"/>
        <w:rPr>
          <w:highlight w:val="none"/>
        </w:rPr>
      </w:pPr>
    </w:p>
    <w:p w14:paraId="2A16E0CB">
      <w:pPr>
        <w:pStyle w:val="10"/>
        <w:rPr>
          <w:highlight w:val="none"/>
        </w:rPr>
      </w:pPr>
    </w:p>
    <w:p w14:paraId="4ABAA104">
      <w:pPr>
        <w:pStyle w:val="10"/>
        <w:rPr>
          <w:highlight w:val="none"/>
        </w:rPr>
      </w:pPr>
    </w:p>
    <w:p w14:paraId="74BFE50D">
      <w:pPr>
        <w:pStyle w:val="5"/>
        <w:overflowPunct w:val="0"/>
        <w:spacing w:line="520" w:lineRule="exact"/>
        <w:ind w:firstLine="0"/>
        <w:jc w:val="center"/>
        <w:rPr>
          <w:sz w:val="24"/>
          <w:highlight w:val="none"/>
        </w:rPr>
      </w:pPr>
      <w:r>
        <w:rPr>
          <w:rFonts w:hint="eastAsia"/>
          <w:sz w:val="24"/>
          <w:highlight w:val="none"/>
        </w:rPr>
        <w:t xml:space="preserve">             供应商名称：</w:t>
      </w:r>
      <w:r>
        <w:rPr>
          <w:rFonts w:hint="eastAsia"/>
          <w:sz w:val="24"/>
          <w:highlight w:val="none"/>
          <w:u w:val="single"/>
        </w:rPr>
        <w:t xml:space="preserve">                         </w:t>
      </w:r>
      <w:r>
        <w:rPr>
          <w:rFonts w:hint="eastAsia"/>
          <w:sz w:val="24"/>
          <w:highlight w:val="none"/>
        </w:rPr>
        <w:t>（盖单位公章）</w:t>
      </w:r>
    </w:p>
    <w:p w14:paraId="00C31252">
      <w:pPr>
        <w:pStyle w:val="5"/>
        <w:overflowPunct w:val="0"/>
        <w:spacing w:line="520" w:lineRule="exact"/>
        <w:ind w:firstLine="4800" w:firstLineChars="2000"/>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56A28B29">
      <w:pPr>
        <w:pStyle w:val="10"/>
        <w:rPr>
          <w:highlight w:val="none"/>
        </w:rPr>
      </w:pPr>
    </w:p>
    <w:p w14:paraId="34C186A7">
      <w:pPr>
        <w:rPr>
          <w:highlight w:val="none"/>
        </w:rPr>
      </w:pPr>
      <w:r>
        <w:rPr>
          <w:highlight w:val="none"/>
        </w:rPr>
        <w:br w:type="page"/>
      </w:r>
    </w:p>
    <w:p w14:paraId="7F57830A">
      <w:pPr>
        <w:snapToGrid w:val="0"/>
        <w:spacing w:line="360" w:lineRule="auto"/>
        <w:jc w:val="center"/>
        <w:outlineLvl w:val="1"/>
        <w:rPr>
          <w:rFonts w:hint="eastAsia" w:ascii="黑体" w:hAnsi="黑体" w:eastAsia="黑体" w:cs="黑体"/>
          <w:sz w:val="36"/>
          <w:szCs w:val="36"/>
          <w:highlight w:val="none"/>
        </w:rPr>
      </w:pPr>
      <w:bookmarkStart w:id="73" w:name="_Toc20885"/>
      <w:bookmarkStart w:id="74" w:name="_Toc21187"/>
      <w:bookmarkStart w:id="75" w:name="_Toc12118"/>
      <w:bookmarkStart w:id="76" w:name="_Toc31451"/>
      <w:bookmarkStart w:id="77" w:name="_Toc29113"/>
      <w:r>
        <w:rPr>
          <w:rFonts w:hint="eastAsia" w:ascii="黑体" w:hAnsi="黑体" w:eastAsia="黑体" w:cs="黑体"/>
          <w:sz w:val="36"/>
          <w:szCs w:val="36"/>
          <w:highlight w:val="none"/>
        </w:rPr>
        <w:t>二、授权委托书</w:t>
      </w:r>
      <w:bookmarkEnd w:id="73"/>
      <w:bookmarkEnd w:id="74"/>
      <w:bookmarkEnd w:id="75"/>
      <w:bookmarkEnd w:id="76"/>
      <w:bookmarkEnd w:id="77"/>
    </w:p>
    <w:p w14:paraId="5B4B16AF">
      <w:pPr>
        <w:snapToGrid w:val="0"/>
        <w:spacing w:line="360" w:lineRule="auto"/>
        <w:ind w:firstLine="480" w:firstLineChars="200"/>
        <w:rPr>
          <w:rFonts w:hint="eastAsia" w:ascii="宋体" w:hAnsi="宋体" w:cs="仿宋_GB2312"/>
          <w:sz w:val="24"/>
          <w:highlight w:val="none"/>
        </w:rPr>
      </w:pPr>
    </w:p>
    <w:p w14:paraId="6AB221BF">
      <w:pPr>
        <w:pStyle w:val="32"/>
        <w:jc w:val="center"/>
        <w:rPr>
          <w:rFonts w:hint="eastAsia" w:ascii="宋体" w:hAnsi="宋体" w:cs="仿宋_GB2312"/>
          <w:highlight w:val="none"/>
        </w:rPr>
      </w:pPr>
      <w:r>
        <w:rPr>
          <w:rFonts w:hint="eastAsia" w:ascii="宋体" w:hAnsi="宋体"/>
          <w:b/>
          <w:sz w:val="28"/>
          <w:szCs w:val="28"/>
          <w:highlight w:val="none"/>
        </w:rPr>
        <w:t>授权委托书</w:t>
      </w:r>
    </w:p>
    <w:p w14:paraId="4EC584FC">
      <w:pPr>
        <w:pStyle w:val="10"/>
        <w:rPr>
          <w:highlight w:val="none"/>
        </w:rPr>
      </w:pPr>
    </w:p>
    <w:p w14:paraId="0A8BA745">
      <w:pPr>
        <w:spacing w:line="400" w:lineRule="exact"/>
        <w:ind w:firstLine="480" w:firstLineChars="200"/>
        <w:rPr>
          <w:rFonts w:hint="eastAsia" w:ascii="宋体" w:hAnsi="宋体"/>
          <w:sz w:val="24"/>
          <w:highlight w:val="none"/>
        </w:rPr>
      </w:pPr>
      <w:r>
        <w:rPr>
          <w:rFonts w:hint="eastAsia" w:ascii="宋体" w:hAnsi="宋体"/>
          <w:sz w:val="24"/>
          <w:highlight w:val="none"/>
        </w:rPr>
        <w:t>本人</w:t>
      </w:r>
      <w:r>
        <w:rPr>
          <w:rFonts w:hint="eastAsia" w:ascii="宋体" w:hAnsi="宋体"/>
          <w:sz w:val="24"/>
          <w:highlight w:val="none"/>
          <w:u w:val="single"/>
        </w:rPr>
        <w:t xml:space="preserve">             </w:t>
      </w:r>
      <w:r>
        <w:rPr>
          <w:rFonts w:ascii="宋体" w:hAnsi="宋体"/>
          <w:sz w:val="24"/>
          <w:highlight w:val="none"/>
        </w:rPr>
        <w:t>(姓名)系</w:t>
      </w:r>
      <w:r>
        <w:rPr>
          <w:rFonts w:hint="eastAsia" w:ascii="宋体" w:hAnsi="宋体"/>
          <w:sz w:val="24"/>
          <w:highlight w:val="none"/>
          <w:u w:val="single"/>
        </w:rPr>
        <w:t xml:space="preserve">             </w:t>
      </w:r>
      <w:r>
        <w:rPr>
          <w:rFonts w:ascii="宋体" w:hAnsi="宋体"/>
          <w:sz w:val="24"/>
          <w:highlight w:val="none"/>
        </w:rPr>
        <w:t>(</w:t>
      </w:r>
      <w:r>
        <w:rPr>
          <w:rFonts w:hint="eastAsia" w:ascii="宋体" w:hAnsi="宋体"/>
          <w:sz w:val="24"/>
          <w:highlight w:val="none"/>
        </w:rPr>
        <w:t>供应商</w:t>
      </w:r>
      <w:r>
        <w:rPr>
          <w:rFonts w:ascii="宋体" w:hAnsi="宋体"/>
          <w:sz w:val="24"/>
          <w:highlight w:val="none"/>
        </w:rPr>
        <w:t>名称)的法定代表人，</w:t>
      </w:r>
      <w:r>
        <w:rPr>
          <w:rFonts w:hint="eastAsia" w:ascii="宋体" w:hAnsi="宋体"/>
          <w:sz w:val="24"/>
          <w:highlight w:val="none"/>
        </w:rPr>
        <w:t>现委托</w:t>
      </w:r>
      <w:r>
        <w:rPr>
          <w:rFonts w:hint="eastAsia" w:ascii="宋体" w:hAnsi="宋体"/>
          <w:sz w:val="24"/>
          <w:highlight w:val="none"/>
          <w:u w:val="single"/>
        </w:rPr>
        <w:t xml:space="preserve">             </w:t>
      </w:r>
      <w:r>
        <w:rPr>
          <w:rFonts w:ascii="宋体" w:hAnsi="宋体"/>
          <w:sz w:val="24"/>
          <w:highlight w:val="none"/>
        </w:rPr>
        <w:t xml:space="preserve"> (姓名)</w:t>
      </w:r>
      <w:r>
        <w:rPr>
          <w:rFonts w:hint="eastAsia" w:ascii="宋体" w:hAnsi="宋体"/>
          <w:sz w:val="24"/>
          <w:highlight w:val="none"/>
        </w:rPr>
        <w:t>为我方代理人。代理人根据授权，以我方名义签署、澄清确认、递交、撤回、修改</w:t>
      </w:r>
      <w:r>
        <w:rPr>
          <w:rFonts w:hint="eastAsia" w:ascii="宋体" w:hAnsi="宋体"/>
          <w:sz w:val="24"/>
          <w:highlight w:val="none"/>
          <w:u w:val="single"/>
          <w:lang w:eastAsia="zh-CN"/>
        </w:rPr>
        <w:t>桂江（莲花大桥至桂江河口）航道扩建工程社会稳定风险分析及评估服务采购项目</w:t>
      </w:r>
      <w:r>
        <w:rPr>
          <w:rFonts w:hint="eastAsia" w:ascii="宋体" w:hAnsi="宋体"/>
          <w:sz w:val="24"/>
          <w:highlight w:val="none"/>
          <w:u w:val="single"/>
        </w:rPr>
        <w:t>（项目名称）</w:t>
      </w:r>
      <w:r>
        <w:rPr>
          <w:rFonts w:hint="eastAsia" w:ascii="宋体" w:hAnsi="宋体"/>
          <w:sz w:val="24"/>
          <w:highlight w:val="none"/>
        </w:rPr>
        <w:t>响应文件和处理有关事宜，其法律后果由我方承担。</w:t>
      </w:r>
    </w:p>
    <w:p w14:paraId="2A9CAEE0">
      <w:pPr>
        <w:spacing w:line="400" w:lineRule="exact"/>
        <w:ind w:firstLine="480"/>
        <w:rPr>
          <w:rFonts w:hint="eastAsia" w:ascii="宋体" w:hAnsi="宋体"/>
          <w:sz w:val="24"/>
          <w:highlight w:val="none"/>
        </w:rPr>
      </w:pPr>
      <w:r>
        <w:rPr>
          <w:rFonts w:hint="eastAsia" w:ascii="宋体" w:hAnsi="宋体"/>
          <w:sz w:val="24"/>
          <w:highlight w:val="none"/>
        </w:rPr>
        <w:t>委托</w:t>
      </w:r>
      <w:r>
        <w:rPr>
          <w:rFonts w:ascii="宋体" w:hAnsi="宋体"/>
          <w:sz w:val="24"/>
          <w:highlight w:val="none"/>
        </w:rPr>
        <w:t>期限</w:t>
      </w:r>
      <w:r>
        <w:rPr>
          <w:rFonts w:hint="eastAsia" w:ascii="宋体" w:hAnsi="宋体"/>
          <w:sz w:val="24"/>
          <w:highlight w:val="none"/>
        </w:rPr>
        <w:t>：</w:t>
      </w:r>
      <w:r>
        <w:rPr>
          <w:rFonts w:ascii="宋体" w:hAnsi="宋体"/>
          <w:sz w:val="24"/>
          <w:highlight w:val="none"/>
        </w:rPr>
        <w:t>自</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日起至</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日止。</w:t>
      </w:r>
    </w:p>
    <w:p w14:paraId="57ED92AD">
      <w:pPr>
        <w:spacing w:line="400" w:lineRule="exact"/>
        <w:ind w:firstLine="480"/>
        <w:rPr>
          <w:rFonts w:hint="eastAsia" w:ascii="宋体" w:hAnsi="宋体"/>
          <w:sz w:val="24"/>
          <w:highlight w:val="none"/>
        </w:rPr>
      </w:pPr>
      <w:r>
        <w:rPr>
          <w:rFonts w:hint="eastAsia" w:ascii="宋体" w:hAnsi="宋体"/>
          <w:sz w:val="24"/>
          <w:highlight w:val="none"/>
        </w:rPr>
        <w:t>代理人无转委托权。</w:t>
      </w:r>
    </w:p>
    <w:p w14:paraId="5020E5BE">
      <w:pPr>
        <w:spacing w:line="400" w:lineRule="exact"/>
        <w:rPr>
          <w:rFonts w:hint="eastAsia" w:ascii="宋体" w:hAnsi="宋体"/>
          <w:sz w:val="24"/>
          <w:highlight w:val="none"/>
        </w:rPr>
      </w:pPr>
    </w:p>
    <w:p w14:paraId="191A7D45">
      <w:pPr>
        <w:spacing w:line="400" w:lineRule="exact"/>
        <w:ind w:firstLine="600" w:firstLineChars="250"/>
        <w:rPr>
          <w:rFonts w:hint="eastAsia" w:ascii="宋体" w:hAnsi="宋体"/>
          <w:sz w:val="24"/>
          <w:highlight w:val="none"/>
        </w:rPr>
      </w:pPr>
      <w:r>
        <w:rPr>
          <w:rFonts w:hint="eastAsia" w:ascii="宋体" w:hAnsi="宋体"/>
          <w:sz w:val="24"/>
          <w:highlight w:val="none"/>
        </w:rPr>
        <w:t>附：</w:t>
      </w:r>
      <w:r>
        <w:rPr>
          <w:rFonts w:hint="eastAsia" w:ascii="宋体" w:hAnsi="宋体" w:cs="仿宋_GB2312"/>
          <w:sz w:val="24"/>
          <w:highlight w:val="none"/>
        </w:rPr>
        <w:t>法定代表人身份证复印件及</w:t>
      </w:r>
      <w:r>
        <w:rPr>
          <w:rFonts w:hint="eastAsia" w:ascii="宋体" w:hAnsi="宋体"/>
          <w:snapToGrid w:val="0"/>
          <w:kern w:val="0"/>
          <w:sz w:val="24"/>
          <w:highlight w:val="none"/>
        </w:rPr>
        <w:t>委托代理人身份证复印件</w:t>
      </w:r>
    </w:p>
    <w:p w14:paraId="28449257">
      <w:pPr>
        <w:spacing w:line="400" w:lineRule="exact"/>
        <w:ind w:firstLine="480"/>
        <w:rPr>
          <w:rFonts w:hint="eastAsia" w:ascii="宋体" w:hAnsi="宋体"/>
          <w:sz w:val="24"/>
          <w:highlight w:val="none"/>
        </w:rPr>
      </w:pPr>
    </w:p>
    <w:p w14:paraId="69AED803">
      <w:pPr>
        <w:spacing w:line="400" w:lineRule="exact"/>
        <w:rPr>
          <w:rFonts w:hint="eastAsia" w:ascii="宋体" w:hAnsi="宋体"/>
          <w:sz w:val="24"/>
          <w:highlight w:val="none"/>
        </w:rPr>
      </w:pPr>
    </w:p>
    <w:p w14:paraId="73A1E512">
      <w:pPr>
        <w:pStyle w:val="32"/>
        <w:rPr>
          <w:highlight w:val="none"/>
        </w:rPr>
      </w:pPr>
    </w:p>
    <w:p w14:paraId="24DDD8A7">
      <w:pPr>
        <w:spacing w:line="400" w:lineRule="exact"/>
        <w:rPr>
          <w:rFonts w:hint="eastAsia" w:ascii="宋体" w:hAnsi="宋体"/>
          <w:sz w:val="24"/>
          <w:highlight w:val="none"/>
        </w:rPr>
      </w:pPr>
    </w:p>
    <w:p w14:paraId="6DCD54E8">
      <w:pPr>
        <w:spacing w:line="720" w:lineRule="auto"/>
        <w:ind w:firstLine="3480" w:firstLineChars="14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w:t>
      </w:r>
      <w:r>
        <w:rPr>
          <w:rFonts w:hint="eastAsia" w:ascii="宋体" w:hAnsi="宋体"/>
          <w:sz w:val="24"/>
          <w:highlight w:val="none"/>
        </w:rPr>
        <w:t>（</w:t>
      </w:r>
      <w:r>
        <w:rPr>
          <w:rFonts w:hint="eastAsia"/>
          <w:sz w:val="24"/>
          <w:highlight w:val="none"/>
        </w:rPr>
        <w:t>盖单位公章</w:t>
      </w:r>
      <w:r>
        <w:rPr>
          <w:rFonts w:hint="eastAsia" w:ascii="宋体" w:hAnsi="宋体"/>
          <w:sz w:val="24"/>
          <w:highlight w:val="none"/>
        </w:rPr>
        <w:t>）</w:t>
      </w:r>
    </w:p>
    <w:p w14:paraId="793F4B1A">
      <w:pPr>
        <w:spacing w:line="720" w:lineRule="auto"/>
        <w:ind w:firstLine="3480" w:firstLineChars="1450"/>
        <w:rPr>
          <w:rFonts w:hint="eastAsia" w:ascii="宋体" w:hAnsi="宋体"/>
          <w:sz w:val="24"/>
          <w:highlight w:val="none"/>
        </w:rPr>
      </w:pPr>
      <w:r>
        <w:rPr>
          <w:rFonts w:hint="eastAsia" w:ascii="宋体" w:hAnsi="宋体"/>
          <w:sz w:val="24"/>
          <w:highlight w:val="none"/>
        </w:rPr>
        <w:t>法定代表人：</w:t>
      </w:r>
      <w:r>
        <w:rPr>
          <w:rFonts w:hint="eastAsia" w:ascii="宋体" w:hAnsi="宋体"/>
          <w:sz w:val="24"/>
          <w:highlight w:val="none"/>
          <w:u w:val="single"/>
        </w:rPr>
        <w:t xml:space="preserve">                 </w:t>
      </w:r>
      <w:r>
        <w:rPr>
          <w:rFonts w:hint="eastAsia" w:ascii="宋体" w:hAnsi="宋体"/>
          <w:sz w:val="24"/>
          <w:highlight w:val="none"/>
        </w:rPr>
        <w:t>（签字或盖章）</w:t>
      </w:r>
    </w:p>
    <w:p w14:paraId="0C312A58">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5323C39">
      <w:pPr>
        <w:spacing w:line="720" w:lineRule="auto"/>
        <w:ind w:firstLine="3480" w:firstLineChars="1450"/>
        <w:rPr>
          <w:rFonts w:hint="eastAsia" w:ascii="宋体" w:hAnsi="宋体"/>
          <w:sz w:val="24"/>
          <w:highlight w:val="none"/>
        </w:rPr>
      </w:pPr>
      <w:r>
        <w:rPr>
          <w:rFonts w:hint="eastAsia" w:ascii="宋体" w:hAnsi="宋体"/>
          <w:sz w:val="24"/>
          <w:highlight w:val="none"/>
        </w:rPr>
        <w:t>委托代理人：</w:t>
      </w:r>
      <w:r>
        <w:rPr>
          <w:rFonts w:hint="eastAsia" w:ascii="宋体" w:hAnsi="宋体"/>
          <w:sz w:val="24"/>
          <w:highlight w:val="none"/>
          <w:u w:val="single"/>
        </w:rPr>
        <w:t xml:space="preserve">                       </w:t>
      </w:r>
      <w:r>
        <w:rPr>
          <w:rFonts w:hint="eastAsia" w:ascii="宋体" w:hAnsi="宋体"/>
          <w:sz w:val="24"/>
          <w:highlight w:val="none"/>
        </w:rPr>
        <w:t>（签字）</w:t>
      </w:r>
    </w:p>
    <w:p w14:paraId="033D30C6">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D84DC24">
      <w:pPr>
        <w:spacing w:line="720" w:lineRule="auto"/>
        <w:ind w:firstLine="5040" w:firstLineChars="2100"/>
        <w:rPr>
          <w:rFonts w:hint="eastAsia" w:ascii="宋体" w:hAnsi="宋体"/>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CFE4478">
      <w:pPr>
        <w:pStyle w:val="10"/>
        <w:tabs>
          <w:tab w:val="left" w:leader="dot" w:pos="480"/>
        </w:tabs>
        <w:rPr>
          <w:bCs/>
          <w:highlight w:val="none"/>
        </w:rPr>
      </w:pPr>
    </w:p>
    <w:p w14:paraId="519595F2">
      <w:pPr>
        <w:rPr>
          <w:bCs/>
          <w:highlight w:val="none"/>
        </w:rPr>
      </w:pPr>
      <w:r>
        <w:rPr>
          <w:bCs/>
          <w:highlight w:val="none"/>
        </w:rPr>
        <w:br w:type="page"/>
      </w:r>
    </w:p>
    <w:p w14:paraId="72A64365">
      <w:pPr>
        <w:snapToGrid w:val="0"/>
        <w:spacing w:line="360" w:lineRule="auto"/>
        <w:jc w:val="center"/>
        <w:outlineLvl w:val="1"/>
        <w:rPr>
          <w:rFonts w:hint="eastAsia" w:ascii="黑体" w:hAnsi="黑体" w:eastAsia="黑体" w:cs="黑体"/>
          <w:sz w:val="36"/>
          <w:szCs w:val="36"/>
          <w:highlight w:val="none"/>
        </w:rPr>
      </w:pPr>
      <w:bookmarkStart w:id="78" w:name="_Toc8009"/>
      <w:bookmarkStart w:id="79" w:name="_Toc1684"/>
      <w:bookmarkStart w:id="80" w:name="_Toc2974"/>
      <w:bookmarkStart w:id="81" w:name="_Toc20507"/>
      <w:bookmarkStart w:id="82" w:name="_Toc30368"/>
      <w:r>
        <w:rPr>
          <w:rFonts w:hint="eastAsia" w:ascii="黑体" w:hAnsi="黑体" w:eastAsia="黑体" w:cs="黑体"/>
          <w:sz w:val="36"/>
          <w:szCs w:val="36"/>
          <w:highlight w:val="none"/>
        </w:rPr>
        <w:t>三、报价清单</w:t>
      </w:r>
      <w:bookmarkEnd w:id="78"/>
      <w:bookmarkEnd w:id="79"/>
      <w:bookmarkEnd w:id="80"/>
      <w:bookmarkEnd w:id="81"/>
      <w:bookmarkEnd w:id="82"/>
    </w:p>
    <w:p w14:paraId="6F747BC4">
      <w:pPr>
        <w:jc w:val="center"/>
        <w:outlineLvl w:val="2"/>
        <w:rPr>
          <w:rFonts w:hint="eastAsia" w:ascii="黑体" w:hAnsi="宋体" w:eastAsia="方正小标宋简体"/>
          <w:sz w:val="24"/>
          <w:highlight w:val="none"/>
        </w:rPr>
      </w:pPr>
      <w:bookmarkStart w:id="83" w:name="_Toc10738"/>
      <w:bookmarkStart w:id="84" w:name="_Toc32344"/>
      <w:r>
        <w:rPr>
          <w:rFonts w:hint="eastAsia" w:ascii="宋体" w:hAnsi="宋体" w:cs="宋体"/>
          <w:b/>
          <w:sz w:val="32"/>
          <w:szCs w:val="32"/>
          <w:highlight w:val="none"/>
        </w:rPr>
        <w:t>（一）报价文件说明</w:t>
      </w:r>
      <w:bookmarkEnd w:id="83"/>
      <w:bookmarkEnd w:id="84"/>
    </w:p>
    <w:p w14:paraId="62BCF4A1">
      <w:pPr>
        <w:rPr>
          <w:rFonts w:hint="eastAsia" w:ascii="黑体" w:hAnsi="宋体" w:eastAsia="黑体"/>
          <w:sz w:val="24"/>
          <w:highlight w:val="none"/>
        </w:rPr>
      </w:pPr>
    </w:p>
    <w:p w14:paraId="0601AA05">
      <w:pPr>
        <w:spacing w:line="400" w:lineRule="exact"/>
        <w:ind w:firstLine="480" w:firstLineChars="200"/>
        <w:rPr>
          <w:rFonts w:hint="eastAsia" w:ascii="宋体" w:hAnsi="宋体"/>
          <w:sz w:val="24"/>
          <w:highlight w:val="none"/>
        </w:rPr>
      </w:pPr>
      <w:r>
        <w:rPr>
          <w:rFonts w:hint="eastAsia" w:ascii="宋体" w:hAnsi="宋体"/>
          <w:sz w:val="24"/>
          <w:highlight w:val="none"/>
        </w:rPr>
        <w:t>1.“报价清单”应与“供应商须知”“采购内容及要求”“合同条款”等一起使用。</w:t>
      </w:r>
    </w:p>
    <w:p w14:paraId="08E43A04">
      <w:pPr>
        <w:spacing w:line="400" w:lineRule="exact"/>
        <w:ind w:firstLine="480" w:firstLineChars="200"/>
        <w:rPr>
          <w:rFonts w:hint="eastAsia" w:ascii="宋体" w:hAnsi="宋体"/>
          <w:sz w:val="24"/>
          <w:highlight w:val="none"/>
        </w:rPr>
      </w:pPr>
      <w:r>
        <w:rPr>
          <w:rFonts w:hint="eastAsia" w:ascii="宋体" w:hAnsi="宋体"/>
          <w:sz w:val="24"/>
          <w:highlight w:val="none"/>
        </w:rPr>
        <w:t>2.本次采购采用总价包干，</w:t>
      </w:r>
      <w:r>
        <w:rPr>
          <w:rFonts w:hint="eastAsia" w:ascii="宋体" w:hAnsi="宋体"/>
          <w:sz w:val="24"/>
          <w:highlight w:val="none"/>
          <w:lang w:eastAsia="zh-CN"/>
        </w:rPr>
        <w:t>投标报价已包含从前期踏勘、资料收集到最后验收（含审查验收）等全过程的所有费用</w:t>
      </w:r>
      <w:r>
        <w:rPr>
          <w:rFonts w:hint="eastAsia" w:ascii="宋体" w:hAnsi="宋体"/>
          <w:sz w:val="24"/>
          <w:highlight w:val="none"/>
        </w:rPr>
        <w:t>，包含为完成</w:t>
      </w:r>
      <w:r>
        <w:rPr>
          <w:rFonts w:hint="eastAsia" w:ascii="宋体" w:hAnsi="宋体"/>
          <w:sz w:val="24"/>
          <w:highlight w:val="none"/>
          <w:lang w:eastAsia="zh-CN"/>
        </w:rPr>
        <w:t>桂江（莲花大桥至桂江河口）航道扩建工程社会稳定风险分析及评估服务项目</w:t>
      </w:r>
      <w:r>
        <w:rPr>
          <w:rFonts w:hint="eastAsia" w:ascii="宋体" w:hAnsi="宋体"/>
          <w:sz w:val="24"/>
          <w:highlight w:val="none"/>
        </w:rPr>
        <w:t>的全部工作以及可能发生的各种费用。本项目合同总价在合同执行过程中是固定的，不因情况变化而调整。</w:t>
      </w:r>
    </w:p>
    <w:p w14:paraId="369267C5">
      <w:pPr>
        <w:spacing w:line="400" w:lineRule="exact"/>
        <w:ind w:firstLine="480" w:firstLineChars="200"/>
        <w:rPr>
          <w:rFonts w:hint="eastAsia" w:ascii="宋体" w:hAnsi="宋体"/>
          <w:sz w:val="24"/>
          <w:highlight w:val="none"/>
        </w:rPr>
      </w:pPr>
      <w:r>
        <w:rPr>
          <w:rFonts w:hint="eastAsia" w:ascii="宋体" w:hAnsi="宋体"/>
          <w:sz w:val="24"/>
          <w:highlight w:val="none"/>
        </w:rPr>
        <w:t>3.</w:t>
      </w:r>
      <w:r>
        <w:rPr>
          <w:rFonts w:hint="eastAsia" w:ascii="宋体" w:hAnsi="宋体"/>
          <w:sz w:val="24"/>
          <w:highlight w:val="none"/>
          <w:lang w:eastAsia="zh-CN"/>
        </w:rPr>
        <w:t>投标</w:t>
      </w:r>
      <w:r>
        <w:rPr>
          <w:rFonts w:hint="eastAsia" w:ascii="宋体" w:hAnsi="宋体"/>
          <w:sz w:val="24"/>
          <w:highlight w:val="none"/>
        </w:rPr>
        <w:t>报价为一次报价，此次报价即最终报价，不再就价格问题另行协商。</w:t>
      </w:r>
    </w:p>
    <w:p w14:paraId="29A3D2E0">
      <w:pPr>
        <w:spacing w:line="400" w:lineRule="exact"/>
        <w:ind w:firstLine="480" w:firstLineChars="200"/>
        <w:rPr>
          <w:rFonts w:hint="eastAsia" w:ascii="宋体" w:hAnsi="宋体"/>
          <w:sz w:val="24"/>
          <w:highlight w:val="none"/>
        </w:rPr>
      </w:pPr>
      <w:r>
        <w:rPr>
          <w:rFonts w:hint="eastAsia" w:ascii="宋体" w:hAnsi="宋体"/>
          <w:sz w:val="24"/>
          <w:highlight w:val="none"/>
        </w:rPr>
        <w:t>4.“报价清单”中报价应以人民币为单位。</w:t>
      </w:r>
    </w:p>
    <w:p w14:paraId="0CDD9AD8">
      <w:pPr>
        <w:spacing w:line="400" w:lineRule="exact"/>
        <w:ind w:firstLine="480" w:firstLineChars="200"/>
        <w:rPr>
          <w:rFonts w:hint="eastAsia" w:ascii="宋体" w:hAnsi="宋体"/>
          <w:sz w:val="24"/>
          <w:highlight w:val="none"/>
        </w:rPr>
      </w:pPr>
      <w:r>
        <w:rPr>
          <w:rFonts w:hint="eastAsia" w:ascii="宋体" w:hAnsi="宋体"/>
          <w:sz w:val="24"/>
          <w:highlight w:val="none"/>
        </w:rPr>
        <w:t>5.报价应为含税价格，并且能够提供增值税发票。</w:t>
      </w:r>
    </w:p>
    <w:p w14:paraId="2C89FE2D">
      <w:pPr>
        <w:spacing w:line="400" w:lineRule="exact"/>
        <w:ind w:firstLine="480" w:firstLineChars="200"/>
        <w:rPr>
          <w:rFonts w:hint="eastAsia" w:ascii="宋体" w:hAnsi="宋体"/>
          <w:sz w:val="24"/>
          <w:highlight w:val="none"/>
        </w:rPr>
      </w:pPr>
      <w:r>
        <w:rPr>
          <w:rFonts w:hint="eastAsia" w:ascii="宋体" w:hAnsi="宋体"/>
          <w:sz w:val="24"/>
          <w:highlight w:val="none"/>
        </w:rPr>
        <w:t>6.供应商应在“报价清单”后附</w:t>
      </w:r>
      <w:bookmarkStart w:id="85" w:name="_Hlk203661040"/>
      <w:r>
        <w:rPr>
          <w:rFonts w:hint="eastAsia" w:ascii="宋体" w:hAnsi="宋体"/>
          <w:sz w:val="24"/>
          <w:highlight w:val="none"/>
        </w:rPr>
        <w:t>计算说明</w:t>
      </w:r>
      <w:bookmarkEnd w:id="85"/>
      <w:r>
        <w:rPr>
          <w:rFonts w:hint="eastAsia" w:ascii="宋体" w:hAnsi="宋体"/>
          <w:sz w:val="24"/>
          <w:highlight w:val="none"/>
        </w:rPr>
        <w:t>，包括计算方法、取费依据等，以便采购人对供应商报价的合理性作出判断。</w:t>
      </w:r>
    </w:p>
    <w:p w14:paraId="44E8D68B">
      <w:pPr>
        <w:rPr>
          <w:b/>
          <w:bCs/>
          <w:sz w:val="24"/>
          <w:highlight w:val="none"/>
        </w:rPr>
      </w:pPr>
      <w:r>
        <w:rPr>
          <w:rFonts w:hint="eastAsia"/>
          <w:b/>
          <w:bCs/>
          <w:sz w:val="24"/>
          <w:highlight w:val="none"/>
        </w:rPr>
        <w:br w:type="page"/>
      </w:r>
    </w:p>
    <w:p w14:paraId="2D771DDB">
      <w:pPr>
        <w:pStyle w:val="10"/>
        <w:jc w:val="center"/>
        <w:outlineLvl w:val="2"/>
        <w:rPr>
          <w:b/>
          <w:bCs/>
          <w:sz w:val="32"/>
          <w:szCs w:val="32"/>
          <w:highlight w:val="none"/>
        </w:rPr>
      </w:pPr>
      <w:bookmarkStart w:id="86" w:name="_Toc2327"/>
      <w:bookmarkStart w:id="87" w:name="_Toc1367"/>
      <w:bookmarkStart w:id="88" w:name="_Hlk203660973"/>
      <w:r>
        <w:rPr>
          <w:rFonts w:hint="eastAsia"/>
          <w:b/>
          <w:bCs/>
          <w:sz w:val="32"/>
          <w:szCs w:val="32"/>
          <w:highlight w:val="none"/>
        </w:rPr>
        <w:t>（二）</w:t>
      </w:r>
      <w:r>
        <w:rPr>
          <w:rFonts w:hint="eastAsia"/>
          <w:b/>
          <w:bCs/>
          <w:sz w:val="32"/>
          <w:szCs w:val="32"/>
          <w:highlight w:val="none"/>
          <w:lang w:eastAsia="zh-CN"/>
        </w:rPr>
        <w:t>投标</w:t>
      </w:r>
      <w:r>
        <w:rPr>
          <w:rFonts w:hint="eastAsia"/>
          <w:b/>
          <w:bCs/>
          <w:sz w:val="32"/>
          <w:szCs w:val="32"/>
          <w:highlight w:val="none"/>
        </w:rPr>
        <w:t>报价表</w:t>
      </w:r>
      <w:bookmarkEnd w:id="86"/>
      <w:bookmarkEnd w:id="87"/>
    </w:p>
    <w:p w14:paraId="4DC1343F">
      <w:pPr>
        <w:pStyle w:val="10"/>
        <w:rPr>
          <w:highlight w:val="none"/>
        </w:rPr>
      </w:pPr>
    </w:p>
    <w:p w14:paraId="19A3713C">
      <w:pPr>
        <w:spacing w:line="360" w:lineRule="auto"/>
        <w:contextualSpacing/>
        <w:rPr>
          <w:rFonts w:hint="eastAsia" w:ascii="宋体" w:hAnsi="宋体" w:cs="仿宋_GB2312"/>
          <w:sz w:val="24"/>
          <w:highlight w:val="none"/>
        </w:rPr>
      </w:pPr>
      <w:r>
        <w:rPr>
          <w:rFonts w:hint="eastAsia" w:ascii="宋体" w:hAnsi="宋体" w:cs="仿宋_GB2312"/>
          <w:sz w:val="24"/>
          <w:highlight w:val="none"/>
        </w:rPr>
        <w:t>采购项目名称：</w:t>
      </w:r>
      <w:r>
        <w:rPr>
          <w:rFonts w:hint="eastAsia" w:ascii="宋体" w:hAnsi="宋体" w:cs="仿宋_GB2312"/>
          <w:sz w:val="24"/>
          <w:highlight w:val="none"/>
          <w:u w:val="single"/>
          <w:lang w:eastAsia="zh-CN"/>
        </w:rPr>
        <w:t>桂江（莲花大桥至桂江河口）航道扩建工程社会稳定风险分析及评估服务</w:t>
      </w:r>
      <w:r>
        <w:rPr>
          <w:rFonts w:hint="eastAsia" w:ascii="宋体" w:hAnsi="宋体" w:cs="仿宋_GB2312"/>
          <w:sz w:val="24"/>
          <w:highlight w:val="none"/>
        </w:rPr>
        <w:t xml:space="preserve">                                                       单位：人民币元</w:t>
      </w:r>
    </w:p>
    <w:tbl>
      <w:tblPr>
        <w:tblStyle w:val="24"/>
        <w:tblW w:w="4996"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2842"/>
        <w:gridCol w:w="1322"/>
        <w:gridCol w:w="776"/>
        <w:gridCol w:w="2017"/>
        <w:gridCol w:w="1478"/>
      </w:tblGrid>
      <w:tr w14:paraId="59357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398" w:type="pct"/>
            <w:tcBorders>
              <w:top w:val="single" w:color="auto" w:sz="4" w:space="0"/>
              <w:left w:val="single" w:color="auto" w:sz="4" w:space="0"/>
              <w:bottom w:val="single" w:color="auto" w:sz="4" w:space="0"/>
              <w:right w:val="single" w:color="auto" w:sz="4" w:space="0"/>
            </w:tcBorders>
            <w:vAlign w:val="center"/>
          </w:tcPr>
          <w:p w14:paraId="2E3BD99F">
            <w:pPr>
              <w:contextualSpacing/>
              <w:jc w:val="center"/>
              <w:rPr>
                <w:rFonts w:hint="eastAsia" w:ascii="宋体" w:hAnsi="宋体" w:cs="仿宋_GB2312"/>
                <w:sz w:val="24"/>
                <w:highlight w:val="none"/>
              </w:rPr>
            </w:pPr>
            <w:r>
              <w:rPr>
                <w:rFonts w:ascii="宋体" w:hAnsi="宋体" w:cs="仿宋_GB2312"/>
                <w:sz w:val="24"/>
                <w:highlight w:val="none"/>
              </w:rPr>
              <w:t>序号</w:t>
            </w:r>
          </w:p>
        </w:tc>
        <w:tc>
          <w:tcPr>
            <w:tcW w:w="1550" w:type="pct"/>
            <w:tcBorders>
              <w:top w:val="single" w:color="auto" w:sz="4" w:space="0"/>
              <w:left w:val="single" w:color="auto" w:sz="4" w:space="0"/>
              <w:bottom w:val="single" w:color="auto" w:sz="4" w:space="0"/>
              <w:right w:val="single" w:color="auto" w:sz="4" w:space="0"/>
            </w:tcBorders>
            <w:vAlign w:val="center"/>
          </w:tcPr>
          <w:p w14:paraId="491885E6">
            <w:pPr>
              <w:contextualSpacing/>
              <w:jc w:val="center"/>
              <w:rPr>
                <w:rFonts w:hint="eastAsia" w:ascii="宋体" w:hAnsi="宋体" w:cs="仿宋_GB2312"/>
                <w:sz w:val="24"/>
                <w:highlight w:val="none"/>
              </w:rPr>
            </w:pPr>
            <w:r>
              <w:rPr>
                <w:rFonts w:ascii="宋体" w:hAnsi="宋体" w:cs="仿宋_GB2312"/>
                <w:sz w:val="24"/>
                <w:highlight w:val="none"/>
              </w:rPr>
              <w:t>服务名称</w:t>
            </w:r>
          </w:p>
        </w:tc>
        <w:tc>
          <w:tcPr>
            <w:tcW w:w="721" w:type="pct"/>
            <w:tcBorders>
              <w:top w:val="single" w:color="auto" w:sz="4" w:space="0"/>
              <w:left w:val="single" w:color="auto" w:sz="4" w:space="0"/>
              <w:bottom w:val="single" w:color="auto" w:sz="4" w:space="0"/>
              <w:right w:val="single" w:color="auto" w:sz="4" w:space="0"/>
            </w:tcBorders>
            <w:vAlign w:val="center"/>
          </w:tcPr>
          <w:p w14:paraId="4CD599ED">
            <w:pPr>
              <w:contextualSpacing/>
              <w:jc w:val="center"/>
              <w:rPr>
                <w:rFonts w:hint="eastAsia" w:ascii="宋体" w:hAnsi="宋体" w:cs="仿宋_GB2312"/>
                <w:sz w:val="24"/>
                <w:highlight w:val="none"/>
              </w:rPr>
            </w:pPr>
            <w:r>
              <w:rPr>
                <w:rFonts w:hint="eastAsia" w:ascii="宋体" w:hAnsi="宋体" w:cs="仿宋_GB2312"/>
                <w:sz w:val="24"/>
                <w:highlight w:val="none"/>
              </w:rPr>
              <w:t>数量</w:t>
            </w:r>
          </w:p>
        </w:tc>
        <w:tc>
          <w:tcPr>
            <w:tcW w:w="423" w:type="pct"/>
            <w:tcBorders>
              <w:top w:val="single" w:color="auto" w:sz="4" w:space="0"/>
              <w:left w:val="single" w:color="auto" w:sz="4" w:space="0"/>
              <w:bottom w:val="single" w:color="auto" w:sz="4" w:space="0"/>
              <w:right w:val="single" w:color="auto" w:sz="4" w:space="0"/>
            </w:tcBorders>
            <w:vAlign w:val="center"/>
          </w:tcPr>
          <w:p w14:paraId="397EFCFA">
            <w:pPr>
              <w:contextualSpacing/>
              <w:jc w:val="center"/>
              <w:rPr>
                <w:rFonts w:hint="eastAsia" w:ascii="宋体" w:hAnsi="宋体" w:cs="仿宋_GB2312"/>
                <w:sz w:val="24"/>
                <w:highlight w:val="none"/>
              </w:rPr>
            </w:pPr>
            <w:r>
              <w:rPr>
                <w:rFonts w:hint="eastAsia" w:ascii="宋体" w:hAnsi="宋体" w:cs="仿宋_GB2312"/>
                <w:sz w:val="24"/>
                <w:highlight w:val="none"/>
              </w:rPr>
              <w:t>单位</w:t>
            </w:r>
          </w:p>
        </w:tc>
        <w:tc>
          <w:tcPr>
            <w:tcW w:w="1100" w:type="pct"/>
            <w:tcBorders>
              <w:top w:val="single" w:color="auto" w:sz="4" w:space="0"/>
              <w:left w:val="single" w:color="auto" w:sz="4" w:space="0"/>
              <w:bottom w:val="single" w:color="auto" w:sz="4" w:space="0"/>
              <w:right w:val="single" w:color="auto" w:sz="4" w:space="0"/>
            </w:tcBorders>
            <w:vAlign w:val="center"/>
          </w:tcPr>
          <w:p w14:paraId="57BBE187">
            <w:pPr>
              <w:contextualSpacing/>
              <w:jc w:val="center"/>
              <w:rPr>
                <w:rFonts w:hint="eastAsia" w:ascii="宋体" w:hAnsi="宋体" w:cs="仿宋_GB2312"/>
                <w:sz w:val="24"/>
                <w:highlight w:val="none"/>
              </w:rPr>
            </w:pPr>
            <w:r>
              <w:rPr>
                <w:rFonts w:hint="eastAsia" w:ascii="宋体" w:hAnsi="宋体" w:cs="仿宋_GB2312"/>
                <w:sz w:val="24"/>
                <w:highlight w:val="none"/>
              </w:rPr>
              <w:t>金额</w:t>
            </w:r>
          </w:p>
        </w:tc>
        <w:tc>
          <w:tcPr>
            <w:tcW w:w="806" w:type="pct"/>
            <w:tcBorders>
              <w:top w:val="single" w:color="auto" w:sz="4" w:space="0"/>
              <w:left w:val="single" w:color="auto" w:sz="4" w:space="0"/>
              <w:bottom w:val="single" w:color="auto" w:sz="4" w:space="0"/>
              <w:right w:val="single" w:color="auto" w:sz="4" w:space="0"/>
            </w:tcBorders>
            <w:vAlign w:val="center"/>
          </w:tcPr>
          <w:p w14:paraId="5DC7E8A9">
            <w:pPr>
              <w:contextualSpacing/>
              <w:jc w:val="center"/>
              <w:rPr>
                <w:rFonts w:hint="eastAsia" w:ascii="宋体" w:hAnsi="宋体" w:cs="仿宋_GB2312"/>
                <w:sz w:val="24"/>
                <w:highlight w:val="none"/>
              </w:rPr>
            </w:pPr>
            <w:r>
              <w:rPr>
                <w:rFonts w:ascii="宋体" w:hAnsi="宋体" w:cs="仿宋_GB2312"/>
                <w:sz w:val="24"/>
                <w:highlight w:val="none"/>
              </w:rPr>
              <w:t>备注</w:t>
            </w:r>
          </w:p>
        </w:tc>
      </w:tr>
      <w:tr w14:paraId="22D74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right"/>
        </w:trPr>
        <w:tc>
          <w:tcPr>
            <w:tcW w:w="398" w:type="pct"/>
            <w:tcBorders>
              <w:top w:val="single" w:color="auto" w:sz="4" w:space="0"/>
              <w:left w:val="single" w:color="auto" w:sz="4" w:space="0"/>
              <w:bottom w:val="single" w:color="auto" w:sz="4" w:space="0"/>
              <w:right w:val="single" w:color="auto" w:sz="4" w:space="0"/>
            </w:tcBorders>
            <w:vAlign w:val="center"/>
          </w:tcPr>
          <w:p w14:paraId="60D01A63">
            <w:pPr>
              <w:adjustRightInd w:val="0"/>
              <w:snapToGrid w:val="0"/>
              <w:contextualSpacing/>
              <w:jc w:val="center"/>
              <w:rPr>
                <w:rFonts w:hint="eastAsia" w:ascii="宋体" w:hAnsi="宋体" w:eastAsia="宋体" w:cs="仿宋_GB2312"/>
                <w:sz w:val="24"/>
                <w:highlight w:val="none"/>
                <w:lang w:eastAsia="zh-CN"/>
              </w:rPr>
            </w:pPr>
            <w:r>
              <w:rPr>
                <w:rFonts w:hint="eastAsia" w:ascii="宋体" w:hAnsi="宋体" w:cs="仿宋_GB2312"/>
                <w:sz w:val="24"/>
                <w:highlight w:val="none"/>
                <w:lang w:val="en-US" w:eastAsia="zh-CN"/>
              </w:rPr>
              <w:t>1</w:t>
            </w:r>
          </w:p>
        </w:tc>
        <w:tc>
          <w:tcPr>
            <w:tcW w:w="1550" w:type="pct"/>
            <w:tcBorders>
              <w:top w:val="single" w:color="auto" w:sz="4" w:space="0"/>
              <w:left w:val="single" w:color="auto" w:sz="4" w:space="0"/>
              <w:bottom w:val="single" w:color="auto" w:sz="4" w:space="0"/>
              <w:right w:val="single" w:color="auto" w:sz="4" w:space="0"/>
            </w:tcBorders>
            <w:vAlign w:val="center"/>
          </w:tcPr>
          <w:p w14:paraId="2A91325D">
            <w:pPr>
              <w:adjustRightInd w:val="0"/>
              <w:snapToGrid w:val="0"/>
              <w:jc w:val="left"/>
              <w:rPr>
                <w:rFonts w:hint="eastAsia" w:ascii="宋体" w:hAnsi="宋体" w:eastAsia="宋体" w:cs="仿宋_GB2312"/>
                <w:sz w:val="24"/>
                <w:highlight w:val="none"/>
                <w:lang w:eastAsia="zh-CN"/>
              </w:rPr>
            </w:pPr>
            <w:r>
              <w:rPr>
                <w:rFonts w:hint="eastAsia" w:ascii="宋体" w:hAnsi="宋体" w:cs="仿宋_GB2312"/>
                <w:sz w:val="24"/>
                <w:highlight w:val="none"/>
                <w:lang w:eastAsia="zh-CN"/>
              </w:rPr>
              <w:t>社会稳定风险分析及评估</w:t>
            </w:r>
          </w:p>
        </w:tc>
        <w:tc>
          <w:tcPr>
            <w:tcW w:w="721" w:type="pct"/>
            <w:tcBorders>
              <w:top w:val="single" w:color="auto" w:sz="4" w:space="0"/>
              <w:left w:val="single" w:color="auto" w:sz="4" w:space="0"/>
              <w:bottom w:val="single" w:color="auto" w:sz="4" w:space="0"/>
              <w:right w:val="single" w:color="auto" w:sz="4" w:space="0"/>
            </w:tcBorders>
            <w:vAlign w:val="center"/>
          </w:tcPr>
          <w:p w14:paraId="1F45F0EE">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1</w:t>
            </w:r>
          </w:p>
        </w:tc>
        <w:tc>
          <w:tcPr>
            <w:tcW w:w="423" w:type="pct"/>
            <w:tcBorders>
              <w:top w:val="single" w:color="auto" w:sz="4" w:space="0"/>
              <w:left w:val="single" w:color="auto" w:sz="4" w:space="0"/>
              <w:bottom w:val="single" w:color="auto" w:sz="4" w:space="0"/>
              <w:right w:val="single" w:color="auto" w:sz="4" w:space="0"/>
            </w:tcBorders>
            <w:vAlign w:val="center"/>
          </w:tcPr>
          <w:p w14:paraId="59389774">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项</w:t>
            </w:r>
          </w:p>
        </w:tc>
        <w:tc>
          <w:tcPr>
            <w:tcW w:w="1100" w:type="pct"/>
            <w:tcBorders>
              <w:top w:val="single" w:color="auto" w:sz="4" w:space="0"/>
              <w:left w:val="single" w:color="auto" w:sz="4" w:space="0"/>
              <w:bottom w:val="single" w:color="auto" w:sz="4" w:space="0"/>
              <w:right w:val="single" w:color="auto" w:sz="4" w:space="0"/>
            </w:tcBorders>
            <w:vAlign w:val="center"/>
          </w:tcPr>
          <w:p w14:paraId="6B17116F">
            <w:pPr>
              <w:adjustRightInd w:val="0"/>
              <w:snapToGrid w:val="0"/>
              <w:contextualSpacing/>
              <w:jc w:val="center"/>
              <w:rPr>
                <w:rFonts w:hint="eastAsia" w:ascii="宋体" w:hAnsi="宋体" w:cs="仿宋_GB2312"/>
                <w:sz w:val="24"/>
                <w:highlight w:val="none"/>
              </w:rPr>
            </w:pPr>
          </w:p>
        </w:tc>
        <w:tc>
          <w:tcPr>
            <w:tcW w:w="806" w:type="pct"/>
            <w:tcBorders>
              <w:top w:val="single" w:color="auto" w:sz="4" w:space="0"/>
              <w:left w:val="single" w:color="auto" w:sz="4" w:space="0"/>
              <w:bottom w:val="single" w:color="auto" w:sz="4" w:space="0"/>
              <w:right w:val="single" w:color="auto" w:sz="4" w:space="0"/>
            </w:tcBorders>
            <w:vAlign w:val="center"/>
          </w:tcPr>
          <w:p w14:paraId="6F04B66C">
            <w:pPr>
              <w:adjustRightInd w:val="0"/>
              <w:snapToGrid w:val="0"/>
              <w:contextualSpacing/>
              <w:jc w:val="center"/>
              <w:rPr>
                <w:rFonts w:hint="eastAsia" w:ascii="宋体" w:hAnsi="宋体" w:cs="仿宋_GB2312"/>
                <w:sz w:val="24"/>
                <w:highlight w:val="none"/>
              </w:rPr>
            </w:pPr>
          </w:p>
        </w:tc>
      </w:tr>
    </w:tbl>
    <w:p w14:paraId="4785600E">
      <w:pPr>
        <w:spacing w:line="360" w:lineRule="auto"/>
        <w:contextualSpacing/>
        <w:jc w:val="left"/>
        <w:rPr>
          <w:rFonts w:hint="eastAsia" w:ascii="宋体" w:hAnsi="宋体" w:cs="仿宋_GB2312"/>
          <w:sz w:val="24"/>
          <w:highlight w:val="none"/>
        </w:rPr>
      </w:pPr>
      <w:r>
        <w:rPr>
          <w:rFonts w:hint="eastAsia" w:ascii="宋体" w:hAnsi="宋体" w:cs="仿宋_GB2312"/>
          <w:sz w:val="24"/>
          <w:highlight w:val="none"/>
        </w:rPr>
        <w:t xml:space="preserve">注: </w:t>
      </w:r>
    </w:p>
    <w:p w14:paraId="62C2D625">
      <w:pPr>
        <w:spacing w:line="360" w:lineRule="auto"/>
        <w:ind w:firstLine="480" w:firstLineChars="200"/>
        <w:contextualSpacing/>
        <w:jc w:val="left"/>
        <w:rPr>
          <w:rFonts w:hint="eastAsia" w:ascii="宋体" w:hAnsi="宋体" w:cs="仿宋_GB2312"/>
          <w:sz w:val="24"/>
          <w:highlight w:val="none"/>
        </w:rPr>
      </w:pPr>
      <w:r>
        <w:rPr>
          <w:rFonts w:hint="eastAsia" w:ascii="宋体" w:hAnsi="宋体" w:cs="仿宋_GB2312"/>
          <w:sz w:val="24"/>
          <w:highlight w:val="none"/>
        </w:rPr>
        <w:t>1.供应商的报价表必须加盖供应商公章并由法定代表人或者委托代理人签字，</w:t>
      </w:r>
      <w:r>
        <w:rPr>
          <w:rFonts w:hint="eastAsia" w:ascii="宋体" w:hAnsi="宋体" w:cs="仿宋_GB2312"/>
          <w:b/>
          <w:sz w:val="24"/>
          <w:highlight w:val="none"/>
        </w:rPr>
        <w:t>否则其响应文件按无效响应处理</w:t>
      </w:r>
      <w:r>
        <w:rPr>
          <w:rFonts w:hint="eastAsia" w:ascii="宋体" w:hAnsi="宋体" w:cs="仿宋_GB2312"/>
          <w:sz w:val="24"/>
          <w:highlight w:val="none"/>
        </w:rPr>
        <w:t>。</w:t>
      </w:r>
    </w:p>
    <w:p w14:paraId="679E3A35">
      <w:pPr>
        <w:spacing w:line="360" w:lineRule="auto"/>
        <w:ind w:firstLine="480" w:firstLineChars="200"/>
        <w:contextualSpacing/>
        <w:jc w:val="left"/>
        <w:rPr>
          <w:rFonts w:hint="eastAsia" w:ascii="宋体" w:hAnsi="宋体" w:cs="仿宋_GB2312"/>
          <w:b/>
          <w:sz w:val="24"/>
          <w:highlight w:val="none"/>
        </w:rPr>
      </w:pPr>
      <w:r>
        <w:rPr>
          <w:rFonts w:hint="eastAsia" w:ascii="宋体" w:hAnsi="宋体" w:cs="仿宋_GB2312"/>
          <w:bCs/>
          <w:sz w:val="24"/>
          <w:highlight w:val="none"/>
        </w:rPr>
        <w:t>2.</w:t>
      </w:r>
      <w:r>
        <w:rPr>
          <w:rFonts w:hint="eastAsia" w:ascii="宋体" w:hAnsi="宋体" w:cs="仿宋_GB2312"/>
          <w:sz w:val="24"/>
          <w:highlight w:val="none"/>
        </w:rPr>
        <w:t>报价一经涂改，应在涂改处加盖供应商公章或者由法定代表人或者委托代理人签字或者盖章</w:t>
      </w:r>
      <w:r>
        <w:rPr>
          <w:rFonts w:hint="eastAsia" w:ascii="宋体" w:hAnsi="宋体" w:cs="仿宋_GB2312"/>
          <w:b/>
          <w:sz w:val="24"/>
          <w:highlight w:val="none"/>
        </w:rPr>
        <w:t>，否则其响应文件按无效响应处理。</w:t>
      </w:r>
    </w:p>
    <w:p w14:paraId="3C2BEB41">
      <w:pPr>
        <w:spacing w:line="360" w:lineRule="auto"/>
        <w:ind w:firstLine="480" w:firstLineChars="200"/>
        <w:contextualSpacing/>
        <w:rPr>
          <w:rFonts w:hint="eastAsia" w:ascii="宋体" w:hAnsi="宋体" w:cs="仿宋_GB2312"/>
          <w:sz w:val="24"/>
          <w:highlight w:val="none"/>
        </w:rPr>
      </w:pPr>
    </w:p>
    <w:p w14:paraId="7BECFAF2">
      <w:pPr>
        <w:spacing w:line="360" w:lineRule="auto"/>
        <w:ind w:right="-817" w:rightChars="-389" w:firstLine="2640" w:firstLineChars="1100"/>
        <w:contextualSpacing/>
        <w:rPr>
          <w:rFonts w:hint="eastAsia" w:ascii="宋体" w:hAnsi="宋体" w:cs="仿宋_GB2312"/>
          <w:sz w:val="24"/>
          <w:highlight w:val="none"/>
        </w:rPr>
      </w:pPr>
    </w:p>
    <w:p w14:paraId="4D640A0D">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11E2838B">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9DD37C6">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bookmarkEnd w:id="88"/>
    <w:p w14:paraId="76B17D52">
      <w:pPr>
        <w:spacing w:line="360" w:lineRule="auto"/>
        <w:ind w:firstLine="643" w:firstLineChars="200"/>
        <w:rPr>
          <w:snapToGrid w:val="0"/>
          <w:kern w:val="0"/>
          <w:szCs w:val="21"/>
          <w:highlight w:val="none"/>
        </w:rPr>
      </w:pPr>
      <w:r>
        <w:rPr>
          <w:rFonts w:hint="eastAsia" w:ascii="宋体" w:hAnsi="Courier New"/>
          <w:b/>
          <w:sz w:val="32"/>
          <w:szCs w:val="32"/>
          <w:highlight w:val="none"/>
        </w:rPr>
        <w:br w:type="page"/>
      </w:r>
    </w:p>
    <w:p w14:paraId="12219D31">
      <w:pPr>
        <w:snapToGrid w:val="0"/>
        <w:spacing w:line="360" w:lineRule="auto"/>
        <w:jc w:val="center"/>
        <w:outlineLvl w:val="1"/>
        <w:rPr>
          <w:rFonts w:hint="eastAsia" w:ascii="黑体" w:hAnsi="黑体" w:eastAsia="黑体" w:cs="黑体"/>
          <w:sz w:val="36"/>
          <w:szCs w:val="36"/>
          <w:highlight w:val="none"/>
        </w:rPr>
      </w:pPr>
      <w:bookmarkStart w:id="89" w:name="_Toc4639"/>
      <w:bookmarkStart w:id="90" w:name="_Toc27313"/>
      <w:bookmarkStart w:id="91" w:name="_Toc16610"/>
      <w:bookmarkStart w:id="92" w:name="_Toc29645"/>
      <w:bookmarkStart w:id="93" w:name="_Toc15587"/>
      <w:r>
        <w:rPr>
          <w:rFonts w:hint="eastAsia" w:ascii="黑体" w:hAnsi="黑体" w:eastAsia="黑体" w:cs="黑体"/>
          <w:sz w:val="36"/>
          <w:szCs w:val="36"/>
          <w:highlight w:val="none"/>
        </w:rPr>
        <w:t>四、</w:t>
      </w:r>
      <w:r>
        <w:rPr>
          <w:rFonts w:hint="eastAsia" w:ascii="黑体" w:hAnsi="黑体" w:eastAsia="黑体" w:cs="黑体"/>
          <w:sz w:val="36"/>
          <w:szCs w:val="36"/>
          <w:highlight w:val="none"/>
          <w:lang w:eastAsia="zh-CN"/>
        </w:rPr>
        <w:t>资格审查</w:t>
      </w:r>
      <w:r>
        <w:rPr>
          <w:rFonts w:hint="eastAsia" w:ascii="黑体" w:hAnsi="黑体" w:eastAsia="黑体" w:cs="黑体"/>
          <w:sz w:val="36"/>
          <w:szCs w:val="36"/>
          <w:highlight w:val="none"/>
        </w:rPr>
        <w:t>资料</w:t>
      </w:r>
      <w:bookmarkEnd w:id="89"/>
      <w:bookmarkEnd w:id="90"/>
      <w:bookmarkEnd w:id="91"/>
    </w:p>
    <w:p w14:paraId="2E981195">
      <w:pPr>
        <w:snapToGrid w:val="0"/>
        <w:spacing w:before="120" w:beforeLines="50" w:after="50"/>
        <w:jc w:val="center"/>
        <w:outlineLvl w:val="2"/>
        <w:rPr>
          <w:rFonts w:hint="eastAsia" w:ascii="宋体" w:hAnsi="宋体" w:eastAsia="宋体"/>
          <w:b/>
          <w:sz w:val="24"/>
          <w:highlight w:val="none"/>
          <w:lang w:eastAsia="zh-CN"/>
        </w:rPr>
      </w:pPr>
      <w:r>
        <w:rPr>
          <w:rFonts w:hint="eastAsia" w:ascii="宋体" w:hAnsi="宋体"/>
          <w:b/>
          <w:sz w:val="24"/>
          <w:highlight w:val="none"/>
        </w:rPr>
        <w:t>（一）</w:t>
      </w:r>
      <w:r>
        <w:rPr>
          <w:rFonts w:hint="eastAsia" w:ascii="宋体" w:hAnsi="宋体"/>
          <w:b/>
          <w:sz w:val="24"/>
          <w:highlight w:val="none"/>
          <w:lang w:eastAsia="zh-CN"/>
        </w:rPr>
        <w:t>供应商</w:t>
      </w:r>
      <w:bookmarkEnd w:id="92"/>
      <w:bookmarkEnd w:id="93"/>
      <w:r>
        <w:rPr>
          <w:rFonts w:hint="eastAsia" w:ascii="宋体" w:hAnsi="宋体"/>
          <w:b/>
          <w:sz w:val="24"/>
          <w:highlight w:val="none"/>
          <w:lang w:eastAsia="zh-CN"/>
        </w:rPr>
        <w:t>基本情况表</w:t>
      </w:r>
    </w:p>
    <w:tbl>
      <w:tblPr>
        <w:tblStyle w:val="24"/>
        <w:tblW w:w="0" w:type="auto"/>
        <w:tblInd w:w="1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28" w:type="dxa"/>
          <w:bottom w:w="28" w:type="dxa"/>
          <w:right w:w="28" w:type="dxa"/>
        </w:tblCellMar>
      </w:tblPr>
      <w:tblGrid>
        <w:gridCol w:w="2079"/>
        <w:gridCol w:w="1058"/>
        <w:gridCol w:w="1199"/>
        <w:gridCol w:w="901"/>
        <w:gridCol w:w="334"/>
        <w:gridCol w:w="262"/>
        <w:gridCol w:w="75"/>
        <w:gridCol w:w="553"/>
        <w:gridCol w:w="695"/>
        <w:gridCol w:w="63"/>
        <w:gridCol w:w="329"/>
        <w:gridCol w:w="1292"/>
      </w:tblGrid>
      <w:tr w14:paraId="3C3C8C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9" w:hRule="atLeast"/>
        </w:trPr>
        <w:tc>
          <w:tcPr>
            <w:tcW w:w="2079" w:type="dxa"/>
            <w:noWrap w:val="0"/>
            <w:vAlign w:val="center"/>
          </w:tcPr>
          <w:p w14:paraId="1F35CF06">
            <w:pPr>
              <w:autoSpaceDE w:val="0"/>
              <w:autoSpaceDN w:val="0"/>
              <w:jc w:val="center"/>
              <w:rPr>
                <w:rFonts w:ascii="宋体" w:cs="宋体"/>
                <w:kern w:val="0"/>
                <w:sz w:val="24"/>
                <w:highlight w:val="none"/>
              </w:rPr>
            </w:pPr>
            <w:r>
              <w:rPr>
                <w:rFonts w:hint="eastAsia" w:ascii="宋体" w:cs="宋体"/>
                <w:kern w:val="0"/>
                <w:sz w:val="24"/>
                <w:highlight w:val="none"/>
              </w:rPr>
              <w:t>供应商名称</w:t>
            </w:r>
          </w:p>
        </w:tc>
        <w:tc>
          <w:tcPr>
            <w:tcW w:w="6761" w:type="dxa"/>
            <w:gridSpan w:val="11"/>
            <w:noWrap w:val="0"/>
            <w:vAlign w:val="center"/>
          </w:tcPr>
          <w:p w14:paraId="76484E21">
            <w:pPr>
              <w:autoSpaceDE w:val="0"/>
              <w:autoSpaceDN w:val="0"/>
              <w:jc w:val="center"/>
              <w:rPr>
                <w:kern w:val="0"/>
                <w:sz w:val="24"/>
                <w:highlight w:val="none"/>
              </w:rPr>
            </w:pPr>
          </w:p>
        </w:tc>
      </w:tr>
      <w:tr w14:paraId="7A8C1B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7" w:hRule="atLeast"/>
        </w:trPr>
        <w:tc>
          <w:tcPr>
            <w:tcW w:w="2079" w:type="dxa"/>
            <w:noWrap w:val="0"/>
            <w:vAlign w:val="center"/>
          </w:tcPr>
          <w:p w14:paraId="40412053">
            <w:pPr>
              <w:autoSpaceDE w:val="0"/>
              <w:autoSpaceDN w:val="0"/>
              <w:jc w:val="center"/>
              <w:rPr>
                <w:rFonts w:ascii="宋体" w:cs="宋体"/>
                <w:kern w:val="0"/>
                <w:sz w:val="24"/>
                <w:highlight w:val="none"/>
              </w:rPr>
            </w:pPr>
            <w:r>
              <w:rPr>
                <w:rFonts w:hint="eastAsia" w:ascii="宋体" w:cs="宋体"/>
                <w:kern w:val="0"/>
                <w:sz w:val="24"/>
                <w:highlight w:val="none"/>
              </w:rPr>
              <w:t>注册地址</w:t>
            </w:r>
          </w:p>
        </w:tc>
        <w:tc>
          <w:tcPr>
            <w:tcW w:w="3754" w:type="dxa"/>
            <w:gridSpan w:val="5"/>
            <w:noWrap w:val="0"/>
            <w:vAlign w:val="center"/>
          </w:tcPr>
          <w:p w14:paraId="163D083C">
            <w:pPr>
              <w:autoSpaceDE w:val="0"/>
              <w:autoSpaceDN w:val="0"/>
              <w:jc w:val="center"/>
              <w:rPr>
                <w:kern w:val="0"/>
                <w:sz w:val="24"/>
                <w:highlight w:val="none"/>
              </w:rPr>
            </w:pPr>
          </w:p>
        </w:tc>
        <w:tc>
          <w:tcPr>
            <w:tcW w:w="1386" w:type="dxa"/>
            <w:gridSpan w:val="4"/>
            <w:noWrap w:val="0"/>
            <w:vAlign w:val="center"/>
          </w:tcPr>
          <w:p w14:paraId="5222F7D9">
            <w:pPr>
              <w:autoSpaceDE w:val="0"/>
              <w:autoSpaceDN w:val="0"/>
              <w:jc w:val="center"/>
              <w:rPr>
                <w:kern w:val="0"/>
                <w:sz w:val="24"/>
                <w:highlight w:val="none"/>
              </w:rPr>
            </w:pPr>
            <w:r>
              <w:rPr>
                <w:rFonts w:hint="eastAsia" w:ascii="宋体" w:cs="宋体"/>
                <w:kern w:val="0"/>
                <w:sz w:val="24"/>
                <w:highlight w:val="none"/>
              </w:rPr>
              <w:t>邮政编码</w:t>
            </w:r>
          </w:p>
        </w:tc>
        <w:tc>
          <w:tcPr>
            <w:tcW w:w="1621" w:type="dxa"/>
            <w:gridSpan w:val="2"/>
            <w:noWrap w:val="0"/>
            <w:vAlign w:val="center"/>
          </w:tcPr>
          <w:p w14:paraId="75BA1C86">
            <w:pPr>
              <w:autoSpaceDE w:val="0"/>
              <w:autoSpaceDN w:val="0"/>
              <w:jc w:val="center"/>
              <w:rPr>
                <w:kern w:val="0"/>
                <w:sz w:val="24"/>
                <w:highlight w:val="none"/>
              </w:rPr>
            </w:pPr>
          </w:p>
        </w:tc>
      </w:tr>
      <w:tr w14:paraId="4B0061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3" w:hRule="atLeast"/>
        </w:trPr>
        <w:tc>
          <w:tcPr>
            <w:tcW w:w="2079" w:type="dxa"/>
            <w:vMerge w:val="restart"/>
            <w:noWrap w:val="0"/>
            <w:vAlign w:val="center"/>
          </w:tcPr>
          <w:p w14:paraId="00EC4EDF">
            <w:pPr>
              <w:autoSpaceDE w:val="0"/>
              <w:autoSpaceDN w:val="0"/>
              <w:jc w:val="center"/>
              <w:rPr>
                <w:rFonts w:hint="eastAsia" w:ascii="宋体" w:cs="宋体"/>
                <w:kern w:val="0"/>
                <w:sz w:val="24"/>
                <w:highlight w:val="none"/>
              </w:rPr>
            </w:pPr>
            <w:r>
              <w:rPr>
                <w:rFonts w:hint="eastAsia" w:ascii="宋体" w:cs="宋体"/>
                <w:kern w:val="0"/>
                <w:sz w:val="24"/>
                <w:highlight w:val="none"/>
              </w:rPr>
              <w:t>联系方式</w:t>
            </w:r>
          </w:p>
        </w:tc>
        <w:tc>
          <w:tcPr>
            <w:tcW w:w="1058" w:type="dxa"/>
            <w:noWrap w:val="0"/>
            <w:vAlign w:val="center"/>
          </w:tcPr>
          <w:p w14:paraId="6A6588FF">
            <w:pPr>
              <w:autoSpaceDE w:val="0"/>
              <w:autoSpaceDN w:val="0"/>
              <w:jc w:val="center"/>
              <w:rPr>
                <w:rFonts w:ascii="宋体" w:cs="宋体"/>
                <w:kern w:val="0"/>
                <w:sz w:val="24"/>
                <w:highlight w:val="none"/>
              </w:rPr>
            </w:pPr>
            <w:r>
              <w:rPr>
                <w:rFonts w:hint="eastAsia" w:ascii="宋体" w:cs="宋体"/>
                <w:kern w:val="0"/>
                <w:sz w:val="24"/>
                <w:highlight w:val="none"/>
              </w:rPr>
              <w:t>联系人</w:t>
            </w:r>
          </w:p>
        </w:tc>
        <w:tc>
          <w:tcPr>
            <w:tcW w:w="2100" w:type="dxa"/>
            <w:gridSpan w:val="2"/>
            <w:noWrap w:val="0"/>
            <w:vAlign w:val="center"/>
          </w:tcPr>
          <w:p w14:paraId="448BC4DF">
            <w:pPr>
              <w:autoSpaceDE w:val="0"/>
              <w:autoSpaceDN w:val="0"/>
              <w:jc w:val="center"/>
              <w:rPr>
                <w:kern w:val="0"/>
                <w:sz w:val="24"/>
                <w:highlight w:val="none"/>
              </w:rPr>
            </w:pPr>
          </w:p>
        </w:tc>
        <w:tc>
          <w:tcPr>
            <w:tcW w:w="1224" w:type="dxa"/>
            <w:gridSpan w:val="4"/>
            <w:noWrap w:val="0"/>
            <w:vAlign w:val="center"/>
          </w:tcPr>
          <w:p w14:paraId="27DC705B">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电话</w:t>
            </w:r>
          </w:p>
        </w:tc>
        <w:tc>
          <w:tcPr>
            <w:tcW w:w="2379" w:type="dxa"/>
            <w:gridSpan w:val="4"/>
            <w:noWrap w:val="0"/>
            <w:vAlign w:val="center"/>
          </w:tcPr>
          <w:p w14:paraId="0A6C2C02">
            <w:pPr>
              <w:autoSpaceDE w:val="0"/>
              <w:autoSpaceDN w:val="0"/>
              <w:jc w:val="center"/>
              <w:rPr>
                <w:kern w:val="0"/>
                <w:sz w:val="24"/>
                <w:highlight w:val="none"/>
              </w:rPr>
            </w:pPr>
          </w:p>
        </w:tc>
      </w:tr>
      <w:tr w14:paraId="36A2D1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0" w:hRule="atLeast"/>
        </w:trPr>
        <w:tc>
          <w:tcPr>
            <w:tcW w:w="2079" w:type="dxa"/>
            <w:vMerge w:val="continue"/>
            <w:noWrap w:val="0"/>
            <w:vAlign w:val="center"/>
          </w:tcPr>
          <w:p w14:paraId="0E924841">
            <w:pPr>
              <w:autoSpaceDE w:val="0"/>
              <w:autoSpaceDN w:val="0"/>
              <w:jc w:val="center"/>
              <w:rPr>
                <w:rFonts w:hint="eastAsia" w:ascii="宋体" w:cs="宋体"/>
                <w:kern w:val="0"/>
                <w:sz w:val="24"/>
                <w:highlight w:val="none"/>
              </w:rPr>
            </w:pPr>
          </w:p>
        </w:tc>
        <w:tc>
          <w:tcPr>
            <w:tcW w:w="1058" w:type="dxa"/>
            <w:noWrap w:val="0"/>
            <w:vAlign w:val="center"/>
          </w:tcPr>
          <w:p w14:paraId="7EA3CD41">
            <w:pPr>
              <w:autoSpaceDE w:val="0"/>
              <w:autoSpaceDN w:val="0"/>
              <w:jc w:val="center"/>
              <w:rPr>
                <w:rFonts w:ascii="宋体" w:cs="宋体"/>
                <w:kern w:val="0"/>
                <w:sz w:val="24"/>
                <w:highlight w:val="none"/>
              </w:rPr>
            </w:pPr>
            <w:r>
              <w:rPr>
                <w:rFonts w:hint="eastAsia" w:ascii="宋体" w:cs="宋体"/>
                <w:kern w:val="0"/>
                <w:sz w:val="24"/>
                <w:highlight w:val="none"/>
              </w:rPr>
              <w:t>传真</w:t>
            </w:r>
          </w:p>
        </w:tc>
        <w:tc>
          <w:tcPr>
            <w:tcW w:w="2100" w:type="dxa"/>
            <w:gridSpan w:val="2"/>
            <w:noWrap w:val="0"/>
            <w:vAlign w:val="center"/>
          </w:tcPr>
          <w:p w14:paraId="39D2244F">
            <w:pPr>
              <w:autoSpaceDE w:val="0"/>
              <w:autoSpaceDN w:val="0"/>
              <w:jc w:val="center"/>
              <w:rPr>
                <w:kern w:val="0"/>
                <w:sz w:val="24"/>
                <w:highlight w:val="none"/>
              </w:rPr>
            </w:pPr>
          </w:p>
        </w:tc>
        <w:tc>
          <w:tcPr>
            <w:tcW w:w="1224" w:type="dxa"/>
            <w:gridSpan w:val="4"/>
            <w:noWrap w:val="0"/>
            <w:vAlign w:val="center"/>
          </w:tcPr>
          <w:p w14:paraId="6DBD8EBB">
            <w:pPr>
              <w:autoSpaceDE w:val="0"/>
              <w:autoSpaceDN w:val="0"/>
              <w:jc w:val="center"/>
              <w:rPr>
                <w:rFonts w:ascii="宋体" w:cs="宋体"/>
                <w:kern w:val="0"/>
                <w:sz w:val="24"/>
                <w:highlight w:val="none"/>
              </w:rPr>
            </w:pPr>
            <w:r>
              <w:rPr>
                <w:rFonts w:hint="eastAsia" w:ascii="宋体" w:cs="宋体"/>
                <w:kern w:val="0"/>
                <w:sz w:val="24"/>
                <w:highlight w:val="none"/>
              </w:rPr>
              <w:t>电子邮箱</w:t>
            </w:r>
          </w:p>
        </w:tc>
        <w:tc>
          <w:tcPr>
            <w:tcW w:w="2379" w:type="dxa"/>
            <w:gridSpan w:val="4"/>
            <w:noWrap w:val="0"/>
            <w:vAlign w:val="center"/>
          </w:tcPr>
          <w:p w14:paraId="77C7EC5A">
            <w:pPr>
              <w:autoSpaceDE w:val="0"/>
              <w:autoSpaceDN w:val="0"/>
              <w:jc w:val="center"/>
              <w:rPr>
                <w:kern w:val="0"/>
                <w:sz w:val="24"/>
                <w:highlight w:val="none"/>
              </w:rPr>
            </w:pPr>
          </w:p>
        </w:tc>
      </w:tr>
      <w:tr w14:paraId="2A750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6CEBBDCA">
            <w:pPr>
              <w:autoSpaceDE w:val="0"/>
              <w:autoSpaceDN w:val="0"/>
              <w:jc w:val="center"/>
              <w:rPr>
                <w:rFonts w:ascii="宋体" w:cs="宋体"/>
                <w:kern w:val="0"/>
                <w:sz w:val="24"/>
                <w:highlight w:val="none"/>
              </w:rPr>
            </w:pPr>
            <w:r>
              <w:rPr>
                <w:rFonts w:hint="eastAsia" w:ascii="宋体" w:cs="宋体"/>
                <w:kern w:val="0"/>
                <w:sz w:val="24"/>
                <w:highlight w:val="none"/>
              </w:rPr>
              <w:t>法定代表人</w:t>
            </w:r>
          </w:p>
        </w:tc>
        <w:tc>
          <w:tcPr>
            <w:tcW w:w="1058" w:type="dxa"/>
            <w:noWrap w:val="0"/>
            <w:vAlign w:val="center"/>
          </w:tcPr>
          <w:p w14:paraId="6D109FB7">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43FD2647">
            <w:pPr>
              <w:autoSpaceDE w:val="0"/>
              <w:autoSpaceDN w:val="0"/>
              <w:jc w:val="center"/>
              <w:rPr>
                <w:rFonts w:ascii="宋体" w:cs="宋体"/>
                <w:kern w:val="0"/>
                <w:sz w:val="24"/>
                <w:highlight w:val="none"/>
              </w:rPr>
            </w:pPr>
          </w:p>
        </w:tc>
        <w:tc>
          <w:tcPr>
            <w:tcW w:w="901" w:type="dxa"/>
            <w:noWrap w:val="0"/>
            <w:vAlign w:val="center"/>
          </w:tcPr>
          <w:p w14:paraId="196D5413">
            <w:pPr>
              <w:autoSpaceDE w:val="0"/>
              <w:autoSpaceDN w:val="0"/>
              <w:jc w:val="center"/>
              <w:rPr>
                <w:rFonts w:hint="eastAsia" w:ascii="宋体" w:cs="宋体"/>
                <w:kern w:val="0"/>
                <w:sz w:val="24"/>
                <w:highlight w:val="none"/>
              </w:rPr>
            </w:pPr>
            <w:r>
              <w:rPr>
                <w:rFonts w:hint="eastAsia" w:ascii="宋体" w:cs="宋体"/>
                <w:kern w:val="0"/>
                <w:sz w:val="24"/>
                <w:highlight w:val="none"/>
              </w:rPr>
              <w:t>职务</w:t>
            </w:r>
          </w:p>
        </w:tc>
        <w:tc>
          <w:tcPr>
            <w:tcW w:w="1224" w:type="dxa"/>
            <w:gridSpan w:val="4"/>
            <w:noWrap w:val="0"/>
            <w:vAlign w:val="center"/>
          </w:tcPr>
          <w:p w14:paraId="51F9EC23">
            <w:pPr>
              <w:autoSpaceDE w:val="0"/>
              <w:autoSpaceDN w:val="0"/>
              <w:jc w:val="center"/>
              <w:rPr>
                <w:kern w:val="0"/>
                <w:sz w:val="24"/>
                <w:highlight w:val="none"/>
              </w:rPr>
            </w:pPr>
          </w:p>
        </w:tc>
        <w:tc>
          <w:tcPr>
            <w:tcW w:w="695" w:type="dxa"/>
            <w:noWrap w:val="0"/>
            <w:vAlign w:val="center"/>
          </w:tcPr>
          <w:p w14:paraId="4C1C9AA3">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3A4DBA55">
            <w:pPr>
              <w:autoSpaceDE w:val="0"/>
              <w:autoSpaceDN w:val="0"/>
              <w:jc w:val="center"/>
              <w:rPr>
                <w:kern w:val="0"/>
                <w:sz w:val="24"/>
                <w:highlight w:val="none"/>
              </w:rPr>
            </w:pPr>
          </w:p>
        </w:tc>
      </w:tr>
      <w:tr w14:paraId="69454A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3F2BAE95">
            <w:pPr>
              <w:autoSpaceDE w:val="0"/>
              <w:autoSpaceDN w:val="0"/>
              <w:jc w:val="center"/>
              <w:rPr>
                <w:rFonts w:ascii="宋体" w:cs="宋体"/>
                <w:kern w:val="0"/>
                <w:sz w:val="24"/>
                <w:highlight w:val="none"/>
              </w:rPr>
            </w:pPr>
            <w:r>
              <w:rPr>
                <w:rFonts w:hint="eastAsia" w:ascii="宋体" w:cs="宋体"/>
                <w:kern w:val="0"/>
                <w:sz w:val="24"/>
                <w:highlight w:val="none"/>
              </w:rPr>
              <w:t>技术负责人</w:t>
            </w:r>
          </w:p>
        </w:tc>
        <w:tc>
          <w:tcPr>
            <w:tcW w:w="1058" w:type="dxa"/>
            <w:noWrap w:val="0"/>
            <w:vAlign w:val="center"/>
          </w:tcPr>
          <w:p w14:paraId="2EB6A608">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6B51ACC2">
            <w:pPr>
              <w:autoSpaceDE w:val="0"/>
              <w:autoSpaceDN w:val="0"/>
              <w:jc w:val="center"/>
              <w:rPr>
                <w:rFonts w:hint="eastAsia" w:ascii="宋体" w:cs="宋体"/>
                <w:kern w:val="0"/>
                <w:sz w:val="24"/>
                <w:highlight w:val="none"/>
              </w:rPr>
            </w:pPr>
          </w:p>
        </w:tc>
        <w:tc>
          <w:tcPr>
            <w:tcW w:w="901" w:type="dxa"/>
            <w:noWrap w:val="0"/>
            <w:vAlign w:val="center"/>
          </w:tcPr>
          <w:p w14:paraId="046C925F">
            <w:pPr>
              <w:autoSpaceDE w:val="0"/>
              <w:autoSpaceDN w:val="0"/>
              <w:jc w:val="center"/>
              <w:rPr>
                <w:rFonts w:hint="eastAsia" w:ascii="宋体" w:cs="宋体"/>
                <w:kern w:val="0"/>
                <w:sz w:val="24"/>
                <w:highlight w:val="none"/>
              </w:rPr>
            </w:pPr>
            <w:r>
              <w:rPr>
                <w:rFonts w:hint="eastAsia" w:ascii="宋体" w:cs="宋体"/>
                <w:kern w:val="0"/>
                <w:sz w:val="24"/>
                <w:highlight w:val="none"/>
              </w:rPr>
              <w:t>职称</w:t>
            </w:r>
          </w:p>
        </w:tc>
        <w:tc>
          <w:tcPr>
            <w:tcW w:w="1224" w:type="dxa"/>
            <w:gridSpan w:val="4"/>
            <w:noWrap w:val="0"/>
            <w:vAlign w:val="center"/>
          </w:tcPr>
          <w:p w14:paraId="2AD8B101">
            <w:pPr>
              <w:autoSpaceDE w:val="0"/>
              <w:autoSpaceDN w:val="0"/>
              <w:jc w:val="center"/>
              <w:rPr>
                <w:kern w:val="0"/>
                <w:sz w:val="24"/>
                <w:highlight w:val="none"/>
              </w:rPr>
            </w:pPr>
          </w:p>
        </w:tc>
        <w:tc>
          <w:tcPr>
            <w:tcW w:w="695" w:type="dxa"/>
            <w:noWrap w:val="0"/>
            <w:vAlign w:val="center"/>
          </w:tcPr>
          <w:p w14:paraId="12ACED72">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5A0136BC">
            <w:pPr>
              <w:autoSpaceDE w:val="0"/>
              <w:autoSpaceDN w:val="0"/>
              <w:jc w:val="center"/>
              <w:rPr>
                <w:kern w:val="0"/>
                <w:sz w:val="24"/>
                <w:highlight w:val="none"/>
              </w:rPr>
            </w:pPr>
          </w:p>
        </w:tc>
      </w:tr>
      <w:tr w14:paraId="7C5C08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0D8C19AC">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工程咨询资信证书</w:t>
            </w:r>
          </w:p>
        </w:tc>
        <w:tc>
          <w:tcPr>
            <w:tcW w:w="6761" w:type="dxa"/>
            <w:gridSpan w:val="11"/>
            <w:noWrap w:val="0"/>
            <w:vAlign w:val="center"/>
          </w:tcPr>
          <w:p w14:paraId="785ECE0A">
            <w:pPr>
              <w:autoSpaceDE w:val="0"/>
              <w:autoSpaceDN w:val="0"/>
              <w:jc w:val="both"/>
              <w:rPr>
                <w:kern w:val="0"/>
                <w:sz w:val="24"/>
                <w:highlight w:val="none"/>
              </w:rPr>
            </w:pPr>
            <w:r>
              <w:rPr>
                <w:rFonts w:hint="eastAsia"/>
                <w:kern w:val="0"/>
                <w:sz w:val="24"/>
                <w:highlight w:val="none"/>
                <w:lang w:eastAsia="zh-CN"/>
              </w:rPr>
              <w:t>类型：</w:t>
            </w:r>
            <w:r>
              <w:rPr>
                <w:rFonts w:hint="eastAsia"/>
                <w:kern w:val="0"/>
                <w:sz w:val="24"/>
                <w:highlight w:val="none"/>
                <w:lang w:val="en-US" w:eastAsia="zh-CN"/>
              </w:rPr>
              <w:t xml:space="preserve">           等级：           证书号：</w:t>
            </w:r>
          </w:p>
        </w:tc>
      </w:tr>
      <w:tr w14:paraId="4582C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EFD6A1">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质量管理体系证书（如有）</w:t>
            </w:r>
          </w:p>
        </w:tc>
        <w:tc>
          <w:tcPr>
            <w:tcW w:w="6761" w:type="dxa"/>
            <w:gridSpan w:val="11"/>
            <w:noWrap w:val="0"/>
            <w:vAlign w:val="center"/>
          </w:tcPr>
          <w:p w14:paraId="2438C506">
            <w:pPr>
              <w:autoSpaceDE w:val="0"/>
              <w:autoSpaceDN w:val="0"/>
              <w:jc w:val="both"/>
              <w:rPr>
                <w:rFonts w:hint="eastAsia"/>
                <w:kern w:val="0"/>
                <w:sz w:val="24"/>
                <w:highlight w:val="none"/>
                <w:lang w:eastAsia="zh-CN"/>
              </w:rPr>
            </w:pPr>
            <w:r>
              <w:rPr>
                <w:rFonts w:hint="eastAsia"/>
                <w:kern w:val="0"/>
                <w:sz w:val="24"/>
                <w:highlight w:val="none"/>
                <w:lang w:eastAsia="zh-CN"/>
              </w:rPr>
              <w:t>类型：</w:t>
            </w:r>
            <w:r>
              <w:rPr>
                <w:rFonts w:hint="eastAsia"/>
                <w:kern w:val="0"/>
                <w:sz w:val="24"/>
                <w:highlight w:val="none"/>
                <w:lang w:val="en-US" w:eastAsia="zh-CN"/>
              </w:rPr>
              <w:t xml:space="preserve">           等级：           证书号：</w:t>
            </w:r>
          </w:p>
        </w:tc>
      </w:tr>
      <w:tr w14:paraId="040252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B431C5">
            <w:pPr>
              <w:autoSpaceDE w:val="0"/>
              <w:autoSpaceDN w:val="0"/>
              <w:jc w:val="center"/>
              <w:rPr>
                <w:rFonts w:ascii="宋体" w:cs="宋体"/>
                <w:kern w:val="0"/>
                <w:sz w:val="24"/>
                <w:highlight w:val="none"/>
              </w:rPr>
            </w:pPr>
            <w:r>
              <w:rPr>
                <w:rFonts w:hint="eastAsia" w:ascii="宋体" w:cs="宋体"/>
                <w:kern w:val="0"/>
                <w:sz w:val="24"/>
                <w:highlight w:val="none"/>
              </w:rPr>
              <w:t>营业执照号</w:t>
            </w:r>
          </w:p>
        </w:tc>
        <w:tc>
          <w:tcPr>
            <w:tcW w:w="3492" w:type="dxa"/>
            <w:gridSpan w:val="4"/>
            <w:noWrap w:val="0"/>
            <w:vAlign w:val="center"/>
          </w:tcPr>
          <w:p w14:paraId="62525718">
            <w:pPr>
              <w:autoSpaceDE w:val="0"/>
              <w:autoSpaceDN w:val="0"/>
              <w:jc w:val="center"/>
              <w:rPr>
                <w:kern w:val="0"/>
                <w:sz w:val="24"/>
                <w:highlight w:val="none"/>
              </w:rPr>
            </w:pPr>
          </w:p>
        </w:tc>
        <w:tc>
          <w:tcPr>
            <w:tcW w:w="1977" w:type="dxa"/>
            <w:gridSpan w:val="6"/>
            <w:noWrap w:val="0"/>
            <w:vAlign w:val="center"/>
          </w:tcPr>
          <w:p w14:paraId="46A97CC1">
            <w:pPr>
              <w:autoSpaceDE w:val="0"/>
              <w:autoSpaceDN w:val="0"/>
              <w:jc w:val="center"/>
              <w:rPr>
                <w:kern w:val="0"/>
                <w:sz w:val="24"/>
                <w:highlight w:val="none"/>
              </w:rPr>
            </w:pPr>
            <w:r>
              <w:rPr>
                <w:rFonts w:hint="eastAsia" w:ascii="宋体" w:cs="宋体"/>
                <w:kern w:val="0"/>
                <w:sz w:val="24"/>
                <w:highlight w:val="none"/>
              </w:rPr>
              <w:t>员工总人数</w:t>
            </w:r>
          </w:p>
        </w:tc>
        <w:tc>
          <w:tcPr>
            <w:tcW w:w="1292" w:type="dxa"/>
            <w:noWrap w:val="0"/>
            <w:vAlign w:val="center"/>
          </w:tcPr>
          <w:p w14:paraId="4342F10A">
            <w:pPr>
              <w:autoSpaceDE w:val="0"/>
              <w:autoSpaceDN w:val="0"/>
              <w:jc w:val="center"/>
              <w:rPr>
                <w:kern w:val="0"/>
                <w:sz w:val="24"/>
                <w:highlight w:val="none"/>
              </w:rPr>
            </w:pPr>
          </w:p>
        </w:tc>
      </w:tr>
      <w:tr w14:paraId="5BFC1E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90" w:hRule="atLeast"/>
        </w:trPr>
        <w:tc>
          <w:tcPr>
            <w:tcW w:w="2079" w:type="dxa"/>
            <w:noWrap w:val="0"/>
            <w:vAlign w:val="center"/>
          </w:tcPr>
          <w:p w14:paraId="73530535">
            <w:pPr>
              <w:autoSpaceDE w:val="0"/>
              <w:autoSpaceDN w:val="0"/>
              <w:jc w:val="center"/>
              <w:rPr>
                <w:rFonts w:ascii="宋体" w:cs="宋体"/>
                <w:kern w:val="0"/>
                <w:sz w:val="24"/>
                <w:highlight w:val="none"/>
              </w:rPr>
            </w:pPr>
            <w:r>
              <w:rPr>
                <w:rFonts w:hint="eastAsia" w:ascii="宋体" w:cs="宋体"/>
                <w:kern w:val="0"/>
                <w:sz w:val="24"/>
                <w:highlight w:val="none"/>
              </w:rPr>
              <w:t>注册</w:t>
            </w:r>
            <w:r>
              <w:rPr>
                <w:rFonts w:hint="eastAsia" w:ascii="宋体" w:cs="宋体"/>
                <w:kern w:val="0"/>
                <w:sz w:val="24"/>
                <w:highlight w:val="none"/>
                <w:lang w:eastAsia="zh-CN"/>
              </w:rPr>
              <w:t>资本</w:t>
            </w:r>
          </w:p>
        </w:tc>
        <w:tc>
          <w:tcPr>
            <w:tcW w:w="3492" w:type="dxa"/>
            <w:gridSpan w:val="4"/>
            <w:noWrap w:val="0"/>
            <w:vAlign w:val="center"/>
          </w:tcPr>
          <w:p w14:paraId="47678DC0">
            <w:pPr>
              <w:autoSpaceDE w:val="0"/>
              <w:autoSpaceDN w:val="0"/>
              <w:jc w:val="center"/>
              <w:rPr>
                <w:kern w:val="0"/>
                <w:sz w:val="24"/>
                <w:highlight w:val="none"/>
              </w:rPr>
            </w:pPr>
          </w:p>
        </w:tc>
        <w:tc>
          <w:tcPr>
            <w:tcW w:w="337" w:type="dxa"/>
            <w:gridSpan w:val="2"/>
            <w:vMerge w:val="restart"/>
            <w:noWrap w:val="0"/>
            <w:vAlign w:val="center"/>
          </w:tcPr>
          <w:p w14:paraId="756AD6B8">
            <w:pPr>
              <w:autoSpaceDE w:val="0"/>
              <w:autoSpaceDN w:val="0"/>
              <w:jc w:val="center"/>
              <w:rPr>
                <w:kern w:val="0"/>
                <w:sz w:val="24"/>
                <w:highlight w:val="none"/>
              </w:rPr>
            </w:pPr>
            <w:r>
              <w:rPr>
                <w:rFonts w:hint="eastAsia" w:ascii="宋体" w:cs="宋体"/>
                <w:kern w:val="0"/>
                <w:sz w:val="24"/>
                <w:highlight w:val="none"/>
              </w:rPr>
              <w:t>其中</w:t>
            </w:r>
          </w:p>
        </w:tc>
        <w:tc>
          <w:tcPr>
            <w:tcW w:w="1640" w:type="dxa"/>
            <w:gridSpan w:val="4"/>
            <w:noWrap w:val="0"/>
            <w:vAlign w:val="center"/>
          </w:tcPr>
          <w:p w14:paraId="411BA3A8">
            <w:pPr>
              <w:autoSpaceDE/>
              <w:autoSpaceDN/>
              <w:jc w:val="left"/>
              <w:rPr>
                <w:rFonts w:ascii="宋体" w:cs="宋体"/>
                <w:kern w:val="0"/>
                <w:sz w:val="24"/>
                <w:highlight w:val="none"/>
              </w:rPr>
            </w:pPr>
            <w:r>
              <w:rPr>
                <w:rFonts w:hint="eastAsia" w:ascii="宋体" w:cs="宋体"/>
                <w:kern w:val="0"/>
                <w:sz w:val="24"/>
                <w:highlight w:val="none"/>
              </w:rPr>
              <w:t>高级</w:t>
            </w:r>
            <w:r>
              <w:rPr>
                <w:rFonts w:hint="eastAsia" w:ascii="宋体" w:cs="宋体"/>
                <w:kern w:val="0"/>
                <w:sz w:val="24"/>
                <w:highlight w:val="none"/>
                <w:lang w:eastAsia="zh-CN"/>
              </w:rPr>
              <w:t>职称人员</w:t>
            </w:r>
          </w:p>
        </w:tc>
        <w:tc>
          <w:tcPr>
            <w:tcW w:w="1292" w:type="dxa"/>
            <w:noWrap w:val="0"/>
            <w:vAlign w:val="center"/>
          </w:tcPr>
          <w:p w14:paraId="0101611A">
            <w:pPr>
              <w:autoSpaceDE w:val="0"/>
              <w:autoSpaceDN w:val="0"/>
              <w:jc w:val="center"/>
              <w:rPr>
                <w:kern w:val="0"/>
                <w:sz w:val="24"/>
                <w:highlight w:val="none"/>
              </w:rPr>
            </w:pPr>
          </w:p>
        </w:tc>
      </w:tr>
      <w:tr w14:paraId="12176D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C3499A">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rPr>
              <w:t>成立</w:t>
            </w:r>
            <w:r>
              <w:rPr>
                <w:rFonts w:hint="eastAsia" w:ascii="宋体" w:cs="宋体"/>
                <w:kern w:val="0"/>
                <w:sz w:val="24"/>
                <w:highlight w:val="none"/>
                <w:lang w:eastAsia="zh-CN"/>
              </w:rPr>
              <w:t>日期</w:t>
            </w:r>
          </w:p>
        </w:tc>
        <w:tc>
          <w:tcPr>
            <w:tcW w:w="3492" w:type="dxa"/>
            <w:gridSpan w:val="4"/>
            <w:noWrap w:val="0"/>
            <w:vAlign w:val="center"/>
          </w:tcPr>
          <w:p w14:paraId="59977306">
            <w:pPr>
              <w:autoSpaceDE w:val="0"/>
              <w:autoSpaceDN w:val="0"/>
              <w:jc w:val="center"/>
              <w:rPr>
                <w:rFonts w:ascii="宋体" w:cs="宋体"/>
                <w:kern w:val="0"/>
                <w:sz w:val="24"/>
                <w:highlight w:val="none"/>
              </w:rPr>
            </w:pPr>
          </w:p>
        </w:tc>
        <w:tc>
          <w:tcPr>
            <w:tcW w:w="337" w:type="dxa"/>
            <w:gridSpan w:val="2"/>
            <w:vMerge w:val="continue"/>
            <w:noWrap w:val="0"/>
            <w:vAlign w:val="center"/>
          </w:tcPr>
          <w:p w14:paraId="259F5BF8">
            <w:pPr>
              <w:autoSpaceDE w:val="0"/>
              <w:autoSpaceDN w:val="0"/>
              <w:jc w:val="center"/>
              <w:rPr>
                <w:kern w:val="0"/>
                <w:sz w:val="24"/>
                <w:highlight w:val="none"/>
              </w:rPr>
            </w:pPr>
          </w:p>
        </w:tc>
        <w:tc>
          <w:tcPr>
            <w:tcW w:w="1640" w:type="dxa"/>
            <w:gridSpan w:val="4"/>
            <w:noWrap w:val="0"/>
            <w:vAlign w:val="center"/>
          </w:tcPr>
          <w:p w14:paraId="28D5E2C4">
            <w:pPr>
              <w:autoSpaceDE w:val="0"/>
              <w:autoSpaceDN w:val="0"/>
              <w:jc w:val="center"/>
              <w:rPr>
                <w:rFonts w:hint="eastAsia" w:ascii="宋体" w:cs="宋体"/>
                <w:kern w:val="0"/>
                <w:sz w:val="24"/>
                <w:highlight w:val="none"/>
              </w:rPr>
            </w:pPr>
            <w:r>
              <w:rPr>
                <w:rFonts w:hint="eastAsia" w:ascii="宋体" w:cs="宋体"/>
                <w:kern w:val="0"/>
                <w:sz w:val="24"/>
                <w:highlight w:val="none"/>
                <w:lang w:eastAsia="zh-CN"/>
              </w:rPr>
              <w:t>中级职称人员</w:t>
            </w:r>
          </w:p>
        </w:tc>
        <w:tc>
          <w:tcPr>
            <w:tcW w:w="1292" w:type="dxa"/>
            <w:noWrap w:val="0"/>
            <w:vAlign w:val="center"/>
          </w:tcPr>
          <w:p w14:paraId="27B2C244">
            <w:pPr>
              <w:autoSpaceDE w:val="0"/>
              <w:autoSpaceDN w:val="0"/>
              <w:jc w:val="center"/>
              <w:rPr>
                <w:kern w:val="0"/>
                <w:sz w:val="24"/>
                <w:highlight w:val="none"/>
              </w:rPr>
            </w:pPr>
          </w:p>
        </w:tc>
      </w:tr>
      <w:tr w14:paraId="5C0C39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51F70B1F">
            <w:pPr>
              <w:autoSpaceDE w:val="0"/>
              <w:autoSpaceDN w:val="0"/>
              <w:jc w:val="center"/>
              <w:rPr>
                <w:rFonts w:ascii="宋体" w:cs="宋体"/>
                <w:kern w:val="0"/>
                <w:sz w:val="24"/>
                <w:highlight w:val="none"/>
              </w:rPr>
            </w:pPr>
            <w:r>
              <w:rPr>
                <w:rFonts w:hint="eastAsia" w:ascii="宋体" w:cs="宋体"/>
                <w:kern w:val="0"/>
                <w:sz w:val="24"/>
                <w:highlight w:val="none"/>
              </w:rPr>
              <w:t>基本账户开户银行</w:t>
            </w:r>
          </w:p>
        </w:tc>
        <w:tc>
          <w:tcPr>
            <w:tcW w:w="3492" w:type="dxa"/>
            <w:gridSpan w:val="4"/>
            <w:noWrap w:val="0"/>
            <w:vAlign w:val="center"/>
          </w:tcPr>
          <w:p w14:paraId="507DBDF6">
            <w:pPr>
              <w:autoSpaceDE w:val="0"/>
              <w:autoSpaceDN w:val="0"/>
              <w:jc w:val="center"/>
              <w:rPr>
                <w:kern w:val="0"/>
                <w:sz w:val="24"/>
                <w:highlight w:val="none"/>
              </w:rPr>
            </w:pPr>
          </w:p>
        </w:tc>
        <w:tc>
          <w:tcPr>
            <w:tcW w:w="337" w:type="dxa"/>
            <w:gridSpan w:val="2"/>
            <w:vMerge w:val="continue"/>
            <w:noWrap w:val="0"/>
            <w:vAlign w:val="center"/>
          </w:tcPr>
          <w:p w14:paraId="56C909F0">
            <w:pPr>
              <w:autoSpaceDE w:val="0"/>
              <w:autoSpaceDN w:val="0"/>
              <w:jc w:val="center"/>
              <w:rPr>
                <w:kern w:val="0"/>
                <w:sz w:val="24"/>
                <w:highlight w:val="none"/>
              </w:rPr>
            </w:pPr>
          </w:p>
        </w:tc>
        <w:tc>
          <w:tcPr>
            <w:tcW w:w="1640" w:type="dxa"/>
            <w:gridSpan w:val="4"/>
            <w:noWrap w:val="0"/>
            <w:vAlign w:val="center"/>
          </w:tcPr>
          <w:p w14:paraId="2A9F08FC">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技术人员数量</w:t>
            </w:r>
          </w:p>
        </w:tc>
        <w:tc>
          <w:tcPr>
            <w:tcW w:w="1292" w:type="dxa"/>
            <w:noWrap w:val="0"/>
            <w:vAlign w:val="center"/>
          </w:tcPr>
          <w:p w14:paraId="214EC392">
            <w:pPr>
              <w:autoSpaceDE w:val="0"/>
              <w:autoSpaceDN w:val="0"/>
              <w:jc w:val="center"/>
              <w:rPr>
                <w:kern w:val="0"/>
                <w:sz w:val="24"/>
                <w:highlight w:val="none"/>
              </w:rPr>
            </w:pPr>
          </w:p>
        </w:tc>
      </w:tr>
      <w:tr w14:paraId="25CB2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78A9F9A4">
            <w:pPr>
              <w:autoSpaceDE w:val="0"/>
              <w:autoSpaceDN w:val="0"/>
              <w:jc w:val="center"/>
              <w:rPr>
                <w:rFonts w:ascii="宋体" w:cs="宋体"/>
                <w:kern w:val="0"/>
                <w:sz w:val="24"/>
                <w:highlight w:val="none"/>
              </w:rPr>
            </w:pPr>
            <w:r>
              <w:rPr>
                <w:rFonts w:hint="eastAsia" w:ascii="宋体" w:cs="宋体"/>
                <w:kern w:val="0"/>
                <w:sz w:val="24"/>
                <w:highlight w:val="none"/>
              </w:rPr>
              <w:t>基本账户银行账号</w:t>
            </w:r>
          </w:p>
        </w:tc>
        <w:tc>
          <w:tcPr>
            <w:tcW w:w="3492" w:type="dxa"/>
            <w:gridSpan w:val="4"/>
            <w:noWrap w:val="0"/>
            <w:vAlign w:val="center"/>
          </w:tcPr>
          <w:p w14:paraId="1332B564">
            <w:pPr>
              <w:autoSpaceDE w:val="0"/>
              <w:autoSpaceDN w:val="0"/>
              <w:jc w:val="center"/>
              <w:rPr>
                <w:kern w:val="0"/>
                <w:sz w:val="24"/>
                <w:highlight w:val="none"/>
              </w:rPr>
            </w:pPr>
          </w:p>
        </w:tc>
        <w:tc>
          <w:tcPr>
            <w:tcW w:w="337" w:type="dxa"/>
            <w:gridSpan w:val="2"/>
            <w:vMerge w:val="continue"/>
            <w:noWrap w:val="0"/>
            <w:vAlign w:val="center"/>
          </w:tcPr>
          <w:p w14:paraId="315FD2DE">
            <w:pPr>
              <w:autoSpaceDE w:val="0"/>
              <w:autoSpaceDN w:val="0"/>
              <w:jc w:val="center"/>
              <w:rPr>
                <w:kern w:val="0"/>
                <w:sz w:val="24"/>
                <w:highlight w:val="none"/>
              </w:rPr>
            </w:pPr>
          </w:p>
        </w:tc>
        <w:tc>
          <w:tcPr>
            <w:tcW w:w="1640" w:type="dxa"/>
            <w:gridSpan w:val="4"/>
            <w:noWrap w:val="0"/>
            <w:vAlign w:val="center"/>
          </w:tcPr>
          <w:p w14:paraId="19F4C862">
            <w:pPr>
              <w:autoSpaceDE w:val="0"/>
              <w:autoSpaceDN w:val="0"/>
              <w:jc w:val="center"/>
              <w:rPr>
                <w:rFonts w:hint="eastAsia" w:ascii="宋体" w:cs="宋体"/>
                <w:kern w:val="0"/>
                <w:sz w:val="24"/>
                <w:highlight w:val="none"/>
              </w:rPr>
            </w:pPr>
            <w:r>
              <w:rPr>
                <w:rFonts w:hint="eastAsia" w:ascii="宋体" w:cs="宋体"/>
                <w:kern w:val="0"/>
                <w:sz w:val="24"/>
                <w:highlight w:val="none"/>
              </w:rPr>
              <w:t>各类注册人员</w:t>
            </w:r>
          </w:p>
        </w:tc>
        <w:tc>
          <w:tcPr>
            <w:tcW w:w="1292" w:type="dxa"/>
            <w:noWrap w:val="0"/>
            <w:vAlign w:val="center"/>
          </w:tcPr>
          <w:p w14:paraId="6CDF3473">
            <w:pPr>
              <w:autoSpaceDE w:val="0"/>
              <w:autoSpaceDN w:val="0"/>
              <w:jc w:val="center"/>
              <w:rPr>
                <w:kern w:val="0"/>
                <w:sz w:val="24"/>
                <w:highlight w:val="none"/>
              </w:rPr>
            </w:pPr>
          </w:p>
        </w:tc>
      </w:tr>
      <w:tr w14:paraId="7FEF7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732" w:hRule="atLeast"/>
        </w:trPr>
        <w:tc>
          <w:tcPr>
            <w:tcW w:w="2079" w:type="dxa"/>
            <w:noWrap w:val="0"/>
            <w:vAlign w:val="center"/>
          </w:tcPr>
          <w:p w14:paraId="34200765">
            <w:pPr>
              <w:autoSpaceDE w:val="0"/>
              <w:autoSpaceDN w:val="0"/>
              <w:jc w:val="center"/>
              <w:rPr>
                <w:rFonts w:ascii="宋体" w:cs="宋体"/>
                <w:kern w:val="0"/>
                <w:sz w:val="24"/>
                <w:highlight w:val="none"/>
              </w:rPr>
            </w:pPr>
            <w:r>
              <w:rPr>
                <w:rFonts w:hint="eastAsia" w:ascii="宋体" w:cs="宋体"/>
                <w:kern w:val="0"/>
                <w:sz w:val="24"/>
                <w:highlight w:val="none"/>
              </w:rPr>
              <w:t>经营范围</w:t>
            </w:r>
          </w:p>
        </w:tc>
        <w:tc>
          <w:tcPr>
            <w:tcW w:w="6761" w:type="dxa"/>
            <w:gridSpan w:val="11"/>
            <w:noWrap w:val="0"/>
            <w:vAlign w:val="center"/>
          </w:tcPr>
          <w:p w14:paraId="2F4995B9">
            <w:pPr>
              <w:autoSpaceDE w:val="0"/>
              <w:autoSpaceDN w:val="0"/>
              <w:jc w:val="center"/>
              <w:rPr>
                <w:kern w:val="0"/>
                <w:sz w:val="24"/>
                <w:highlight w:val="none"/>
              </w:rPr>
            </w:pPr>
          </w:p>
        </w:tc>
      </w:tr>
      <w:tr w14:paraId="387B85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2045" w:hRule="atLeast"/>
        </w:trPr>
        <w:tc>
          <w:tcPr>
            <w:tcW w:w="2079" w:type="dxa"/>
            <w:noWrap w:val="0"/>
            <w:vAlign w:val="center"/>
          </w:tcPr>
          <w:p w14:paraId="7FA48C85">
            <w:pPr>
              <w:autoSpaceDE w:val="0"/>
              <w:autoSpaceDN w:val="0"/>
              <w:jc w:val="center"/>
              <w:rPr>
                <w:rFonts w:hint="eastAsia"/>
                <w:highlight w:val="none"/>
              </w:rPr>
            </w:pPr>
            <w:r>
              <w:rPr>
                <w:rFonts w:hint="eastAsia" w:ascii="宋体" w:cs="宋体"/>
                <w:kern w:val="0"/>
                <w:sz w:val="24"/>
                <w:highlight w:val="none"/>
              </w:rPr>
              <w:t>投标人关联企业情况（包括但不限于与投标人法定代表人为同一人或者存在控股、管理关系的不同单位）</w:t>
            </w:r>
          </w:p>
        </w:tc>
        <w:tc>
          <w:tcPr>
            <w:tcW w:w="6761" w:type="dxa"/>
            <w:gridSpan w:val="11"/>
            <w:noWrap w:val="0"/>
            <w:vAlign w:val="center"/>
          </w:tcPr>
          <w:p w14:paraId="5BF1800A">
            <w:pPr>
              <w:autoSpaceDE w:val="0"/>
              <w:autoSpaceDN w:val="0"/>
              <w:jc w:val="center"/>
              <w:rPr>
                <w:kern w:val="0"/>
                <w:sz w:val="24"/>
                <w:highlight w:val="none"/>
              </w:rPr>
            </w:pPr>
          </w:p>
        </w:tc>
      </w:tr>
      <w:tr w14:paraId="57B928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640" w:hRule="atLeast"/>
        </w:trPr>
        <w:tc>
          <w:tcPr>
            <w:tcW w:w="2079" w:type="dxa"/>
            <w:noWrap w:val="0"/>
            <w:vAlign w:val="center"/>
          </w:tcPr>
          <w:p w14:paraId="730E5BA1">
            <w:pPr>
              <w:autoSpaceDE w:val="0"/>
              <w:autoSpaceDN w:val="0"/>
              <w:jc w:val="center"/>
              <w:rPr>
                <w:rFonts w:ascii="宋体" w:cs="宋体"/>
                <w:kern w:val="0"/>
                <w:sz w:val="24"/>
                <w:highlight w:val="none"/>
              </w:rPr>
            </w:pPr>
            <w:r>
              <w:rPr>
                <w:rFonts w:hint="eastAsia" w:ascii="宋体" w:cs="宋体"/>
                <w:kern w:val="0"/>
                <w:sz w:val="24"/>
                <w:highlight w:val="none"/>
              </w:rPr>
              <w:t>备注</w:t>
            </w:r>
          </w:p>
        </w:tc>
        <w:tc>
          <w:tcPr>
            <w:tcW w:w="6761" w:type="dxa"/>
            <w:gridSpan w:val="11"/>
            <w:noWrap w:val="0"/>
            <w:vAlign w:val="center"/>
          </w:tcPr>
          <w:p w14:paraId="1FCBFAB9">
            <w:pPr>
              <w:autoSpaceDE w:val="0"/>
              <w:autoSpaceDN w:val="0"/>
              <w:jc w:val="center"/>
              <w:rPr>
                <w:kern w:val="0"/>
                <w:sz w:val="24"/>
                <w:highlight w:val="none"/>
              </w:rPr>
            </w:pPr>
          </w:p>
        </w:tc>
      </w:tr>
    </w:tbl>
    <w:p w14:paraId="2129470D">
      <w:pPr>
        <w:autoSpaceDE w:val="0"/>
        <w:autoSpaceDN w:val="0"/>
        <w:adjustRightInd w:val="0"/>
        <w:spacing w:line="160" w:lineRule="exact"/>
        <w:jc w:val="left"/>
        <w:rPr>
          <w:kern w:val="0"/>
          <w:sz w:val="24"/>
          <w:highlight w:val="none"/>
        </w:rPr>
      </w:pPr>
    </w:p>
    <w:p w14:paraId="01D316E5">
      <w:pPr>
        <w:pStyle w:val="33"/>
        <w:snapToGrid w:val="0"/>
        <w:spacing w:line="240" w:lineRule="auto"/>
        <w:ind w:left="0" w:hanging="359" w:hangingChars="171"/>
        <w:rPr>
          <w:rFonts w:hAnsi="宋体" w:cs="仿宋"/>
          <w:color w:val="auto"/>
          <w:sz w:val="21"/>
          <w:szCs w:val="21"/>
          <w:highlight w:val="none"/>
        </w:rPr>
      </w:pPr>
      <w:r>
        <w:rPr>
          <w:rFonts w:hAnsi="宋体" w:cs="仿宋"/>
          <w:color w:val="auto"/>
          <w:sz w:val="21"/>
          <w:szCs w:val="21"/>
          <w:highlight w:val="none"/>
        </w:rPr>
        <w:t>注:在本表后应附企业法人</w:t>
      </w:r>
      <w:r>
        <w:rPr>
          <w:rFonts w:hAnsi="宋体" w:cs="仿宋"/>
          <w:b/>
          <w:bCs/>
          <w:color w:val="auto"/>
          <w:sz w:val="21"/>
          <w:szCs w:val="21"/>
          <w:highlight w:val="none"/>
        </w:rPr>
        <w:t>营业执照</w:t>
      </w:r>
      <w:r>
        <w:rPr>
          <w:rFonts w:hAnsi="宋体" w:cs="仿宋"/>
          <w:color w:val="auto"/>
          <w:sz w:val="21"/>
          <w:szCs w:val="21"/>
          <w:highlight w:val="none"/>
        </w:rPr>
        <w:t>副本或事业单位法人证书、</w:t>
      </w:r>
      <w:r>
        <w:rPr>
          <w:rFonts w:hAnsi="宋体" w:cs="仿宋"/>
          <w:b/>
          <w:bCs/>
          <w:color w:val="auto"/>
          <w:sz w:val="21"/>
          <w:szCs w:val="21"/>
          <w:highlight w:val="none"/>
        </w:rPr>
        <w:t>资</w:t>
      </w:r>
      <w:r>
        <w:rPr>
          <w:rFonts w:hint="eastAsia" w:hAnsi="宋体" w:cs="仿宋"/>
          <w:b/>
          <w:bCs/>
          <w:color w:val="auto"/>
          <w:sz w:val="21"/>
          <w:szCs w:val="21"/>
          <w:highlight w:val="none"/>
          <w:lang w:eastAsia="zh-CN"/>
        </w:rPr>
        <w:t>信</w:t>
      </w:r>
      <w:r>
        <w:rPr>
          <w:rFonts w:hAnsi="宋体" w:cs="仿宋"/>
          <w:b/>
          <w:bCs/>
          <w:color w:val="auto"/>
          <w:sz w:val="21"/>
          <w:szCs w:val="21"/>
          <w:highlight w:val="none"/>
        </w:rPr>
        <w:t>证书</w:t>
      </w:r>
      <w:r>
        <w:rPr>
          <w:rFonts w:hAnsi="宋体" w:cs="仿宋"/>
          <w:color w:val="auto"/>
          <w:sz w:val="21"/>
          <w:szCs w:val="21"/>
          <w:highlight w:val="none"/>
        </w:rPr>
        <w:t>、质量保证体系认证证书等的原件扫描件及</w:t>
      </w:r>
      <w:r>
        <w:rPr>
          <w:rFonts w:hAnsi="宋体" w:cs="仿宋"/>
          <w:b/>
          <w:bCs/>
          <w:color w:val="auto"/>
          <w:sz w:val="21"/>
          <w:szCs w:val="21"/>
          <w:highlight w:val="none"/>
        </w:rPr>
        <w:t>基本账户开户许可证明</w:t>
      </w:r>
      <w:r>
        <w:rPr>
          <w:rFonts w:hAnsi="宋体" w:cs="仿宋"/>
          <w:color w:val="auto"/>
          <w:sz w:val="21"/>
          <w:szCs w:val="21"/>
          <w:highlight w:val="none"/>
        </w:rPr>
        <w:t>的清晰可辨的原件扫描件。上述所有执照、证书扫描件均应</w:t>
      </w:r>
      <w:r>
        <w:rPr>
          <w:rFonts w:hAnsi="宋体" w:cs="仿宋"/>
          <w:b/>
          <w:bCs/>
          <w:color w:val="auto"/>
          <w:sz w:val="21"/>
          <w:szCs w:val="21"/>
          <w:highlight w:val="none"/>
        </w:rPr>
        <w:t>加盖投供应商单位公章</w:t>
      </w:r>
      <w:r>
        <w:rPr>
          <w:rFonts w:hAnsi="宋体" w:cs="仿宋"/>
          <w:color w:val="auto"/>
          <w:sz w:val="21"/>
          <w:szCs w:val="21"/>
          <w:highlight w:val="none"/>
        </w:rPr>
        <w:t>。</w:t>
      </w:r>
    </w:p>
    <w:p w14:paraId="798384C9">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4057707">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D41C4A8">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8A4F016">
      <w:pPr>
        <w:snapToGrid w:val="0"/>
        <w:ind w:left="482"/>
        <w:rPr>
          <w:rFonts w:hint="eastAsia" w:ascii="宋体" w:hAnsi="宋体"/>
          <w:b/>
          <w:bCs/>
          <w:sz w:val="24"/>
          <w:highlight w:val="none"/>
        </w:rPr>
      </w:pPr>
      <w:r>
        <w:rPr>
          <w:rFonts w:hint="eastAsia" w:ascii="宋体" w:hAnsi="宋体"/>
          <w:b/>
          <w:bCs/>
          <w:sz w:val="24"/>
          <w:highlight w:val="none"/>
        </w:rPr>
        <w:br w:type="page"/>
      </w:r>
    </w:p>
    <w:p w14:paraId="3E96BB9B">
      <w:pPr>
        <w:pStyle w:val="19"/>
        <w:snapToGrid w:val="0"/>
        <w:ind w:left="482" w:hanging="482"/>
        <w:rPr>
          <w:rFonts w:hint="eastAsia" w:ascii="宋体" w:hAnsi="宋体"/>
          <w:b/>
          <w:bCs/>
          <w:sz w:val="24"/>
          <w:highlight w:val="none"/>
        </w:rPr>
      </w:pPr>
    </w:p>
    <w:p w14:paraId="4F4911EA">
      <w:pPr>
        <w:snapToGrid w:val="0"/>
        <w:spacing w:before="120" w:beforeLines="50" w:after="50"/>
        <w:jc w:val="center"/>
        <w:outlineLvl w:val="2"/>
        <w:rPr>
          <w:rFonts w:hint="eastAsia" w:ascii="宋体" w:hAnsi="宋体"/>
          <w:b/>
          <w:sz w:val="24"/>
          <w:highlight w:val="none"/>
        </w:rPr>
      </w:pPr>
      <w:r>
        <w:rPr>
          <w:rFonts w:hint="eastAsia" w:ascii="宋体" w:hAnsi="宋体"/>
          <w:b/>
          <w:sz w:val="24"/>
          <w:highlight w:val="none"/>
        </w:rPr>
        <w:t>（</w:t>
      </w:r>
      <w:r>
        <w:rPr>
          <w:rFonts w:hint="eastAsia" w:ascii="宋体" w:hAnsi="宋体"/>
          <w:b/>
          <w:sz w:val="24"/>
          <w:highlight w:val="none"/>
          <w:lang w:eastAsia="zh-CN"/>
        </w:rPr>
        <w:t>二</w:t>
      </w:r>
      <w:r>
        <w:rPr>
          <w:rFonts w:hint="eastAsia" w:ascii="宋体" w:hAnsi="宋体"/>
          <w:b/>
          <w:sz w:val="24"/>
          <w:highlight w:val="none"/>
        </w:rPr>
        <w:t>）</w:t>
      </w:r>
      <w:r>
        <w:rPr>
          <w:rFonts w:hint="eastAsia" w:ascii="宋体" w:hAnsi="宋体"/>
          <w:b/>
          <w:sz w:val="24"/>
          <w:highlight w:val="none"/>
          <w:lang w:eastAsia="zh-CN"/>
        </w:rPr>
        <w:t>近年的</w:t>
      </w:r>
      <w:r>
        <w:rPr>
          <w:rFonts w:hint="eastAsia" w:ascii="宋体" w:hAnsi="宋体"/>
          <w:b/>
          <w:sz w:val="24"/>
          <w:highlight w:val="none"/>
        </w:rPr>
        <w:t>业绩证明文件</w:t>
      </w:r>
    </w:p>
    <w:p w14:paraId="1D85CBF4">
      <w:pPr>
        <w:jc w:val="center"/>
        <w:outlineLvl w:val="3"/>
        <w:rPr>
          <w:rFonts w:hint="eastAsia" w:ascii="黑体" w:hAnsi="宋体" w:eastAsia="黑体"/>
          <w:b/>
          <w:bCs/>
          <w:sz w:val="24"/>
          <w:highlight w:val="none"/>
        </w:rPr>
      </w:pPr>
      <w:r>
        <w:rPr>
          <w:rFonts w:hint="eastAsia" w:ascii="黑体" w:hAnsi="宋体" w:eastAsia="黑体"/>
          <w:b/>
          <w:bCs/>
          <w:sz w:val="24"/>
          <w:highlight w:val="none"/>
        </w:rPr>
        <w:t>1.</w:t>
      </w:r>
      <w:r>
        <w:rPr>
          <w:rFonts w:hint="eastAsia" w:ascii="黑体" w:hAnsi="宋体" w:eastAsia="黑体"/>
          <w:b/>
          <w:bCs/>
          <w:sz w:val="24"/>
          <w:highlight w:val="none"/>
          <w:lang w:eastAsia="zh-CN"/>
        </w:rPr>
        <w:t>近 6 年</w:t>
      </w:r>
      <w:r>
        <w:rPr>
          <w:rFonts w:ascii="黑体" w:hAnsi="宋体" w:eastAsia="黑体"/>
          <w:b/>
          <w:bCs/>
          <w:sz w:val="24"/>
          <w:highlight w:val="none"/>
        </w:rPr>
        <w:t>类似项目情况汇总表</w:t>
      </w:r>
    </w:p>
    <w:tbl>
      <w:tblPr>
        <w:tblStyle w:val="24"/>
        <w:tblW w:w="0" w:type="auto"/>
        <w:tblInd w:w="0" w:type="dxa"/>
        <w:tblLayout w:type="fixed"/>
        <w:tblCellMar>
          <w:top w:w="0" w:type="dxa"/>
          <w:left w:w="0" w:type="dxa"/>
          <w:bottom w:w="0" w:type="dxa"/>
          <w:right w:w="0" w:type="dxa"/>
        </w:tblCellMar>
      </w:tblPr>
      <w:tblGrid>
        <w:gridCol w:w="1437"/>
        <w:gridCol w:w="1430"/>
        <w:gridCol w:w="2516"/>
        <w:gridCol w:w="2330"/>
        <w:gridCol w:w="1387"/>
      </w:tblGrid>
      <w:tr w14:paraId="378931C3">
        <w:tblPrEx>
          <w:tblCellMar>
            <w:top w:w="0" w:type="dxa"/>
            <w:left w:w="0" w:type="dxa"/>
            <w:bottom w:w="0" w:type="dxa"/>
            <w:right w:w="0" w:type="dxa"/>
          </w:tblCellMar>
        </w:tblPrEx>
        <w:trPr>
          <w:trHeight w:val="561" w:hRule="atLeast"/>
        </w:trPr>
        <w:tc>
          <w:tcPr>
            <w:tcW w:w="1437" w:type="dxa"/>
            <w:tcBorders>
              <w:top w:val="single" w:color="auto" w:sz="12" w:space="0"/>
              <w:left w:val="single" w:color="auto" w:sz="12" w:space="0"/>
              <w:bottom w:val="single" w:color="auto" w:sz="8" w:space="0"/>
              <w:right w:val="single" w:color="auto" w:sz="8" w:space="0"/>
            </w:tcBorders>
            <w:noWrap w:val="0"/>
            <w:vAlign w:val="center"/>
          </w:tcPr>
          <w:p w14:paraId="767B0488">
            <w:pPr>
              <w:autoSpaceDE w:val="0"/>
              <w:autoSpaceDN w:val="0"/>
              <w:jc w:val="center"/>
              <w:rPr>
                <w:rFonts w:ascii="宋体" w:cs="宋体"/>
                <w:kern w:val="0"/>
                <w:sz w:val="24"/>
                <w:highlight w:val="none"/>
              </w:rPr>
            </w:pPr>
            <w:r>
              <w:rPr>
                <w:rFonts w:hint="eastAsia" w:ascii="宋体" w:cs="宋体"/>
                <w:kern w:val="0"/>
                <w:sz w:val="24"/>
                <w:highlight w:val="none"/>
              </w:rPr>
              <w:t>项目名称</w:t>
            </w:r>
          </w:p>
        </w:tc>
        <w:tc>
          <w:tcPr>
            <w:tcW w:w="1430" w:type="dxa"/>
            <w:tcBorders>
              <w:top w:val="single" w:color="auto" w:sz="12" w:space="0"/>
              <w:left w:val="single" w:color="auto" w:sz="8" w:space="0"/>
              <w:bottom w:val="single" w:color="auto" w:sz="8" w:space="0"/>
              <w:right w:val="single" w:color="auto" w:sz="8" w:space="0"/>
            </w:tcBorders>
            <w:noWrap w:val="0"/>
            <w:vAlign w:val="center"/>
          </w:tcPr>
          <w:p w14:paraId="7D49C1E2">
            <w:pPr>
              <w:autoSpaceDE w:val="0"/>
              <w:autoSpaceDN w:val="0"/>
              <w:jc w:val="center"/>
              <w:rPr>
                <w:rFonts w:ascii="宋体" w:cs="宋体"/>
                <w:kern w:val="0"/>
                <w:sz w:val="24"/>
                <w:highlight w:val="none"/>
              </w:rPr>
            </w:pPr>
            <w:r>
              <w:rPr>
                <w:rFonts w:hint="eastAsia" w:ascii="宋体" w:cs="宋体"/>
                <w:kern w:val="0"/>
                <w:sz w:val="24"/>
                <w:highlight w:val="none"/>
              </w:rPr>
              <w:t>起讫时间</w:t>
            </w:r>
          </w:p>
        </w:tc>
        <w:tc>
          <w:tcPr>
            <w:tcW w:w="2516" w:type="dxa"/>
            <w:tcBorders>
              <w:top w:val="single" w:color="auto" w:sz="12" w:space="0"/>
              <w:left w:val="single" w:color="auto" w:sz="8" w:space="0"/>
              <w:bottom w:val="single" w:color="auto" w:sz="8" w:space="0"/>
              <w:right w:val="single" w:color="auto" w:sz="8" w:space="0"/>
            </w:tcBorders>
            <w:noWrap w:val="0"/>
            <w:vAlign w:val="center"/>
          </w:tcPr>
          <w:p w14:paraId="368EEF43">
            <w:pPr>
              <w:autoSpaceDE w:val="0"/>
              <w:autoSpaceDN w:val="0"/>
              <w:jc w:val="center"/>
              <w:rPr>
                <w:rFonts w:ascii="宋体" w:cs="宋体"/>
                <w:kern w:val="0"/>
                <w:sz w:val="24"/>
                <w:highlight w:val="none"/>
              </w:rPr>
            </w:pPr>
            <w:r>
              <w:rPr>
                <w:rFonts w:hint="eastAsia" w:ascii="宋体" w:cs="宋体"/>
                <w:kern w:val="0"/>
                <w:sz w:val="24"/>
                <w:highlight w:val="none"/>
              </w:rPr>
              <w:t>发包人</w:t>
            </w:r>
          </w:p>
        </w:tc>
        <w:tc>
          <w:tcPr>
            <w:tcW w:w="2330" w:type="dxa"/>
            <w:tcBorders>
              <w:top w:val="single" w:color="auto" w:sz="12" w:space="0"/>
              <w:left w:val="single" w:color="auto" w:sz="8" w:space="0"/>
              <w:bottom w:val="single" w:color="auto" w:sz="8" w:space="0"/>
              <w:right w:val="single" w:color="auto" w:sz="8" w:space="0"/>
            </w:tcBorders>
            <w:noWrap w:val="0"/>
            <w:vAlign w:val="center"/>
          </w:tcPr>
          <w:p w14:paraId="2ED802F8">
            <w:pPr>
              <w:autoSpaceDE w:val="0"/>
              <w:autoSpaceDN w:val="0"/>
              <w:jc w:val="center"/>
              <w:rPr>
                <w:rFonts w:ascii="宋体" w:cs="宋体"/>
                <w:kern w:val="0"/>
                <w:sz w:val="24"/>
                <w:highlight w:val="none"/>
              </w:rPr>
            </w:pPr>
            <w:r>
              <w:rPr>
                <w:rFonts w:hint="eastAsia" w:ascii="宋体" w:cs="宋体"/>
                <w:kern w:val="0"/>
                <w:sz w:val="24"/>
                <w:highlight w:val="none"/>
              </w:rPr>
              <w:t>完成情况</w:t>
            </w:r>
          </w:p>
        </w:tc>
        <w:tc>
          <w:tcPr>
            <w:tcW w:w="1387" w:type="dxa"/>
            <w:tcBorders>
              <w:top w:val="single" w:color="auto" w:sz="12" w:space="0"/>
              <w:left w:val="single" w:color="auto" w:sz="8" w:space="0"/>
              <w:bottom w:val="single" w:color="auto" w:sz="8" w:space="0"/>
              <w:right w:val="single" w:color="auto" w:sz="12" w:space="0"/>
            </w:tcBorders>
            <w:noWrap w:val="0"/>
            <w:vAlign w:val="center"/>
          </w:tcPr>
          <w:p w14:paraId="4B50B910">
            <w:pPr>
              <w:autoSpaceDE w:val="0"/>
              <w:autoSpaceDN w:val="0"/>
              <w:jc w:val="center"/>
              <w:rPr>
                <w:rFonts w:ascii="宋体" w:cs="宋体"/>
                <w:kern w:val="0"/>
                <w:sz w:val="24"/>
                <w:highlight w:val="none"/>
              </w:rPr>
            </w:pPr>
            <w:r>
              <w:rPr>
                <w:rFonts w:hint="eastAsia" w:ascii="宋体" w:cs="宋体"/>
                <w:kern w:val="0"/>
                <w:sz w:val="24"/>
                <w:highlight w:val="none"/>
              </w:rPr>
              <w:t>备注</w:t>
            </w:r>
          </w:p>
        </w:tc>
      </w:tr>
      <w:tr w14:paraId="7CBED712">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65E3ABE3">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3BED6979">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4E8C2D96">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0E76EBA8">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7DF5691">
            <w:pPr>
              <w:autoSpaceDE w:val="0"/>
              <w:autoSpaceDN w:val="0"/>
              <w:rPr>
                <w:kern w:val="0"/>
                <w:sz w:val="24"/>
                <w:highlight w:val="none"/>
              </w:rPr>
            </w:pPr>
          </w:p>
        </w:tc>
      </w:tr>
      <w:tr w14:paraId="22DE686A">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4FBFCF4E">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62EA6434">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2CA26C98">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3547C0D7">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02AF713A">
            <w:pPr>
              <w:autoSpaceDE w:val="0"/>
              <w:autoSpaceDN w:val="0"/>
              <w:rPr>
                <w:kern w:val="0"/>
                <w:sz w:val="24"/>
                <w:highlight w:val="none"/>
              </w:rPr>
            </w:pPr>
          </w:p>
        </w:tc>
      </w:tr>
      <w:tr w14:paraId="7DF3BCA8">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1009D0B2">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3CECDF9">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36E7D5A">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0D74A3F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2196B8CF">
            <w:pPr>
              <w:autoSpaceDE w:val="0"/>
              <w:autoSpaceDN w:val="0"/>
              <w:rPr>
                <w:kern w:val="0"/>
                <w:sz w:val="24"/>
                <w:highlight w:val="none"/>
              </w:rPr>
            </w:pPr>
          </w:p>
        </w:tc>
      </w:tr>
      <w:tr w14:paraId="3E823D2A">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4D6A6557">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14D2F5C6">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1FF1A97">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47405D6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3F1ED634">
            <w:pPr>
              <w:autoSpaceDE w:val="0"/>
              <w:autoSpaceDN w:val="0"/>
              <w:rPr>
                <w:kern w:val="0"/>
                <w:sz w:val="24"/>
                <w:highlight w:val="none"/>
              </w:rPr>
            </w:pPr>
          </w:p>
        </w:tc>
      </w:tr>
      <w:tr w14:paraId="21C1CC0F">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909C0F3">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B4C2E7E">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3B810952">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7E1BB8B1">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4B06F8EC">
            <w:pPr>
              <w:autoSpaceDE w:val="0"/>
              <w:autoSpaceDN w:val="0"/>
              <w:rPr>
                <w:kern w:val="0"/>
                <w:sz w:val="24"/>
                <w:highlight w:val="none"/>
              </w:rPr>
            </w:pPr>
          </w:p>
        </w:tc>
      </w:tr>
      <w:tr w14:paraId="148F1683">
        <w:tblPrEx>
          <w:tblCellMar>
            <w:top w:w="0" w:type="dxa"/>
            <w:left w:w="0" w:type="dxa"/>
            <w:bottom w:w="0" w:type="dxa"/>
            <w:right w:w="0" w:type="dxa"/>
          </w:tblCellMar>
        </w:tblPrEx>
        <w:trPr>
          <w:trHeight w:val="780"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0C20D7A">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2E0AD734">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FE177F2">
            <w:pPr>
              <w:autoSpaceDE w:val="0"/>
              <w:autoSpaceDN w:val="0"/>
              <w:rPr>
                <w:rFonts w:ascii="宋体" w:cs="宋体"/>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5AF9AA52">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D7F27FE">
            <w:pPr>
              <w:autoSpaceDE w:val="0"/>
              <w:autoSpaceDN w:val="0"/>
              <w:rPr>
                <w:kern w:val="0"/>
                <w:sz w:val="24"/>
                <w:highlight w:val="none"/>
              </w:rPr>
            </w:pPr>
          </w:p>
        </w:tc>
      </w:tr>
      <w:tr w14:paraId="5BCE5A9E">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39C43186">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DC0288F">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64A7538">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6858ABB6">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7AA80A17">
            <w:pPr>
              <w:autoSpaceDE w:val="0"/>
              <w:autoSpaceDN w:val="0"/>
              <w:rPr>
                <w:kern w:val="0"/>
                <w:sz w:val="24"/>
                <w:highlight w:val="none"/>
              </w:rPr>
            </w:pPr>
          </w:p>
        </w:tc>
      </w:tr>
      <w:tr w14:paraId="50353955">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7E5807DF">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20838B3C">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ADD05DC">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70EF4F48">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2BDAF02B">
            <w:pPr>
              <w:autoSpaceDE w:val="0"/>
              <w:autoSpaceDN w:val="0"/>
              <w:rPr>
                <w:kern w:val="0"/>
                <w:sz w:val="24"/>
                <w:highlight w:val="none"/>
              </w:rPr>
            </w:pPr>
          </w:p>
        </w:tc>
      </w:tr>
      <w:tr w14:paraId="59FA1B7E">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1B90B97">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E5C300A">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2921A01">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4B22E86B">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D3EDC47">
            <w:pPr>
              <w:autoSpaceDE w:val="0"/>
              <w:autoSpaceDN w:val="0"/>
              <w:rPr>
                <w:kern w:val="0"/>
                <w:sz w:val="24"/>
                <w:highlight w:val="none"/>
              </w:rPr>
            </w:pPr>
          </w:p>
        </w:tc>
      </w:tr>
      <w:tr w14:paraId="05129136">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10CB354F">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33115CDA">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AA58963">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66DEF65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764480D">
            <w:pPr>
              <w:autoSpaceDE w:val="0"/>
              <w:autoSpaceDN w:val="0"/>
              <w:rPr>
                <w:kern w:val="0"/>
                <w:sz w:val="24"/>
                <w:highlight w:val="none"/>
              </w:rPr>
            </w:pPr>
          </w:p>
        </w:tc>
      </w:tr>
      <w:tr w14:paraId="0A7DE68C">
        <w:tblPrEx>
          <w:tblCellMar>
            <w:top w:w="0" w:type="dxa"/>
            <w:left w:w="0" w:type="dxa"/>
            <w:bottom w:w="0" w:type="dxa"/>
            <w:right w:w="0" w:type="dxa"/>
          </w:tblCellMar>
        </w:tblPrEx>
        <w:trPr>
          <w:trHeight w:val="602" w:hRule="atLeast"/>
        </w:trPr>
        <w:tc>
          <w:tcPr>
            <w:tcW w:w="1437" w:type="dxa"/>
            <w:tcBorders>
              <w:top w:val="single" w:color="auto" w:sz="8" w:space="0"/>
              <w:left w:val="single" w:color="auto" w:sz="12" w:space="0"/>
              <w:bottom w:val="single" w:color="auto" w:sz="12" w:space="0"/>
              <w:right w:val="single" w:color="auto" w:sz="8" w:space="0"/>
            </w:tcBorders>
            <w:noWrap w:val="0"/>
            <w:vAlign w:val="top"/>
          </w:tcPr>
          <w:p w14:paraId="2377FF84">
            <w:pPr>
              <w:autoSpaceDE w:val="0"/>
              <w:autoSpaceDN w:val="0"/>
              <w:rPr>
                <w:kern w:val="0"/>
                <w:sz w:val="24"/>
                <w:highlight w:val="none"/>
              </w:rPr>
            </w:pPr>
          </w:p>
        </w:tc>
        <w:tc>
          <w:tcPr>
            <w:tcW w:w="1430" w:type="dxa"/>
            <w:tcBorders>
              <w:top w:val="single" w:color="auto" w:sz="8" w:space="0"/>
              <w:left w:val="single" w:color="auto" w:sz="8" w:space="0"/>
              <w:bottom w:val="single" w:color="auto" w:sz="12" w:space="0"/>
              <w:right w:val="single" w:color="auto" w:sz="8" w:space="0"/>
            </w:tcBorders>
            <w:noWrap w:val="0"/>
            <w:vAlign w:val="top"/>
          </w:tcPr>
          <w:p w14:paraId="16AB31B6">
            <w:pPr>
              <w:autoSpaceDE w:val="0"/>
              <w:autoSpaceDN w:val="0"/>
              <w:rPr>
                <w:kern w:val="0"/>
                <w:sz w:val="24"/>
                <w:highlight w:val="none"/>
              </w:rPr>
            </w:pPr>
          </w:p>
        </w:tc>
        <w:tc>
          <w:tcPr>
            <w:tcW w:w="2516" w:type="dxa"/>
            <w:tcBorders>
              <w:top w:val="single" w:color="auto" w:sz="8" w:space="0"/>
              <w:left w:val="single" w:color="auto" w:sz="8" w:space="0"/>
              <w:bottom w:val="single" w:color="auto" w:sz="12" w:space="0"/>
              <w:right w:val="single" w:color="auto" w:sz="8" w:space="0"/>
            </w:tcBorders>
            <w:noWrap w:val="0"/>
            <w:vAlign w:val="top"/>
          </w:tcPr>
          <w:p w14:paraId="332B5F86">
            <w:pPr>
              <w:autoSpaceDE w:val="0"/>
              <w:autoSpaceDN w:val="0"/>
              <w:rPr>
                <w:kern w:val="0"/>
                <w:sz w:val="24"/>
                <w:highlight w:val="none"/>
              </w:rPr>
            </w:pPr>
          </w:p>
        </w:tc>
        <w:tc>
          <w:tcPr>
            <w:tcW w:w="2330" w:type="dxa"/>
            <w:tcBorders>
              <w:top w:val="single" w:color="auto" w:sz="8" w:space="0"/>
              <w:left w:val="single" w:color="auto" w:sz="8" w:space="0"/>
              <w:bottom w:val="single" w:color="auto" w:sz="12" w:space="0"/>
              <w:right w:val="single" w:color="auto" w:sz="8" w:space="0"/>
            </w:tcBorders>
            <w:noWrap w:val="0"/>
            <w:vAlign w:val="top"/>
          </w:tcPr>
          <w:p w14:paraId="61257EA5">
            <w:pPr>
              <w:autoSpaceDE w:val="0"/>
              <w:autoSpaceDN w:val="0"/>
              <w:rPr>
                <w:kern w:val="0"/>
                <w:sz w:val="24"/>
                <w:highlight w:val="none"/>
              </w:rPr>
            </w:pPr>
          </w:p>
        </w:tc>
        <w:tc>
          <w:tcPr>
            <w:tcW w:w="1387" w:type="dxa"/>
            <w:tcBorders>
              <w:top w:val="single" w:color="auto" w:sz="8" w:space="0"/>
              <w:left w:val="single" w:color="auto" w:sz="8" w:space="0"/>
              <w:bottom w:val="single" w:color="auto" w:sz="12" w:space="0"/>
              <w:right w:val="single" w:color="auto" w:sz="12" w:space="0"/>
            </w:tcBorders>
            <w:noWrap w:val="0"/>
            <w:vAlign w:val="top"/>
          </w:tcPr>
          <w:p w14:paraId="2709E33D">
            <w:pPr>
              <w:autoSpaceDE w:val="0"/>
              <w:autoSpaceDN w:val="0"/>
              <w:rPr>
                <w:kern w:val="0"/>
                <w:sz w:val="24"/>
                <w:highlight w:val="none"/>
              </w:rPr>
            </w:pPr>
          </w:p>
        </w:tc>
      </w:tr>
    </w:tbl>
    <w:p w14:paraId="42B8B7AC">
      <w:pPr>
        <w:autoSpaceDE w:val="0"/>
        <w:autoSpaceDN w:val="0"/>
        <w:adjustRightInd w:val="0"/>
        <w:jc w:val="left"/>
        <w:rPr>
          <w:kern w:val="0"/>
          <w:sz w:val="24"/>
          <w:highlight w:val="none"/>
        </w:rPr>
      </w:pPr>
    </w:p>
    <w:p w14:paraId="2283E057">
      <w:pPr>
        <w:snapToGrid w:val="0"/>
        <w:spacing w:before="50" w:after="50"/>
        <w:rPr>
          <w:rFonts w:ascii="宋体" w:hAnsi="宋体"/>
          <w:szCs w:val="21"/>
          <w:highlight w:val="none"/>
        </w:rPr>
      </w:pPr>
    </w:p>
    <w:p w14:paraId="0AD65631">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7CD12C43">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4CE1F1E">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B950DB8">
      <w:pPr>
        <w:snapToGrid w:val="0"/>
        <w:spacing w:before="120" w:beforeLines="50" w:after="50"/>
        <w:jc w:val="left"/>
        <w:rPr>
          <w:rFonts w:hint="eastAsia" w:ascii="宋体" w:hAnsi="宋体"/>
          <w:szCs w:val="21"/>
          <w:highlight w:val="none"/>
        </w:rPr>
      </w:pPr>
    </w:p>
    <w:p w14:paraId="5E0DF14F">
      <w:pPr>
        <w:snapToGrid w:val="0"/>
        <w:spacing w:before="120" w:beforeLines="50" w:after="50"/>
        <w:jc w:val="left"/>
        <w:rPr>
          <w:rFonts w:hint="eastAsia" w:ascii="宋体" w:hAnsi="宋体"/>
          <w:szCs w:val="21"/>
          <w:highlight w:val="none"/>
        </w:rPr>
      </w:pPr>
    </w:p>
    <w:p w14:paraId="7AA718A7">
      <w:pPr>
        <w:jc w:val="center"/>
        <w:outlineLvl w:val="3"/>
        <w:rPr>
          <w:rFonts w:hint="eastAsia" w:ascii="黑体" w:hAnsi="宋体" w:eastAsia="黑体"/>
          <w:sz w:val="24"/>
          <w:highlight w:val="none"/>
        </w:rPr>
      </w:pPr>
      <w:r>
        <w:rPr>
          <w:rFonts w:hint="eastAsia" w:ascii="宋体" w:hAnsi="宋体"/>
          <w:b/>
          <w:sz w:val="24"/>
          <w:highlight w:val="none"/>
        </w:rPr>
        <w:br w:type="page"/>
      </w:r>
      <w:r>
        <w:rPr>
          <w:rFonts w:hint="eastAsia" w:ascii="宋体" w:hAnsi="宋体"/>
          <w:b/>
          <w:sz w:val="24"/>
          <w:highlight w:val="none"/>
        </w:rPr>
        <w:t>2.</w:t>
      </w:r>
      <w:r>
        <w:rPr>
          <w:rFonts w:ascii="黑体" w:hAnsi="宋体" w:eastAsia="黑体"/>
          <w:b/>
          <w:bCs/>
          <w:sz w:val="24"/>
          <w:highlight w:val="none"/>
        </w:rPr>
        <w:t>近</w:t>
      </w:r>
      <w:r>
        <w:rPr>
          <w:rFonts w:hint="eastAsia" w:ascii="黑体" w:hAnsi="宋体" w:eastAsia="黑体"/>
          <w:b/>
          <w:bCs/>
          <w:sz w:val="24"/>
          <w:highlight w:val="none"/>
          <w:u w:val="none"/>
          <w:lang w:val="en-US" w:eastAsia="zh-CN"/>
        </w:rPr>
        <w:t>6</w:t>
      </w:r>
      <w:r>
        <w:rPr>
          <w:rFonts w:ascii="黑体" w:hAnsi="宋体" w:eastAsia="黑体"/>
          <w:b/>
          <w:bCs/>
          <w:sz w:val="24"/>
          <w:highlight w:val="none"/>
          <w:u w:val="none"/>
        </w:rPr>
        <w:t xml:space="preserve"> </w:t>
      </w:r>
      <w:r>
        <w:rPr>
          <w:rFonts w:ascii="黑体" w:hAnsi="宋体" w:eastAsia="黑体"/>
          <w:b/>
          <w:bCs/>
          <w:sz w:val="24"/>
          <w:highlight w:val="none"/>
        </w:rPr>
        <w:t>年类似项目情况详表</w:t>
      </w:r>
    </w:p>
    <w:p w14:paraId="4CADC629">
      <w:pPr>
        <w:rPr>
          <w:rFonts w:ascii="黑体" w:hAnsi="宋体" w:eastAsia="黑体"/>
          <w:sz w:val="24"/>
          <w:highlight w:val="none"/>
        </w:rPr>
      </w:pPr>
    </w:p>
    <w:tbl>
      <w:tblPr>
        <w:tblStyle w:val="24"/>
        <w:tblW w:w="0" w:type="auto"/>
        <w:tblInd w:w="0" w:type="dxa"/>
        <w:tblLayout w:type="fixed"/>
        <w:tblCellMar>
          <w:top w:w="0" w:type="dxa"/>
          <w:left w:w="0" w:type="dxa"/>
          <w:bottom w:w="0" w:type="dxa"/>
          <w:right w:w="0" w:type="dxa"/>
        </w:tblCellMar>
      </w:tblPr>
      <w:tblGrid>
        <w:gridCol w:w="2700"/>
        <w:gridCol w:w="6465"/>
      </w:tblGrid>
      <w:tr w14:paraId="1189BA70">
        <w:trPr>
          <w:trHeight w:val="432" w:hRule="atLeast"/>
        </w:trPr>
        <w:tc>
          <w:tcPr>
            <w:tcW w:w="2700" w:type="dxa"/>
            <w:tcBorders>
              <w:top w:val="single" w:color="auto" w:sz="12" w:space="0"/>
              <w:left w:val="single" w:color="auto" w:sz="12" w:space="0"/>
              <w:bottom w:val="single" w:color="auto" w:sz="8" w:space="0"/>
              <w:right w:val="single" w:color="auto" w:sz="8" w:space="0"/>
            </w:tcBorders>
            <w:noWrap w:val="0"/>
            <w:vAlign w:val="center"/>
          </w:tcPr>
          <w:p w14:paraId="5B65137A">
            <w:pPr>
              <w:autoSpaceDE w:val="0"/>
              <w:autoSpaceDN w:val="0"/>
              <w:jc w:val="center"/>
              <w:rPr>
                <w:rFonts w:ascii="宋体" w:cs="宋体"/>
                <w:kern w:val="0"/>
                <w:sz w:val="24"/>
                <w:highlight w:val="none"/>
              </w:rPr>
            </w:pPr>
            <w:r>
              <w:rPr>
                <w:rFonts w:hint="eastAsia" w:ascii="宋体" w:cs="宋体"/>
                <w:kern w:val="0"/>
                <w:sz w:val="24"/>
                <w:highlight w:val="none"/>
              </w:rPr>
              <w:t>项目名称</w:t>
            </w:r>
          </w:p>
        </w:tc>
        <w:tc>
          <w:tcPr>
            <w:tcW w:w="6465" w:type="dxa"/>
            <w:tcBorders>
              <w:top w:val="single" w:color="auto" w:sz="12" w:space="0"/>
              <w:left w:val="single" w:color="auto" w:sz="8" w:space="0"/>
              <w:bottom w:val="single" w:color="auto" w:sz="8" w:space="0"/>
              <w:right w:val="single" w:color="auto" w:sz="12" w:space="0"/>
            </w:tcBorders>
            <w:noWrap w:val="0"/>
            <w:vAlign w:val="top"/>
          </w:tcPr>
          <w:p w14:paraId="6ED6A3D5">
            <w:pPr>
              <w:autoSpaceDE w:val="0"/>
              <w:autoSpaceDN w:val="0"/>
              <w:rPr>
                <w:kern w:val="0"/>
                <w:sz w:val="24"/>
                <w:highlight w:val="none"/>
              </w:rPr>
            </w:pPr>
          </w:p>
        </w:tc>
      </w:tr>
      <w:tr w14:paraId="72D0BCAB">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08A3EBBD">
            <w:pPr>
              <w:autoSpaceDE w:val="0"/>
              <w:autoSpaceDN w:val="0"/>
              <w:jc w:val="center"/>
              <w:rPr>
                <w:rFonts w:ascii="宋体" w:cs="宋体"/>
                <w:kern w:val="0"/>
                <w:sz w:val="24"/>
                <w:highlight w:val="none"/>
              </w:rPr>
            </w:pPr>
            <w:r>
              <w:rPr>
                <w:rFonts w:hint="eastAsia" w:ascii="宋体" w:cs="宋体"/>
                <w:kern w:val="0"/>
                <w:sz w:val="24"/>
                <w:highlight w:val="none"/>
              </w:rPr>
              <w:t>项目所在地</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7CAC7747">
            <w:pPr>
              <w:autoSpaceDE w:val="0"/>
              <w:autoSpaceDN w:val="0"/>
              <w:rPr>
                <w:kern w:val="0"/>
                <w:sz w:val="24"/>
                <w:highlight w:val="none"/>
              </w:rPr>
            </w:pPr>
          </w:p>
        </w:tc>
      </w:tr>
      <w:tr w14:paraId="35154BC0">
        <w:tblPrEx>
          <w:tblCellMar>
            <w:top w:w="0" w:type="dxa"/>
            <w:left w:w="0" w:type="dxa"/>
            <w:bottom w:w="0" w:type="dxa"/>
            <w:right w:w="0" w:type="dxa"/>
          </w:tblCellMar>
        </w:tblPrEx>
        <w:trPr>
          <w:trHeight w:val="446"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2C6E268D">
            <w:pPr>
              <w:autoSpaceDE w:val="0"/>
              <w:autoSpaceDN w:val="0"/>
              <w:jc w:val="center"/>
              <w:rPr>
                <w:rFonts w:ascii="宋体" w:cs="宋体"/>
                <w:kern w:val="0"/>
                <w:sz w:val="24"/>
                <w:highlight w:val="none"/>
              </w:rPr>
            </w:pPr>
            <w:r>
              <w:rPr>
                <w:rFonts w:hint="eastAsia" w:ascii="宋体" w:cs="宋体"/>
                <w:kern w:val="0"/>
                <w:sz w:val="24"/>
                <w:highlight w:val="none"/>
              </w:rPr>
              <w:t>发包人名称</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37A00E3B">
            <w:pPr>
              <w:autoSpaceDE w:val="0"/>
              <w:autoSpaceDN w:val="0"/>
              <w:rPr>
                <w:kern w:val="0"/>
                <w:sz w:val="24"/>
                <w:highlight w:val="none"/>
              </w:rPr>
            </w:pPr>
          </w:p>
        </w:tc>
      </w:tr>
      <w:tr w14:paraId="0603204F">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7EE34431">
            <w:pPr>
              <w:autoSpaceDE w:val="0"/>
              <w:autoSpaceDN w:val="0"/>
              <w:jc w:val="center"/>
              <w:rPr>
                <w:rFonts w:ascii="宋体" w:cs="宋体"/>
                <w:kern w:val="0"/>
                <w:sz w:val="24"/>
                <w:highlight w:val="none"/>
              </w:rPr>
            </w:pPr>
            <w:r>
              <w:rPr>
                <w:rFonts w:hint="eastAsia" w:ascii="宋体" w:cs="宋体"/>
                <w:kern w:val="0"/>
                <w:sz w:val="24"/>
                <w:highlight w:val="none"/>
              </w:rPr>
              <w:t>发包人地址</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29B62ED3">
            <w:pPr>
              <w:autoSpaceDE w:val="0"/>
              <w:autoSpaceDN w:val="0"/>
              <w:rPr>
                <w:kern w:val="0"/>
                <w:sz w:val="24"/>
                <w:highlight w:val="none"/>
              </w:rPr>
            </w:pPr>
          </w:p>
        </w:tc>
      </w:tr>
      <w:tr w14:paraId="0F166185">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4CD5EEAB">
            <w:pPr>
              <w:autoSpaceDE w:val="0"/>
              <w:autoSpaceDN w:val="0"/>
              <w:jc w:val="center"/>
              <w:rPr>
                <w:rFonts w:ascii="宋体" w:cs="宋体"/>
                <w:kern w:val="0"/>
                <w:sz w:val="24"/>
                <w:highlight w:val="none"/>
              </w:rPr>
            </w:pPr>
            <w:r>
              <w:rPr>
                <w:rFonts w:hint="eastAsia" w:ascii="宋体" w:cs="宋体"/>
                <w:kern w:val="0"/>
                <w:sz w:val="24"/>
                <w:highlight w:val="none"/>
              </w:rPr>
              <w:t>发包人电话</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2DC31A06">
            <w:pPr>
              <w:autoSpaceDE w:val="0"/>
              <w:autoSpaceDN w:val="0"/>
              <w:rPr>
                <w:kern w:val="0"/>
                <w:sz w:val="24"/>
                <w:highlight w:val="none"/>
              </w:rPr>
            </w:pPr>
          </w:p>
        </w:tc>
      </w:tr>
      <w:tr w14:paraId="70016245">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086AD9CD">
            <w:pPr>
              <w:autoSpaceDE w:val="0"/>
              <w:autoSpaceDN w:val="0"/>
              <w:jc w:val="center"/>
              <w:rPr>
                <w:rFonts w:ascii="宋体" w:cs="宋体"/>
                <w:kern w:val="0"/>
                <w:sz w:val="24"/>
                <w:highlight w:val="none"/>
              </w:rPr>
            </w:pPr>
            <w:r>
              <w:rPr>
                <w:rFonts w:hint="eastAsia" w:ascii="宋体" w:cs="宋体"/>
                <w:kern w:val="0"/>
                <w:sz w:val="24"/>
                <w:highlight w:val="none"/>
              </w:rPr>
              <w:t>项目规模</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19E2173F">
            <w:pPr>
              <w:autoSpaceDE w:val="0"/>
              <w:autoSpaceDN w:val="0"/>
              <w:rPr>
                <w:kern w:val="0"/>
                <w:sz w:val="24"/>
                <w:highlight w:val="none"/>
              </w:rPr>
            </w:pPr>
          </w:p>
        </w:tc>
      </w:tr>
      <w:tr w14:paraId="2E658C1A">
        <w:tblPrEx>
          <w:tblCellMar>
            <w:top w:w="0" w:type="dxa"/>
            <w:left w:w="0" w:type="dxa"/>
            <w:bottom w:w="0" w:type="dxa"/>
            <w:right w:w="0" w:type="dxa"/>
          </w:tblCellMar>
        </w:tblPrEx>
        <w:trPr>
          <w:trHeight w:val="446"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23A8A193">
            <w:pPr>
              <w:autoSpaceDE w:val="0"/>
              <w:autoSpaceDN w:val="0"/>
              <w:jc w:val="center"/>
              <w:rPr>
                <w:rFonts w:ascii="宋体" w:cs="宋体"/>
                <w:kern w:val="0"/>
                <w:sz w:val="24"/>
                <w:highlight w:val="none"/>
              </w:rPr>
            </w:pPr>
            <w:r>
              <w:rPr>
                <w:rFonts w:hint="eastAsia" w:ascii="宋体" w:cs="宋体"/>
                <w:kern w:val="0"/>
                <w:sz w:val="24"/>
                <w:highlight w:val="none"/>
              </w:rPr>
              <w:t>项目总投资</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081EC49A">
            <w:pPr>
              <w:autoSpaceDE w:val="0"/>
              <w:autoSpaceDN w:val="0"/>
              <w:rPr>
                <w:rFonts w:ascii="宋体" w:cs="宋体"/>
                <w:kern w:val="0"/>
                <w:sz w:val="24"/>
                <w:highlight w:val="none"/>
              </w:rPr>
            </w:pPr>
          </w:p>
        </w:tc>
      </w:tr>
      <w:tr w14:paraId="714B132F">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623D0D05">
            <w:pPr>
              <w:autoSpaceDE w:val="0"/>
              <w:autoSpaceDN w:val="0"/>
              <w:jc w:val="center"/>
              <w:rPr>
                <w:rFonts w:ascii="宋体" w:cs="宋体"/>
                <w:kern w:val="0"/>
                <w:sz w:val="24"/>
                <w:highlight w:val="none"/>
              </w:rPr>
            </w:pPr>
            <w:r>
              <w:rPr>
                <w:rFonts w:hint="eastAsia" w:ascii="宋体" w:cs="宋体"/>
                <w:kern w:val="0"/>
                <w:sz w:val="24"/>
                <w:highlight w:val="none"/>
              </w:rPr>
              <w:t>承担的工作</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478BD59B">
            <w:pPr>
              <w:autoSpaceDE w:val="0"/>
              <w:autoSpaceDN w:val="0"/>
              <w:rPr>
                <w:kern w:val="0"/>
                <w:sz w:val="24"/>
                <w:highlight w:val="none"/>
              </w:rPr>
            </w:pPr>
          </w:p>
        </w:tc>
      </w:tr>
      <w:tr w14:paraId="6D746B66">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3609BC9D">
            <w:pPr>
              <w:autoSpaceDE w:val="0"/>
              <w:autoSpaceDN w:val="0"/>
              <w:jc w:val="center"/>
              <w:rPr>
                <w:rFonts w:hint="eastAsia" w:ascii="宋体" w:cs="宋体"/>
                <w:kern w:val="0"/>
                <w:sz w:val="24"/>
                <w:highlight w:val="none"/>
              </w:rPr>
            </w:pPr>
            <w:r>
              <w:rPr>
                <w:rFonts w:hint="eastAsia" w:ascii="宋体" w:cs="宋体"/>
                <w:kern w:val="0"/>
                <w:sz w:val="24"/>
                <w:highlight w:val="none"/>
              </w:rPr>
              <w:t>工期</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740A83A1">
            <w:pPr>
              <w:autoSpaceDE w:val="0"/>
              <w:autoSpaceDN w:val="0"/>
              <w:rPr>
                <w:kern w:val="0"/>
                <w:sz w:val="24"/>
                <w:highlight w:val="none"/>
              </w:rPr>
            </w:pPr>
          </w:p>
        </w:tc>
      </w:tr>
      <w:tr w14:paraId="752E017C">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15CB4E1F">
            <w:pPr>
              <w:autoSpaceDE w:val="0"/>
              <w:autoSpaceDN w:val="0"/>
              <w:jc w:val="center"/>
              <w:rPr>
                <w:rFonts w:ascii="宋体" w:cs="宋体"/>
                <w:kern w:val="0"/>
                <w:sz w:val="24"/>
                <w:highlight w:val="none"/>
              </w:rPr>
            </w:pPr>
            <w:r>
              <w:rPr>
                <w:rFonts w:hint="eastAsia" w:ascii="宋体" w:cs="宋体"/>
                <w:kern w:val="0"/>
                <w:sz w:val="24"/>
                <w:highlight w:val="none"/>
              </w:rPr>
              <w:t>项目负责人</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6E9DDFCB">
            <w:pPr>
              <w:autoSpaceDE w:val="0"/>
              <w:autoSpaceDN w:val="0"/>
              <w:rPr>
                <w:kern w:val="0"/>
                <w:sz w:val="24"/>
                <w:highlight w:val="none"/>
              </w:rPr>
            </w:pPr>
          </w:p>
        </w:tc>
      </w:tr>
      <w:tr w14:paraId="59D98F59">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5E5750D2">
            <w:pPr>
              <w:autoSpaceDE w:val="0"/>
              <w:autoSpaceDN w:val="0"/>
              <w:jc w:val="center"/>
              <w:rPr>
                <w:rFonts w:ascii="宋体" w:cs="宋体"/>
                <w:kern w:val="0"/>
                <w:sz w:val="24"/>
                <w:highlight w:val="none"/>
              </w:rPr>
            </w:pPr>
            <w:r>
              <w:rPr>
                <w:rFonts w:hint="eastAsia" w:ascii="宋体" w:cs="宋体"/>
                <w:kern w:val="0"/>
                <w:sz w:val="24"/>
                <w:highlight w:val="none"/>
              </w:rPr>
              <w:t>项目完成情况</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4195FEF2">
            <w:pPr>
              <w:autoSpaceDE w:val="0"/>
              <w:autoSpaceDN w:val="0"/>
              <w:rPr>
                <w:kern w:val="0"/>
                <w:sz w:val="24"/>
                <w:highlight w:val="none"/>
              </w:rPr>
            </w:pPr>
          </w:p>
        </w:tc>
      </w:tr>
      <w:tr w14:paraId="0201D091">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67A2207B">
            <w:pPr>
              <w:autoSpaceDE w:val="0"/>
              <w:autoSpaceDN w:val="0"/>
              <w:jc w:val="center"/>
              <w:rPr>
                <w:rFonts w:hint="eastAsia" w:ascii="宋体" w:cs="宋体"/>
                <w:kern w:val="0"/>
                <w:sz w:val="24"/>
                <w:highlight w:val="none"/>
              </w:rPr>
            </w:pPr>
            <w:r>
              <w:rPr>
                <w:rFonts w:hint="eastAsia" w:ascii="宋体" w:hAnsi="宋体" w:cs="宋体"/>
                <w:kern w:val="0"/>
                <w:sz w:val="24"/>
                <w:highlight w:val="none"/>
              </w:rPr>
              <w:t>成果文件完成时间</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1F272DC0">
            <w:pPr>
              <w:autoSpaceDE w:val="0"/>
              <w:autoSpaceDN w:val="0"/>
              <w:rPr>
                <w:kern w:val="0"/>
                <w:sz w:val="24"/>
                <w:highlight w:val="none"/>
              </w:rPr>
            </w:pPr>
          </w:p>
        </w:tc>
      </w:tr>
      <w:tr w14:paraId="2FA668FD">
        <w:tblPrEx>
          <w:tblCellMar>
            <w:top w:w="0" w:type="dxa"/>
            <w:left w:w="0" w:type="dxa"/>
            <w:bottom w:w="0" w:type="dxa"/>
            <w:right w:w="0" w:type="dxa"/>
          </w:tblCellMar>
        </w:tblPrEx>
        <w:trPr>
          <w:trHeight w:val="446" w:hRule="atLeast"/>
        </w:trPr>
        <w:tc>
          <w:tcPr>
            <w:tcW w:w="2700" w:type="dxa"/>
            <w:tcBorders>
              <w:top w:val="single" w:color="auto" w:sz="8" w:space="0"/>
              <w:left w:val="single" w:color="auto" w:sz="12" w:space="0"/>
              <w:bottom w:val="single" w:color="auto" w:sz="12" w:space="0"/>
              <w:right w:val="single" w:color="auto" w:sz="8" w:space="0"/>
            </w:tcBorders>
            <w:noWrap w:val="0"/>
            <w:vAlign w:val="center"/>
          </w:tcPr>
          <w:p w14:paraId="15154BF7">
            <w:pPr>
              <w:autoSpaceDE w:val="0"/>
              <w:autoSpaceDN w:val="0"/>
              <w:jc w:val="center"/>
              <w:rPr>
                <w:rFonts w:ascii="宋体" w:cs="宋体"/>
                <w:kern w:val="0"/>
                <w:sz w:val="24"/>
                <w:highlight w:val="none"/>
              </w:rPr>
            </w:pPr>
            <w:r>
              <w:rPr>
                <w:rFonts w:hint="eastAsia" w:ascii="宋体" w:cs="宋体"/>
                <w:kern w:val="0"/>
                <w:sz w:val="24"/>
                <w:highlight w:val="none"/>
              </w:rPr>
              <w:t>备注</w:t>
            </w:r>
          </w:p>
        </w:tc>
        <w:tc>
          <w:tcPr>
            <w:tcW w:w="6465" w:type="dxa"/>
            <w:tcBorders>
              <w:top w:val="single" w:color="auto" w:sz="8" w:space="0"/>
              <w:left w:val="single" w:color="auto" w:sz="8" w:space="0"/>
              <w:bottom w:val="single" w:color="auto" w:sz="12" w:space="0"/>
              <w:right w:val="single" w:color="auto" w:sz="12" w:space="0"/>
            </w:tcBorders>
            <w:noWrap w:val="0"/>
            <w:vAlign w:val="top"/>
          </w:tcPr>
          <w:p w14:paraId="6FFF23A1">
            <w:pPr>
              <w:autoSpaceDE w:val="0"/>
              <w:autoSpaceDN w:val="0"/>
              <w:rPr>
                <w:kern w:val="0"/>
                <w:sz w:val="24"/>
                <w:highlight w:val="none"/>
              </w:rPr>
            </w:pPr>
          </w:p>
        </w:tc>
      </w:tr>
    </w:tbl>
    <w:p w14:paraId="7FD44057">
      <w:pPr>
        <w:autoSpaceDE w:val="0"/>
        <w:autoSpaceDN w:val="0"/>
        <w:adjustRightInd w:val="0"/>
        <w:spacing w:line="160" w:lineRule="exact"/>
        <w:jc w:val="left"/>
        <w:rPr>
          <w:kern w:val="0"/>
          <w:sz w:val="24"/>
          <w:highlight w:val="none"/>
        </w:rPr>
      </w:pPr>
    </w:p>
    <w:p w14:paraId="3BA641AD">
      <w:pPr>
        <w:spacing w:line="360" w:lineRule="auto"/>
        <w:ind w:firstLine="420" w:firstLineChars="200"/>
        <w:rPr>
          <w:rFonts w:hAnsi="宋体" w:cs="仿宋"/>
          <w:szCs w:val="21"/>
          <w:highlight w:val="none"/>
        </w:rPr>
      </w:pPr>
      <w:r>
        <w:rPr>
          <w:rFonts w:hint="eastAsia" w:hAnsi="宋体" w:cs="仿宋"/>
          <w:szCs w:val="21"/>
          <w:highlight w:val="none"/>
        </w:rPr>
        <w:t>注：每个项目填写一张表</w:t>
      </w:r>
    </w:p>
    <w:p w14:paraId="63A9E9DC">
      <w:pPr>
        <w:spacing w:line="360" w:lineRule="auto"/>
        <w:ind w:left="420"/>
        <w:rPr>
          <w:rFonts w:hint="eastAsia" w:hAnsi="宋体" w:cs="仿宋"/>
          <w:szCs w:val="21"/>
          <w:highlight w:val="none"/>
        </w:rPr>
      </w:pPr>
      <w:r>
        <w:rPr>
          <w:rFonts w:hint="eastAsia" w:hAnsi="宋体" w:cs="仿宋"/>
          <w:szCs w:val="21"/>
          <w:highlight w:val="none"/>
        </w:rPr>
        <w:t>①</w:t>
      </w:r>
      <w:r>
        <w:rPr>
          <w:rFonts w:hint="eastAsia" w:hAnsi="宋体" w:cs="仿宋"/>
          <w:szCs w:val="21"/>
          <w:highlight w:val="none"/>
          <w:lang w:eastAsia="zh-CN"/>
        </w:rPr>
        <w:t>投标</w:t>
      </w:r>
      <w:r>
        <w:rPr>
          <w:rFonts w:hint="eastAsia" w:hAnsi="宋体" w:cs="仿宋"/>
          <w:szCs w:val="21"/>
          <w:highlight w:val="none"/>
        </w:rPr>
        <w:t>人应将</w:t>
      </w:r>
      <w:r>
        <w:rPr>
          <w:rFonts w:hint="eastAsia" w:hAnsi="宋体" w:cs="仿宋"/>
          <w:b/>
          <w:szCs w:val="21"/>
          <w:highlight w:val="none"/>
          <w:u w:val="single"/>
        </w:rPr>
        <w:t xml:space="preserve"> </w:t>
      </w:r>
      <w:r>
        <w:rPr>
          <w:rFonts w:hint="eastAsia" w:hAnsi="宋体" w:cs="仿宋"/>
          <w:b/>
          <w:szCs w:val="21"/>
          <w:highlight w:val="none"/>
          <w:u w:val="single"/>
          <w:lang w:eastAsia="zh-CN"/>
        </w:rPr>
        <w:t>2019年</w:t>
      </w:r>
      <w:r>
        <w:rPr>
          <w:rFonts w:hint="eastAsia" w:hAnsi="宋体" w:cs="仿宋"/>
          <w:b/>
          <w:szCs w:val="21"/>
          <w:highlight w:val="none"/>
          <w:u w:val="single"/>
        </w:rPr>
        <w:t xml:space="preserve">1月 </w:t>
      </w:r>
      <w:r>
        <w:rPr>
          <w:rFonts w:hint="eastAsia" w:hAnsi="宋体" w:cs="仿宋"/>
          <w:szCs w:val="21"/>
          <w:highlight w:val="none"/>
        </w:rPr>
        <w:t>以来已完成的类似项目情况填入本表中，</w:t>
      </w:r>
    </w:p>
    <w:p w14:paraId="39EDA93C">
      <w:pPr>
        <w:spacing w:line="360" w:lineRule="auto"/>
        <w:ind w:firstLine="420" w:firstLineChars="200"/>
        <w:rPr>
          <w:rFonts w:hAnsi="宋体" w:cs="仿宋"/>
          <w:szCs w:val="21"/>
          <w:highlight w:val="none"/>
        </w:rPr>
      </w:pPr>
      <w:r>
        <w:rPr>
          <w:rFonts w:hint="eastAsia" w:hAnsi="宋体" w:cs="仿宋"/>
          <w:szCs w:val="21"/>
          <w:highlight w:val="none"/>
        </w:rPr>
        <w:t>②</w:t>
      </w:r>
      <w:r>
        <w:rPr>
          <w:rFonts w:hAnsi="宋体" w:cs="仿宋"/>
          <w:szCs w:val="21"/>
          <w:highlight w:val="none"/>
        </w:rPr>
        <w:t>本表后须</w:t>
      </w:r>
      <w:r>
        <w:rPr>
          <w:rFonts w:hAnsi="宋体" w:cs="仿宋"/>
          <w:b/>
          <w:szCs w:val="21"/>
          <w:highlight w:val="none"/>
        </w:rPr>
        <w:t>应附合同协议书或委托书</w:t>
      </w:r>
      <w:r>
        <w:rPr>
          <w:rFonts w:hAnsi="宋体" w:cs="仿宋"/>
          <w:szCs w:val="21"/>
          <w:highlight w:val="none"/>
        </w:rPr>
        <w:t>等的</w:t>
      </w:r>
      <w:r>
        <w:rPr>
          <w:rFonts w:hint="eastAsia" w:hAnsi="宋体" w:cs="仿宋"/>
          <w:szCs w:val="21"/>
          <w:highlight w:val="none"/>
        </w:rPr>
        <w:t>扫描件</w:t>
      </w:r>
      <w:r>
        <w:rPr>
          <w:rFonts w:hAnsi="宋体" w:cs="仿宋"/>
          <w:szCs w:val="21"/>
          <w:highlight w:val="none"/>
        </w:rPr>
        <w:t>；</w:t>
      </w:r>
    </w:p>
    <w:p w14:paraId="336CE5F6">
      <w:pPr>
        <w:spacing w:line="360" w:lineRule="auto"/>
        <w:ind w:firstLine="420" w:firstLineChars="200"/>
        <w:rPr>
          <w:rFonts w:hint="eastAsia" w:hAnsi="宋体" w:cs="仿宋"/>
          <w:szCs w:val="21"/>
          <w:highlight w:val="none"/>
        </w:rPr>
      </w:pPr>
      <w:r>
        <w:rPr>
          <w:rFonts w:hint="eastAsia" w:hAnsi="宋体" w:cs="仿宋"/>
          <w:szCs w:val="21"/>
          <w:highlight w:val="none"/>
        </w:rPr>
        <w:t>③</w:t>
      </w:r>
      <w:r>
        <w:rPr>
          <w:rFonts w:hAnsi="宋体" w:cs="仿宋"/>
          <w:szCs w:val="21"/>
          <w:highlight w:val="none"/>
        </w:rPr>
        <w:t>近年来，</w:t>
      </w:r>
      <w:r>
        <w:rPr>
          <w:rFonts w:hint="eastAsia" w:hAnsi="宋体" w:cs="仿宋"/>
          <w:szCs w:val="21"/>
          <w:highlight w:val="none"/>
        </w:rPr>
        <w:t>供应商</w:t>
      </w:r>
      <w:r>
        <w:rPr>
          <w:rFonts w:hAnsi="宋体" w:cs="仿宋"/>
          <w:szCs w:val="21"/>
          <w:highlight w:val="none"/>
        </w:rPr>
        <w:t>法人机构发生合法变更或重组或法人名称变更时，应提供相关部门的合法批件及其他相关证明材料来证明其所附业绩的继承性；</w:t>
      </w:r>
    </w:p>
    <w:p w14:paraId="498917E4">
      <w:pPr>
        <w:spacing w:line="360" w:lineRule="auto"/>
        <w:ind w:firstLine="420" w:firstLineChars="200"/>
        <w:rPr>
          <w:rFonts w:hint="eastAsia" w:ascii="宋体" w:hAnsi="宋体"/>
          <w:sz w:val="24"/>
          <w:highlight w:val="none"/>
        </w:rPr>
      </w:pPr>
      <w:r>
        <w:rPr>
          <w:rFonts w:hint="eastAsia" w:hAnsi="宋体" w:cs="仿宋"/>
          <w:szCs w:val="21"/>
          <w:highlight w:val="none"/>
        </w:rPr>
        <w:t>④</w:t>
      </w:r>
      <w:r>
        <w:rPr>
          <w:rFonts w:hint="eastAsia" w:hAnsi="宋体" w:cs="仿宋"/>
          <w:highlight w:val="none"/>
        </w:rPr>
        <w:t>须附有效证明材料，有效证明材料具体要求见第四章评审办法。</w:t>
      </w:r>
    </w:p>
    <w:p w14:paraId="55804FF4">
      <w:pPr>
        <w:rPr>
          <w:rFonts w:hint="eastAsia" w:ascii="黑体" w:hAnsi="宋体" w:eastAsia="黑体"/>
          <w:sz w:val="24"/>
          <w:highlight w:val="none"/>
        </w:rPr>
      </w:pPr>
    </w:p>
    <w:p w14:paraId="6CE08C40">
      <w:pPr>
        <w:snapToGrid w:val="0"/>
        <w:spacing w:before="120" w:beforeLines="50" w:after="50"/>
        <w:jc w:val="center"/>
        <w:outlineLvl w:val="2"/>
        <w:rPr>
          <w:rFonts w:hint="eastAsia" w:ascii="宋体" w:hAnsi="宋体"/>
          <w:b/>
          <w:bCs/>
          <w:sz w:val="24"/>
          <w:highlight w:val="none"/>
        </w:rPr>
      </w:pPr>
      <w:r>
        <w:rPr>
          <w:rFonts w:hint="eastAsia" w:ascii="宋体" w:hAnsi="宋体"/>
          <w:b/>
          <w:sz w:val="24"/>
          <w:highlight w:val="none"/>
        </w:rPr>
        <w:br w:type="page"/>
      </w:r>
      <w:bookmarkStart w:id="94" w:name="_Toc212"/>
      <w:bookmarkStart w:id="95" w:name="_Toc12138"/>
      <w:bookmarkStart w:id="96" w:name="_Toc11569"/>
      <w:bookmarkStart w:id="97" w:name="_Toc5907"/>
      <w:r>
        <w:rPr>
          <w:rFonts w:hint="eastAsia" w:ascii="宋体" w:hAnsi="宋体"/>
          <w:b/>
          <w:bCs/>
          <w:sz w:val="24"/>
          <w:highlight w:val="none"/>
        </w:rPr>
        <w:t>（三）供应商信用及守法证明材料</w:t>
      </w:r>
      <w:bookmarkEnd w:id="94"/>
      <w:bookmarkEnd w:id="95"/>
      <w:bookmarkEnd w:id="96"/>
      <w:bookmarkEnd w:id="97"/>
    </w:p>
    <w:p w14:paraId="2D95F49D">
      <w:pPr>
        <w:snapToGrid w:val="0"/>
        <w:spacing w:before="120" w:beforeLines="50" w:after="50"/>
        <w:ind w:left="142"/>
        <w:jc w:val="left"/>
        <w:rPr>
          <w:rFonts w:hint="eastAsia" w:ascii="宋体" w:hAnsi="宋体"/>
          <w:b/>
          <w:sz w:val="24"/>
          <w:highlight w:val="none"/>
        </w:rPr>
      </w:pPr>
    </w:p>
    <w:p w14:paraId="6FF11DBD">
      <w:pPr>
        <w:jc w:val="center"/>
        <w:outlineLvl w:val="3"/>
        <w:rPr>
          <w:rFonts w:hint="eastAsia" w:ascii="黑体" w:hAnsi="宋体" w:eastAsia="黑体"/>
          <w:sz w:val="24"/>
          <w:highlight w:val="none"/>
        </w:rPr>
      </w:pPr>
      <w:r>
        <w:rPr>
          <w:rFonts w:hint="eastAsia" w:ascii="黑体" w:hAnsi="宋体" w:eastAsia="黑体"/>
          <w:sz w:val="24"/>
          <w:highlight w:val="none"/>
        </w:rPr>
        <w:t>根据采购文件规定提供。</w:t>
      </w:r>
    </w:p>
    <w:p w14:paraId="79C59C82">
      <w:pPr>
        <w:rPr>
          <w:rFonts w:hint="eastAsia" w:ascii="宋体" w:hAnsi="宋体"/>
          <w:sz w:val="24"/>
          <w:highlight w:val="none"/>
        </w:rPr>
      </w:pPr>
    </w:p>
    <w:p w14:paraId="09D143F7">
      <w:pPr>
        <w:rPr>
          <w:rFonts w:hint="eastAsia" w:ascii="宋体" w:hAnsi="宋体"/>
          <w:sz w:val="24"/>
          <w:highlight w:val="none"/>
        </w:rPr>
      </w:pPr>
    </w:p>
    <w:p w14:paraId="02B42BE4">
      <w:pPr>
        <w:snapToGrid w:val="0"/>
        <w:spacing w:before="120" w:beforeLines="50" w:after="50"/>
        <w:jc w:val="left"/>
        <w:rPr>
          <w:rFonts w:hint="eastAsia" w:ascii="宋体" w:hAnsi="宋体"/>
          <w:szCs w:val="21"/>
          <w:highlight w:val="none"/>
        </w:rPr>
      </w:pPr>
    </w:p>
    <w:p w14:paraId="55047DE7">
      <w:pPr>
        <w:snapToGrid w:val="0"/>
        <w:spacing w:before="120" w:beforeLines="50" w:after="50"/>
        <w:jc w:val="center"/>
        <w:outlineLvl w:val="2"/>
        <w:rPr>
          <w:rFonts w:hint="eastAsia" w:ascii="宋体" w:hAnsi="宋体"/>
          <w:b/>
          <w:bCs/>
          <w:sz w:val="24"/>
          <w:highlight w:val="none"/>
        </w:rPr>
      </w:pPr>
      <w:r>
        <w:rPr>
          <w:rFonts w:hint="eastAsia" w:ascii="宋体" w:hAnsi="宋体"/>
          <w:b/>
          <w:sz w:val="24"/>
          <w:highlight w:val="none"/>
        </w:rPr>
        <w:br w:type="page"/>
      </w:r>
      <w:bookmarkStart w:id="98" w:name="_Toc27275"/>
      <w:bookmarkStart w:id="99" w:name="_Toc5115"/>
      <w:r>
        <w:rPr>
          <w:rFonts w:hint="eastAsia" w:ascii="宋体" w:hAnsi="宋体"/>
          <w:b/>
          <w:bCs/>
          <w:sz w:val="24"/>
          <w:highlight w:val="none"/>
        </w:rPr>
        <w:t>（</w:t>
      </w:r>
      <w:r>
        <w:rPr>
          <w:rFonts w:hint="eastAsia" w:ascii="宋体" w:hAnsi="宋体"/>
          <w:b/>
          <w:bCs/>
          <w:sz w:val="24"/>
          <w:highlight w:val="none"/>
          <w:lang w:eastAsia="zh-CN"/>
        </w:rPr>
        <w:t>四</w:t>
      </w:r>
      <w:r>
        <w:rPr>
          <w:rFonts w:hint="eastAsia" w:ascii="宋体" w:hAnsi="宋体"/>
          <w:b/>
          <w:bCs/>
          <w:sz w:val="24"/>
          <w:highlight w:val="none"/>
        </w:rPr>
        <w:t>）</w:t>
      </w:r>
      <w:r>
        <w:rPr>
          <w:rFonts w:hint="eastAsia" w:ascii="宋体" w:hAnsi="宋体"/>
          <w:b/>
          <w:bCs/>
          <w:sz w:val="24"/>
          <w:highlight w:val="none"/>
          <w:lang w:eastAsia="zh-CN"/>
        </w:rPr>
        <w:t>拟投入的</w:t>
      </w:r>
      <w:r>
        <w:rPr>
          <w:rFonts w:hint="eastAsia" w:ascii="宋体" w:hAnsi="宋体"/>
          <w:b/>
          <w:bCs/>
          <w:sz w:val="24"/>
          <w:highlight w:val="none"/>
        </w:rPr>
        <w:t>主要人员表</w:t>
      </w:r>
      <w:bookmarkEnd w:id="98"/>
      <w:bookmarkEnd w:id="99"/>
    </w:p>
    <w:p w14:paraId="285EE9FA">
      <w:pPr>
        <w:snapToGrid w:val="0"/>
        <w:spacing w:before="120" w:beforeLines="50" w:after="50"/>
        <w:ind w:left="142"/>
        <w:jc w:val="left"/>
        <w:rPr>
          <w:rFonts w:hint="eastAsia" w:ascii="宋体" w:hAnsi="宋体"/>
          <w:b/>
          <w:sz w:val="24"/>
          <w:highlight w:val="none"/>
        </w:rPr>
      </w:pPr>
    </w:p>
    <w:p w14:paraId="5C42EB3E">
      <w:pPr>
        <w:jc w:val="center"/>
        <w:outlineLvl w:val="3"/>
        <w:rPr>
          <w:rFonts w:hint="eastAsia" w:ascii="黑体" w:hAnsi="宋体" w:eastAsia="黑体"/>
          <w:sz w:val="24"/>
          <w:highlight w:val="none"/>
        </w:rPr>
      </w:pPr>
      <w:r>
        <w:rPr>
          <w:rFonts w:hint="eastAsia" w:ascii="黑体" w:hAnsi="宋体" w:eastAsia="黑体"/>
          <w:sz w:val="24"/>
          <w:highlight w:val="none"/>
        </w:rPr>
        <w:t>1.</w:t>
      </w:r>
      <w:r>
        <w:rPr>
          <w:rFonts w:ascii="黑体" w:hAnsi="宋体" w:eastAsia="黑体"/>
          <w:sz w:val="24"/>
          <w:highlight w:val="none"/>
        </w:rPr>
        <w:t>主要人员汇总表</w:t>
      </w:r>
    </w:p>
    <w:p w14:paraId="0E47980C">
      <w:pPr>
        <w:jc w:val="center"/>
        <w:rPr>
          <w:rFonts w:hint="eastAsia" w:ascii="黑体" w:hAnsi="宋体" w:eastAsia="黑体"/>
          <w:sz w:val="24"/>
          <w:highlight w:val="none"/>
        </w:rPr>
      </w:pPr>
    </w:p>
    <w:tbl>
      <w:tblPr>
        <w:tblStyle w:val="24"/>
        <w:tblW w:w="9165" w:type="dxa"/>
        <w:tblInd w:w="15" w:type="dxa"/>
        <w:tblLayout w:type="fixed"/>
        <w:tblCellMar>
          <w:top w:w="0" w:type="dxa"/>
          <w:left w:w="0" w:type="dxa"/>
          <w:bottom w:w="0" w:type="dxa"/>
          <w:right w:w="0" w:type="dxa"/>
        </w:tblCellMar>
      </w:tblPr>
      <w:tblGrid>
        <w:gridCol w:w="712"/>
        <w:gridCol w:w="720"/>
        <w:gridCol w:w="1815"/>
        <w:gridCol w:w="1267"/>
        <w:gridCol w:w="1267"/>
        <w:gridCol w:w="1267"/>
        <w:gridCol w:w="2117"/>
      </w:tblGrid>
      <w:tr w14:paraId="28E5B602">
        <w:tblPrEx>
          <w:tblCellMar>
            <w:top w:w="0" w:type="dxa"/>
            <w:left w:w="0" w:type="dxa"/>
            <w:bottom w:w="0" w:type="dxa"/>
            <w:right w:w="0" w:type="dxa"/>
          </w:tblCellMar>
        </w:tblPrEx>
        <w:trPr>
          <w:trHeight w:val="900" w:hRule="atLeast"/>
        </w:trPr>
        <w:tc>
          <w:tcPr>
            <w:tcW w:w="712" w:type="dxa"/>
            <w:tcBorders>
              <w:top w:val="single" w:color="auto" w:sz="12" w:space="0"/>
              <w:left w:val="single" w:color="auto" w:sz="12" w:space="0"/>
              <w:bottom w:val="single" w:color="auto" w:sz="8" w:space="0"/>
              <w:right w:val="single" w:color="auto" w:sz="8" w:space="0"/>
            </w:tcBorders>
            <w:vAlign w:val="center"/>
          </w:tcPr>
          <w:p w14:paraId="6BA0B4C3">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720" w:type="dxa"/>
            <w:tcBorders>
              <w:top w:val="single" w:color="auto" w:sz="12" w:space="0"/>
              <w:left w:val="single" w:color="auto" w:sz="8" w:space="0"/>
              <w:bottom w:val="single" w:color="auto" w:sz="8" w:space="0"/>
              <w:right w:val="single" w:color="auto" w:sz="8" w:space="0"/>
            </w:tcBorders>
            <w:vAlign w:val="center"/>
          </w:tcPr>
          <w:p w14:paraId="0F4383B8">
            <w:pPr>
              <w:autoSpaceDE w:val="0"/>
              <w:autoSpaceDN w:val="0"/>
              <w:jc w:val="center"/>
              <w:rPr>
                <w:rFonts w:ascii="宋体" w:cs="宋体"/>
                <w:kern w:val="0"/>
                <w:sz w:val="24"/>
                <w:highlight w:val="none"/>
              </w:rPr>
            </w:pPr>
            <w:r>
              <w:rPr>
                <w:rFonts w:hint="eastAsia" w:ascii="宋体" w:cs="宋体"/>
                <w:kern w:val="0"/>
                <w:sz w:val="24"/>
                <w:highlight w:val="none"/>
              </w:rPr>
              <w:t>年龄</w:t>
            </w:r>
          </w:p>
        </w:tc>
        <w:tc>
          <w:tcPr>
            <w:tcW w:w="1815" w:type="dxa"/>
            <w:tcBorders>
              <w:top w:val="single" w:color="auto" w:sz="12" w:space="0"/>
              <w:left w:val="single" w:color="auto" w:sz="8" w:space="0"/>
              <w:bottom w:val="single" w:color="auto" w:sz="8" w:space="0"/>
              <w:right w:val="single" w:color="auto" w:sz="8" w:space="0"/>
            </w:tcBorders>
            <w:vAlign w:val="center"/>
          </w:tcPr>
          <w:p w14:paraId="2C20EC75">
            <w:pPr>
              <w:autoSpaceDE w:val="0"/>
              <w:autoSpaceDN w:val="0"/>
              <w:jc w:val="center"/>
              <w:rPr>
                <w:rFonts w:ascii="宋体" w:cs="宋体"/>
                <w:kern w:val="0"/>
                <w:sz w:val="24"/>
                <w:highlight w:val="none"/>
              </w:rPr>
            </w:pPr>
            <w:r>
              <w:rPr>
                <w:rFonts w:hint="eastAsia" w:ascii="宋体" w:cs="宋体"/>
                <w:kern w:val="0"/>
                <w:sz w:val="24"/>
                <w:highlight w:val="none"/>
              </w:rPr>
              <w:t>拟在本项目中</w:t>
            </w:r>
          </w:p>
          <w:p w14:paraId="061C0A57">
            <w:pPr>
              <w:autoSpaceDE w:val="0"/>
              <w:autoSpaceDN w:val="0"/>
              <w:jc w:val="center"/>
              <w:rPr>
                <w:rFonts w:ascii="宋体" w:cs="宋体"/>
                <w:kern w:val="0"/>
                <w:sz w:val="24"/>
                <w:highlight w:val="none"/>
              </w:rPr>
            </w:pPr>
            <w:r>
              <w:rPr>
                <w:rFonts w:hint="eastAsia" w:ascii="宋体" w:cs="宋体"/>
                <w:kern w:val="0"/>
                <w:sz w:val="24"/>
                <w:highlight w:val="none"/>
              </w:rPr>
              <w:t>担任的职务</w:t>
            </w:r>
          </w:p>
        </w:tc>
        <w:tc>
          <w:tcPr>
            <w:tcW w:w="1267" w:type="dxa"/>
            <w:tcBorders>
              <w:top w:val="single" w:color="auto" w:sz="12" w:space="0"/>
              <w:left w:val="single" w:color="auto" w:sz="8" w:space="0"/>
              <w:bottom w:val="single" w:color="auto" w:sz="8" w:space="0"/>
              <w:right w:val="single" w:color="auto" w:sz="8" w:space="0"/>
            </w:tcBorders>
            <w:vAlign w:val="center"/>
          </w:tcPr>
          <w:p w14:paraId="7CC56A2B">
            <w:pPr>
              <w:autoSpaceDE w:val="0"/>
              <w:autoSpaceDN w:val="0"/>
              <w:jc w:val="center"/>
              <w:rPr>
                <w:rFonts w:ascii="宋体" w:cs="宋体"/>
                <w:kern w:val="0"/>
                <w:sz w:val="24"/>
                <w:highlight w:val="none"/>
              </w:rPr>
            </w:pPr>
            <w:r>
              <w:rPr>
                <w:rFonts w:hint="eastAsia" w:ascii="宋体" w:cs="宋体"/>
                <w:kern w:val="0"/>
                <w:sz w:val="24"/>
                <w:highlight w:val="none"/>
              </w:rPr>
              <w:t>技术职称</w:t>
            </w:r>
          </w:p>
        </w:tc>
        <w:tc>
          <w:tcPr>
            <w:tcW w:w="1267" w:type="dxa"/>
            <w:tcBorders>
              <w:top w:val="single" w:color="auto" w:sz="12" w:space="0"/>
              <w:left w:val="single" w:color="auto" w:sz="8" w:space="0"/>
              <w:bottom w:val="single" w:color="auto" w:sz="8" w:space="0"/>
              <w:right w:val="single" w:color="auto" w:sz="8" w:space="0"/>
            </w:tcBorders>
            <w:vAlign w:val="center"/>
          </w:tcPr>
          <w:p w14:paraId="3C86E729">
            <w:pPr>
              <w:autoSpaceDE w:val="0"/>
              <w:autoSpaceDN w:val="0"/>
              <w:jc w:val="center"/>
              <w:rPr>
                <w:rFonts w:ascii="宋体" w:cs="宋体"/>
                <w:kern w:val="0"/>
                <w:sz w:val="24"/>
                <w:highlight w:val="none"/>
              </w:rPr>
            </w:pPr>
            <w:r>
              <w:rPr>
                <w:rFonts w:hint="eastAsia" w:ascii="宋体" w:cs="宋体"/>
                <w:kern w:val="0"/>
                <w:sz w:val="24"/>
                <w:highlight w:val="none"/>
              </w:rPr>
              <w:t>从事专业</w:t>
            </w:r>
          </w:p>
        </w:tc>
        <w:tc>
          <w:tcPr>
            <w:tcW w:w="1267" w:type="dxa"/>
            <w:tcBorders>
              <w:top w:val="single" w:color="auto" w:sz="12" w:space="0"/>
              <w:left w:val="single" w:color="auto" w:sz="8" w:space="0"/>
              <w:bottom w:val="single" w:color="auto" w:sz="8" w:space="0"/>
              <w:right w:val="single" w:color="auto" w:sz="8" w:space="0"/>
            </w:tcBorders>
            <w:vAlign w:val="center"/>
          </w:tcPr>
          <w:p w14:paraId="1E5EED55">
            <w:pPr>
              <w:autoSpaceDE w:val="0"/>
              <w:autoSpaceDN w:val="0"/>
              <w:jc w:val="center"/>
              <w:rPr>
                <w:rFonts w:ascii="宋体" w:cs="宋体"/>
                <w:kern w:val="0"/>
                <w:sz w:val="24"/>
                <w:highlight w:val="none"/>
              </w:rPr>
            </w:pPr>
            <w:r>
              <w:rPr>
                <w:rFonts w:hint="eastAsia" w:ascii="宋体" w:cs="宋体"/>
                <w:kern w:val="0"/>
                <w:sz w:val="24"/>
                <w:highlight w:val="none"/>
              </w:rPr>
              <w:t>工作年限</w:t>
            </w:r>
          </w:p>
        </w:tc>
        <w:tc>
          <w:tcPr>
            <w:tcW w:w="2117" w:type="dxa"/>
            <w:tcBorders>
              <w:top w:val="single" w:color="auto" w:sz="12" w:space="0"/>
              <w:left w:val="single" w:color="auto" w:sz="8" w:space="0"/>
              <w:bottom w:val="single" w:color="auto" w:sz="8" w:space="0"/>
              <w:right w:val="single" w:color="auto" w:sz="12" w:space="0"/>
            </w:tcBorders>
            <w:vAlign w:val="center"/>
          </w:tcPr>
          <w:p w14:paraId="3AC39CC3">
            <w:pPr>
              <w:autoSpaceDE w:val="0"/>
              <w:autoSpaceDN w:val="0"/>
              <w:jc w:val="center"/>
              <w:rPr>
                <w:rFonts w:ascii="宋体" w:cs="宋体"/>
                <w:kern w:val="0"/>
                <w:sz w:val="24"/>
                <w:highlight w:val="none"/>
              </w:rPr>
            </w:pPr>
            <w:r>
              <w:rPr>
                <w:rFonts w:hint="eastAsia" w:ascii="宋体" w:cs="宋体"/>
                <w:kern w:val="0"/>
                <w:sz w:val="24"/>
                <w:highlight w:val="none"/>
              </w:rPr>
              <w:t>类似项目</w:t>
            </w:r>
          </w:p>
          <w:p w14:paraId="7D61B83B">
            <w:pPr>
              <w:autoSpaceDE w:val="0"/>
              <w:autoSpaceDN w:val="0"/>
              <w:jc w:val="center"/>
              <w:rPr>
                <w:rFonts w:ascii="宋体" w:cs="宋体"/>
                <w:kern w:val="0"/>
                <w:sz w:val="24"/>
                <w:highlight w:val="none"/>
              </w:rPr>
            </w:pPr>
            <w:r>
              <w:rPr>
                <w:rFonts w:hint="eastAsia" w:ascii="宋体" w:cs="宋体"/>
                <w:kern w:val="0"/>
                <w:sz w:val="24"/>
                <w:highlight w:val="none"/>
              </w:rPr>
              <w:t>经验年限</w:t>
            </w:r>
          </w:p>
        </w:tc>
      </w:tr>
      <w:tr w14:paraId="56330EC0">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0F8426E6">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BD4F38F">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1390A306">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2ECACA23">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4B979F5">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A886C4B">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6EAF4D3D">
            <w:pPr>
              <w:autoSpaceDE w:val="0"/>
              <w:autoSpaceDN w:val="0"/>
              <w:jc w:val="center"/>
              <w:rPr>
                <w:kern w:val="0"/>
                <w:sz w:val="24"/>
                <w:highlight w:val="none"/>
              </w:rPr>
            </w:pPr>
          </w:p>
        </w:tc>
      </w:tr>
      <w:tr w14:paraId="6532D48A">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7FC9C3AC">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A649B36">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0A35F08">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81657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D1F2CF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00E2E02">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B07CC3C">
            <w:pPr>
              <w:autoSpaceDE w:val="0"/>
              <w:autoSpaceDN w:val="0"/>
              <w:jc w:val="center"/>
              <w:rPr>
                <w:kern w:val="0"/>
                <w:sz w:val="24"/>
                <w:highlight w:val="none"/>
              </w:rPr>
            </w:pPr>
          </w:p>
        </w:tc>
      </w:tr>
      <w:tr w14:paraId="02B9FFD7">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A109B8E">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1A2C863B">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392651A3">
            <w:pPr>
              <w:autoSpaceDE w:val="0"/>
              <w:autoSpaceDN w:val="0"/>
              <w:jc w:val="center"/>
              <w:rPr>
                <w:rFonts w:ascii="宋体" w:cs="宋体"/>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E16A9A4">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76C0B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64CCC310">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E6423B1">
            <w:pPr>
              <w:autoSpaceDE w:val="0"/>
              <w:autoSpaceDN w:val="0"/>
              <w:jc w:val="center"/>
              <w:rPr>
                <w:kern w:val="0"/>
                <w:sz w:val="24"/>
                <w:highlight w:val="none"/>
              </w:rPr>
            </w:pPr>
          </w:p>
        </w:tc>
      </w:tr>
      <w:tr w14:paraId="49E4C338">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349899F9">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D57A82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6DA7740">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61D83A2">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54F85D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6CF48F9">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92F628F">
            <w:pPr>
              <w:autoSpaceDE w:val="0"/>
              <w:autoSpaceDN w:val="0"/>
              <w:jc w:val="center"/>
              <w:rPr>
                <w:kern w:val="0"/>
                <w:sz w:val="24"/>
                <w:highlight w:val="none"/>
              </w:rPr>
            </w:pPr>
          </w:p>
        </w:tc>
      </w:tr>
      <w:tr w14:paraId="26AAF6F3">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82208D1">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CB9331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67E9A1D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8F1AC1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A62B32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780F5F3">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968705A">
            <w:pPr>
              <w:autoSpaceDE w:val="0"/>
              <w:autoSpaceDN w:val="0"/>
              <w:jc w:val="center"/>
              <w:rPr>
                <w:kern w:val="0"/>
                <w:sz w:val="24"/>
                <w:highlight w:val="none"/>
              </w:rPr>
            </w:pPr>
          </w:p>
        </w:tc>
      </w:tr>
      <w:tr w14:paraId="1E43C2A3">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12" w:space="0"/>
              <w:right w:val="single" w:color="auto" w:sz="8" w:space="0"/>
            </w:tcBorders>
            <w:vAlign w:val="center"/>
          </w:tcPr>
          <w:p w14:paraId="07D0A258">
            <w:pPr>
              <w:autoSpaceDE w:val="0"/>
              <w:autoSpaceDN w:val="0"/>
              <w:jc w:val="center"/>
              <w:rPr>
                <w:kern w:val="0"/>
                <w:sz w:val="24"/>
                <w:highlight w:val="none"/>
              </w:rPr>
            </w:pPr>
          </w:p>
        </w:tc>
        <w:tc>
          <w:tcPr>
            <w:tcW w:w="720" w:type="dxa"/>
            <w:tcBorders>
              <w:top w:val="single" w:color="auto" w:sz="8" w:space="0"/>
              <w:left w:val="single" w:color="auto" w:sz="8" w:space="0"/>
              <w:bottom w:val="single" w:color="auto" w:sz="12" w:space="0"/>
              <w:right w:val="single" w:color="auto" w:sz="8" w:space="0"/>
            </w:tcBorders>
            <w:vAlign w:val="center"/>
          </w:tcPr>
          <w:p w14:paraId="69F0CA2E">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12" w:space="0"/>
              <w:right w:val="single" w:color="auto" w:sz="8" w:space="0"/>
            </w:tcBorders>
            <w:vAlign w:val="center"/>
          </w:tcPr>
          <w:p w14:paraId="55893A19">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0C86C6C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2985414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7826DB7F">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12" w:space="0"/>
              <w:right w:val="single" w:color="auto" w:sz="12" w:space="0"/>
            </w:tcBorders>
            <w:vAlign w:val="center"/>
          </w:tcPr>
          <w:p w14:paraId="05BF7DA4">
            <w:pPr>
              <w:autoSpaceDE w:val="0"/>
              <w:autoSpaceDN w:val="0"/>
              <w:jc w:val="center"/>
              <w:rPr>
                <w:kern w:val="0"/>
                <w:sz w:val="24"/>
                <w:highlight w:val="none"/>
              </w:rPr>
            </w:pPr>
          </w:p>
        </w:tc>
      </w:tr>
    </w:tbl>
    <w:p w14:paraId="45E026C6">
      <w:pPr>
        <w:spacing w:line="360" w:lineRule="auto"/>
        <w:rPr>
          <w:rFonts w:hint="eastAsia" w:hAnsi="宋体" w:cs="仿宋"/>
          <w:szCs w:val="21"/>
          <w:highlight w:val="none"/>
        </w:rPr>
      </w:pPr>
      <w:r>
        <w:rPr>
          <w:rFonts w:hint="eastAsia" w:hAnsi="宋体" w:cs="仿宋"/>
          <w:szCs w:val="21"/>
          <w:highlight w:val="none"/>
        </w:rPr>
        <w:t>注：①项目负责人及各专业负责人均应填写；</w:t>
      </w:r>
    </w:p>
    <w:p w14:paraId="2B11D4B3">
      <w:pPr>
        <w:spacing w:line="360" w:lineRule="auto"/>
        <w:ind w:firstLine="420" w:firstLineChars="200"/>
        <w:rPr>
          <w:rFonts w:hint="eastAsia" w:hAnsi="宋体" w:cs="仿宋"/>
          <w:szCs w:val="21"/>
          <w:highlight w:val="none"/>
        </w:rPr>
      </w:pPr>
      <w:r>
        <w:rPr>
          <w:rFonts w:hint="eastAsia" w:hAnsi="宋体" w:cs="仿宋"/>
          <w:szCs w:val="21"/>
          <w:highlight w:val="none"/>
        </w:rPr>
        <w:t>①</w:t>
      </w:r>
      <w:r>
        <w:rPr>
          <w:rFonts w:hAnsi="宋体" w:cs="仿宋"/>
          <w:szCs w:val="21"/>
          <w:highlight w:val="none"/>
        </w:rPr>
        <w:t>本表人员应附</w:t>
      </w:r>
      <w:r>
        <w:rPr>
          <w:rFonts w:hAnsi="宋体" w:cs="仿宋"/>
          <w:b/>
          <w:szCs w:val="21"/>
          <w:highlight w:val="none"/>
        </w:rPr>
        <w:t>身份证、毕业证、职称证、执业资格证书</w:t>
      </w:r>
      <w:r>
        <w:rPr>
          <w:rFonts w:hint="eastAsia" w:hAnsi="宋体" w:cs="仿宋"/>
          <w:b/>
          <w:szCs w:val="21"/>
          <w:highlight w:val="none"/>
          <w:lang w:eastAsia="zh-CN"/>
        </w:rPr>
        <w:t>（如有）</w:t>
      </w:r>
      <w:r>
        <w:rPr>
          <w:rFonts w:hAnsi="宋体" w:cs="仿宋"/>
          <w:szCs w:val="21"/>
          <w:highlight w:val="none"/>
        </w:rPr>
        <w:t>以及资格审查条件所要求的其他相关证书的</w:t>
      </w:r>
      <w:r>
        <w:rPr>
          <w:rFonts w:hint="eastAsia" w:hAnsi="宋体" w:cs="仿宋"/>
          <w:szCs w:val="21"/>
          <w:highlight w:val="none"/>
        </w:rPr>
        <w:t>原件扫描</w:t>
      </w:r>
      <w:r>
        <w:rPr>
          <w:rFonts w:hAnsi="宋体" w:cs="仿宋"/>
          <w:szCs w:val="21"/>
          <w:highlight w:val="none"/>
        </w:rPr>
        <w:t>件。</w:t>
      </w:r>
    </w:p>
    <w:p w14:paraId="229B843C">
      <w:pPr>
        <w:spacing w:line="360" w:lineRule="auto"/>
        <w:ind w:firstLine="420" w:firstLineChars="200"/>
        <w:rPr>
          <w:rFonts w:hAnsi="宋体" w:cs="仿宋"/>
          <w:szCs w:val="21"/>
          <w:highlight w:val="none"/>
        </w:rPr>
      </w:pPr>
      <w:r>
        <w:rPr>
          <w:rFonts w:hAnsi="宋体" w:cs="仿宋"/>
          <w:szCs w:val="21"/>
          <w:highlight w:val="none"/>
        </w:rPr>
        <w:t>②</w:t>
      </w:r>
      <w:r>
        <w:rPr>
          <w:rFonts w:hint="eastAsia" w:hAnsi="宋体" w:cs="仿宋"/>
          <w:szCs w:val="21"/>
          <w:highlight w:val="none"/>
        </w:rPr>
        <w:t>供应商拟安排参与本工程的人员必须是在供应商处进行岗位登记[要求出具</w:t>
      </w:r>
      <w:r>
        <w:rPr>
          <w:rFonts w:hint="eastAsia" w:hAnsi="宋体" w:cs="仿宋"/>
          <w:szCs w:val="21"/>
          <w:highlight w:val="none"/>
          <w:lang w:val="en-US" w:eastAsia="zh-CN"/>
        </w:rPr>
        <w:t>近半年来连续三个月</w:t>
      </w:r>
      <w:r>
        <w:rPr>
          <w:rFonts w:hint="eastAsia" w:hAnsi="宋体" w:cs="仿宋"/>
          <w:szCs w:val="21"/>
          <w:highlight w:val="none"/>
        </w:rPr>
        <w:t>的社保缴费证明或参加社保的有效证明材料]。</w:t>
      </w:r>
    </w:p>
    <w:p w14:paraId="34E11E57">
      <w:pPr>
        <w:spacing w:line="360" w:lineRule="auto"/>
        <w:ind w:firstLine="420" w:firstLineChars="200"/>
        <w:rPr>
          <w:rFonts w:hAnsi="宋体" w:cs="仿宋"/>
          <w:szCs w:val="21"/>
          <w:highlight w:val="none"/>
        </w:rPr>
      </w:pPr>
      <w:r>
        <w:rPr>
          <w:rFonts w:hint="eastAsia" w:ascii="微软雅黑" w:hAnsi="微软雅黑" w:eastAsia="微软雅黑" w:cs="微软雅黑"/>
          <w:szCs w:val="21"/>
          <w:highlight w:val="none"/>
        </w:rPr>
        <w:t>③</w:t>
      </w:r>
      <w:r>
        <w:rPr>
          <w:rFonts w:hint="eastAsia" w:hAnsi="宋体" w:cs="仿宋"/>
          <w:szCs w:val="21"/>
          <w:highlight w:val="none"/>
        </w:rPr>
        <w:t>须附有效证明材料，如成果文件签名页面等，有效证明材料具体要求见</w:t>
      </w:r>
      <w:r>
        <w:rPr>
          <w:rFonts w:hint="eastAsia" w:hAnsi="宋体" w:cs="仿宋"/>
          <w:highlight w:val="none"/>
        </w:rPr>
        <w:t>第四章评审办法</w:t>
      </w:r>
      <w:r>
        <w:rPr>
          <w:rFonts w:hint="eastAsia" w:hAnsi="宋体" w:cs="仿宋"/>
          <w:szCs w:val="21"/>
          <w:highlight w:val="none"/>
        </w:rPr>
        <w:t>。</w:t>
      </w:r>
    </w:p>
    <w:p w14:paraId="41BBFEA2">
      <w:pPr>
        <w:snapToGrid w:val="0"/>
        <w:spacing w:before="50" w:after="50"/>
        <w:rPr>
          <w:rFonts w:hint="eastAsia" w:ascii="宋体" w:hAnsi="宋体"/>
          <w:szCs w:val="21"/>
          <w:highlight w:val="none"/>
        </w:rPr>
      </w:pPr>
    </w:p>
    <w:p w14:paraId="069CB2C1">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44824E29">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55FD4FA3">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71E50AC3">
      <w:pPr>
        <w:snapToGrid w:val="0"/>
        <w:spacing w:before="50" w:after="120" w:afterLines="50"/>
        <w:jc w:val="left"/>
        <w:rPr>
          <w:rFonts w:hint="eastAsia" w:ascii="宋体" w:hAnsi="宋体"/>
          <w:sz w:val="24"/>
          <w:szCs w:val="20"/>
          <w:highlight w:val="none"/>
        </w:rPr>
      </w:pPr>
    </w:p>
    <w:p w14:paraId="35E0B34C">
      <w:pPr>
        <w:rPr>
          <w:highlight w:val="none"/>
        </w:rPr>
      </w:pPr>
      <w:r>
        <w:rPr>
          <w:rFonts w:ascii="黑体" w:hAnsi="宋体" w:eastAsia="黑体"/>
          <w:b/>
          <w:sz w:val="24"/>
          <w:highlight w:val="none"/>
        </w:rPr>
        <w:br w:type="page"/>
      </w:r>
    </w:p>
    <w:p w14:paraId="084B40DB">
      <w:pPr>
        <w:pStyle w:val="10"/>
        <w:rPr>
          <w:highlight w:val="none"/>
        </w:rPr>
      </w:pPr>
    </w:p>
    <w:p w14:paraId="4A03C7A8">
      <w:pPr>
        <w:snapToGrid w:val="0"/>
        <w:spacing w:line="360" w:lineRule="auto"/>
        <w:jc w:val="center"/>
        <w:outlineLvl w:val="1"/>
        <w:rPr>
          <w:rFonts w:hint="eastAsia" w:ascii="黑体" w:hAnsi="黑体" w:eastAsia="黑体" w:cs="黑体"/>
          <w:sz w:val="36"/>
          <w:szCs w:val="36"/>
          <w:highlight w:val="none"/>
        </w:rPr>
      </w:pPr>
      <w:bookmarkStart w:id="100" w:name="_Toc11791"/>
      <w:bookmarkStart w:id="101" w:name="_Toc18160"/>
      <w:bookmarkStart w:id="102" w:name="_Toc19324"/>
      <w:bookmarkStart w:id="103" w:name="_Toc15898"/>
      <w:bookmarkStart w:id="104" w:name="_Toc7403"/>
      <w:r>
        <w:rPr>
          <w:rFonts w:hint="eastAsia" w:ascii="黑体" w:hAnsi="黑体" w:eastAsia="黑体" w:cs="黑体"/>
          <w:sz w:val="36"/>
          <w:szCs w:val="36"/>
          <w:highlight w:val="none"/>
        </w:rPr>
        <w:t>五、</w:t>
      </w:r>
      <w:bookmarkEnd w:id="100"/>
      <w:bookmarkEnd w:id="101"/>
      <w:bookmarkEnd w:id="102"/>
      <w:r>
        <w:rPr>
          <w:rFonts w:hint="eastAsia" w:ascii="黑体" w:hAnsi="黑体" w:eastAsia="黑体" w:cs="黑体"/>
          <w:sz w:val="36"/>
          <w:szCs w:val="36"/>
          <w:highlight w:val="none"/>
          <w:lang w:eastAsia="zh-CN"/>
        </w:rPr>
        <w:t>服务方案</w:t>
      </w:r>
      <w:bookmarkEnd w:id="103"/>
      <w:bookmarkEnd w:id="104"/>
      <w:r>
        <w:rPr>
          <w:rFonts w:hint="eastAsia" w:ascii="黑体" w:hAnsi="黑体" w:eastAsia="黑体" w:cs="黑体"/>
          <w:sz w:val="36"/>
          <w:szCs w:val="36"/>
          <w:highlight w:val="none"/>
        </w:rPr>
        <w:t xml:space="preserve"> </w:t>
      </w:r>
    </w:p>
    <w:p w14:paraId="42E7622D">
      <w:pPr>
        <w:jc w:val="left"/>
        <w:rPr>
          <w:highlight w:val="none"/>
        </w:rPr>
      </w:pPr>
      <w:r>
        <w:rPr>
          <w:rFonts w:hint="eastAsia" w:ascii="宋体" w:hAnsi="宋体" w:cs="宋体"/>
          <w:bCs/>
          <w:kern w:val="0"/>
          <w:sz w:val="24"/>
          <w:highlight w:val="none"/>
          <w:lang w:val="en-US" w:eastAsia="zh-CN"/>
        </w:rPr>
        <w:t>格式自拟</w:t>
      </w:r>
      <w:r>
        <w:rPr>
          <w:rFonts w:hint="eastAsia"/>
          <w:highlight w:val="none"/>
          <w:lang w:eastAsia="zh-CN"/>
        </w:rPr>
        <w:t>。</w:t>
      </w:r>
      <w:r>
        <w:rPr>
          <w:highlight w:val="none"/>
        </w:rPr>
        <w:br w:type="page"/>
      </w:r>
    </w:p>
    <w:p w14:paraId="5423FD76">
      <w:pPr>
        <w:pStyle w:val="10"/>
        <w:rPr>
          <w:highlight w:val="none"/>
        </w:rPr>
      </w:pPr>
    </w:p>
    <w:p w14:paraId="03BF7156">
      <w:pPr>
        <w:snapToGrid w:val="0"/>
        <w:spacing w:line="360" w:lineRule="auto"/>
        <w:jc w:val="center"/>
        <w:outlineLvl w:val="1"/>
        <w:rPr>
          <w:rFonts w:hint="eastAsia" w:ascii="黑体" w:hAnsi="黑体" w:eastAsia="黑体" w:cs="黑体"/>
          <w:sz w:val="36"/>
          <w:szCs w:val="36"/>
          <w:highlight w:val="none"/>
        </w:rPr>
      </w:pPr>
      <w:bookmarkStart w:id="105" w:name="_Toc18260"/>
      <w:bookmarkStart w:id="106" w:name="_Toc17357"/>
      <w:bookmarkStart w:id="107" w:name="_Toc7160"/>
      <w:bookmarkStart w:id="108" w:name="_Toc21629"/>
      <w:bookmarkStart w:id="109" w:name="_Toc24713"/>
      <w:r>
        <w:rPr>
          <w:rFonts w:hint="eastAsia" w:ascii="黑体" w:hAnsi="黑体" w:eastAsia="黑体" w:cs="黑体"/>
          <w:sz w:val="36"/>
          <w:szCs w:val="36"/>
          <w:highlight w:val="none"/>
        </w:rPr>
        <w:t>六、其他资料</w:t>
      </w:r>
      <w:bookmarkEnd w:id="105"/>
      <w:bookmarkEnd w:id="106"/>
      <w:bookmarkEnd w:id="107"/>
      <w:bookmarkEnd w:id="108"/>
      <w:bookmarkEnd w:id="109"/>
    </w:p>
    <w:p w14:paraId="626B9F12">
      <w:pPr>
        <w:pStyle w:val="10"/>
        <w:rPr>
          <w:rFonts w:hint="eastAsia" w:eastAsia="宋体"/>
          <w:highlight w:val="none"/>
          <w:lang w:eastAsia="zh-CN"/>
        </w:rPr>
      </w:pPr>
      <w:r>
        <w:rPr>
          <w:rFonts w:hint="eastAsia"/>
          <w:highlight w:val="none"/>
          <w:lang w:eastAsia="zh-CN"/>
        </w:rPr>
        <w:t>供应商认为需提供的其他资料。</w:t>
      </w:r>
    </w:p>
    <w:p w14:paraId="55C26388">
      <w:pPr>
        <w:pStyle w:val="10"/>
        <w:rPr>
          <w:highlight w:val="none"/>
        </w:rPr>
      </w:pPr>
    </w:p>
    <w:p w14:paraId="1D714B20">
      <w:pPr>
        <w:autoSpaceDE w:val="0"/>
        <w:autoSpaceDN w:val="0"/>
        <w:spacing w:line="360" w:lineRule="auto"/>
        <w:ind w:firstLine="4080" w:firstLineChars="1700"/>
        <w:rPr>
          <w:rFonts w:hint="eastAsia" w:ascii="宋体" w:hAnsi="宋体" w:cs="宋体"/>
          <w:kern w:val="0"/>
          <w:sz w:val="24"/>
          <w:highlight w:val="none"/>
          <w:lang w:val="zh-CN"/>
        </w:rPr>
        <w:sectPr>
          <w:pgSz w:w="11910" w:h="16840"/>
          <w:pgMar w:top="1340" w:right="1446" w:bottom="1185" w:left="1508" w:header="720" w:footer="720" w:gutter="0"/>
          <w:cols w:space="720" w:num="1"/>
        </w:sectPr>
      </w:pPr>
    </w:p>
    <w:p w14:paraId="320AED5D">
      <w:pPr>
        <w:pStyle w:val="2"/>
        <w:jc w:val="center"/>
        <w:rPr>
          <w:rFonts w:hint="eastAsia"/>
          <w:highlight w:val="none"/>
        </w:rPr>
      </w:pPr>
      <w:bookmarkStart w:id="110" w:name="_Toc32704"/>
      <w:bookmarkStart w:id="111" w:name="_Toc7406"/>
      <w:bookmarkStart w:id="112" w:name="_Toc10231"/>
      <w:bookmarkStart w:id="113" w:name="_Toc10311"/>
      <w:bookmarkStart w:id="114" w:name="_Toc13982"/>
      <w:bookmarkStart w:id="115" w:name="_Toc28124"/>
      <w:bookmarkStart w:id="116" w:name="_Toc19259"/>
      <w:bookmarkStart w:id="117" w:name="_Toc12521"/>
      <w:bookmarkStart w:id="118" w:name="_Toc10947"/>
      <w:bookmarkStart w:id="119" w:name="_Toc5554"/>
      <w:r>
        <w:rPr>
          <w:rFonts w:hint="eastAsia"/>
          <w:highlight w:val="none"/>
        </w:rPr>
        <w:t>第六章 合同条款</w:t>
      </w:r>
      <w:bookmarkEnd w:id="110"/>
      <w:bookmarkEnd w:id="111"/>
      <w:bookmarkEnd w:id="112"/>
      <w:bookmarkEnd w:id="113"/>
      <w:bookmarkEnd w:id="114"/>
      <w:bookmarkEnd w:id="115"/>
      <w:bookmarkEnd w:id="116"/>
      <w:bookmarkEnd w:id="117"/>
    </w:p>
    <w:p w14:paraId="113C0B53">
      <w:pPr>
        <w:pStyle w:val="43"/>
        <w:spacing w:line="360" w:lineRule="auto"/>
        <w:jc w:val="center"/>
        <w:rPr>
          <w:rFonts w:hint="eastAsia" w:ascii="宋体" w:hAnsi="宋体" w:cs="宋体"/>
          <w:b/>
          <w:bCs/>
          <w:color w:val="000000"/>
          <w:sz w:val="44"/>
          <w:szCs w:val="28"/>
          <w:highlight w:val="none"/>
        </w:rPr>
      </w:pPr>
      <w:bookmarkStart w:id="120" w:name="_Toc22523"/>
      <w:bookmarkStart w:id="121" w:name="_Toc25321"/>
      <w:bookmarkStart w:id="122" w:name="_Toc4827"/>
      <w:bookmarkStart w:id="123" w:name="_Toc21039"/>
      <w:bookmarkStart w:id="124" w:name="_Toc26106"/>
      <w:bookmarkStart w:id="125" w:name="_Toc6445"/>
      <w:r>
        <w:rPr>
          <w:rFonts w:hint="eastAsia" w:ascii="宋体" w:hAnsi="宋体" w:cs="宋体"/>
          <w:b/>
          <w:bCs/>
          <w:color w:val="000000"/>
          <w:sz w:val="44"/>
          <w:szCs w:val="28"/>
          <w:highlight w:val="none"/>
          <w:lang w:eastAsia="zh-CN"/>
        </w:rPr>
        <w:t>桂江（莲花大桥至桂江河口）航道扩建工程社会稳定风险分析及评估服务</w:t>
      </w:r>
      <w:r>
        <w:rPr>
          <w:rFonts w:hint="eastAsia" w:ascii="宋体" w:hAnsi="宋体" w:cs="宋体"/>
          <w:b/>
          <w:bCs/>
          <w:color w:val="000000"/>
          <w:sz w:val="44"/>
          <w:szCs w:val="28"/>
          <w:highlight w:val="none"/>
        </w:rPr>
        <w:t>合同</w:t>
      </w:r>
    </w:p>
    <w:p w14:paraId="29F44CEC">
      <w:pPr>
        <w:pStyle w:val="43"/>
        <w:spacing w:line="360" w:lineRule="auto"/>
        <w:jc w:val="center"/>
        <w:rPr>
          <w:rFonts w:hint="eastAsia" w:ascii="宋体" w:hAnsi="宋体" w:cs="宋体"/>
          <w:color w:val="000000"/>
          <w:sz w:val="44"/>
          <w:szCs w:val="28"/>
          <w:highlight w:val="none"/>
        </w:rPr>
      </w:pPr>
    </w:p>
    <w:p w14:paraId="48E451B3">
      <w:pPr>
        <w:pStyle w:val="43"/>
        <w:spacing w:line="360" w:lineRule="auto"/>
        <w:jc w:val="center"/>
        <w:rPr>
          <w:rFonts w:hint="eastAsia" w:ascii="宋体" w:hAnsi="宋体" w:cs="宋体"/>
          <w:color w:val="000000"/>
          <w:sz w:val="44"/>
          <w:szCs w:val="28"/>
          <w:highlight w:val="none"/>
        </w:rPr>
      </w:pPr>
    </w:p>
    <w:p w14:paraId="05392CC2">
      <w:pPr>
        <w:pStyle w:val="43"/>
        <w:jc w:val="center"/>
        <w:rPr>
          <w:rFonts w:eastAsia="楷体_GB2312"/>
          <w:color w:val="000000"/>
          <w:sz w:val="36"/>
          <w:highlight w:val="none"/>
        </w:rPr>
      </w:pPr>
    </w:p>
    <w:p w14:paraId="70EAB8D8">
      <w:pPr>
        <w:pStyle w:val="43"/>
        <w:spacing w:line="360" w:lineRule="auto"/>
        <w:ind w:firstLine="640" w:firstLineChars="200"/>
        <w:rPr>
          <w:rFonts w:hint="eastAsia" w:ascii="宋体" w:hAnsi="宋体"/>
          <w:bCs/>
          <w:color w:val="000000"/>
          <w:sz w:val="32"/>
          <w:highlight w:val="none"/>
        </w:rPr>
      </w:pPr>
      <w:r>
        <w:rPr>
          <w:rFonts w:hint="eastAsia" w:ascii="宋体" w:hAnsi="宋体"/>
          <w:bCs/>
          <w:color w:val="000000"/>
          <w:sz w:val="32"/>
          <w:highlight w:val="none"/>
        </w:rPr>
        <w:t>甲方：</w:t>
      </w:r>
      <w:r>
        <w:rPr>
          <w:rFonts w:hint="eastAsia" w:ascii="宋体" w:hAnsi="宋体"/>
          <w:bCs/>
          <w:color w:val="000000"/>
          <w:sz w:val="32"/>
          <w:highlight w:val="none"/>
          <w:u w:val="single"/>
          <w:lang w:eastAsia="zh-CN"/>
        </w:rPr>
        <w:t>广西壮族自治区港航发展中心</w:t>
      </w:r>
      <w:r>
        <w:rPr>
          <w:rFonts w:hint="eastAsia" w:ascii="宋体" w:hAnsi="宋体"/>
          <w:bCs/>
          <w:color w:val="000000"/>
          <w:sz w:val="32"/>
          <w:highlight w:val="none"/>
          <w:u w:val="single"/>
        </w:rPr>
        <w:t xml:space="preserve"> </w:t>
      </w:r>
      <w:r>
        <w:rPr>
          <w:rFonts w:ascii="宋体" w:hAnsi="宋体"/>
          <w:bCs/>
          <w:color w:val="000000"/>
          <w:sz w:val="32"/>
          <w:highlight w:val="none"/>
          <w:u w:val="single"/>
        </w:rPr>
        <w:t xml:space="preserve"> </w:t>
      </w:r>
    </w:p>
    <w:p w14:paraId="16E16D26">
      <w:pPr>
        <w:pStyle w:val="43"/>
        <w:spacing w:line="360" w:lineRule="auto"/>
        <w:ind w:left="2558" w:leftChars="304" w:hanging="1920" w:hangingChars="600"/>
        <w:rPr>
          <w:rFonts w:hint="eastAsia" w:ascii="宋体" w:hAnsi="宋体"/>
          <w:bCs/>
          <w:color w:val="000000"/>
          <w:sz w:val="36"/>
          <w:highlight w:val="none"/>
        </w:rPr>
      </w:pPr>
      <w:r>
        <w:rPr>
          <w:rFonts w:hint="eastAsia" w:ascii="宋体" w:hAnsi="宋体"/>
          <w:bCs/>
          <w:color w:val="000000"/>
          <w:sz w:val="32"/>
          <w:highlight w:val="none"/>
        </w:rPr>
        <w:t>乙方：</w:t>
      </w:r>
      <w:r>
        <w:rPr>
          <w:rFonts w:ascii="宋体" w:hAnsi="宋体"/>
          <w:bCs/>
          <w:color w:val="000000"/>
          <w:sz w:val="32"/>
          <w:highlight w:val="none"/>
          <w:u w:val="single"/>
        </w:rPr>
        <w:t xml:space="preserve">                      </w:t>
      </w:r>
      <w:r>
        <w:rPr>
          <w:rFonts w:hint="eastAsia" w:ascii="宋体" w:hAnsi="宋体"/>
          <w:bCs/>
          <w:color w:val="000000"/>
          <w:sz w:val="32"/>
          <w:highlight w:val="none"/>
          <w:u w:val="single"/>
        </w:rPr>
        <w:t xml:space="preserve"> </w:t>
      </w:r>
      <w:r>
        <w:rPr>
          <w:rFonts w:ascii="宋体" w:hAnsi="宋体"/>
          <w:bCs/>
          <w:color w:val="000000"/>
          <w:sz w:val="32"/>
          <w:highlight w:val="none"/>
          <w:u w:val="single"/>
        </w:rPr>
        <w:t xml:space="preserve"> </w:t>
      </w:r>
      <w:r>
        <w:rPr>
          <w:rFonts w:ascii="宋体" w:hAnsi="宋体"/>
          <w:bCs/>
          <w:color w:val="000000"/>
          <w:sz w:val="36"/>
          <w:highlight w:val="none"/>
        </w:rPr>
        <w:t xml:space="preserve">     </w:t>
      </w:r>
    </w:p>
    <w:p w14:paraId="32A18C33">
      <w:pPr>
        <w:pStyle w:val="43"/>
        <w:spacing w:line="360" w:lineRule="auto"/>
        <w:ind w:firstLine="640" w:firstLineChars="200"/>
        <w:rPr>
          <w:rFonts w:hint="eastAsia" w:ascii="宋体" w:hAnsi="宋体"/>
          <w:bCs/>
          <w:color w:val="000000"/>
          <w:sz w:val="32"/>
          <w:highlight w:val="none"/>
        </w:rPr>
      </w:pPr>
      <w:r>
        <w:rPr>
          <w:rFonts w:hint="eastAsia" w:ascii="宋体" w:hAnsi="宋体"/>
          <w:bCs/>
          <w:color w:val="000000"/>
          <w:sz w:val="32"/>
          <w:highlight w:val="none"/>
        </w:rPr>
        <w:t>签订时间：</w:t>
      </w:r>
      <w:r>
        <w:rPr>
          <w:rFonts w:ascii="宋体" w:hAnsi="宋体"/>
          <w:bCs/>
          <w:color w:val="000000"/>
          <w:sz w:val="32"/>
          <w:highlight w:val="none"/>
          <w:u w:val="single"/>
        </w:rPr>
        <w:t xml:space="preserve">      年    月    日</w:t>
      </w:r>
      <w:r>
        <w:rPr>
          <w:rFonts w:ascii="宋体" w:hAnsi="宋体"/>
          <w:bCs/>
          <w:color w:val="000000"/>
          <w:sz w:val="32"/>
          <w:highlight w:val="none"/>
        </w:rPr>
        <w:t xml:space="preserve">                </w:t>
      </w:r>
    </w:p>
    <w:p w14:paraId="0BA83E78">
      <w:pPr>
        <w:pStyle w:val="43"/>
        <w:spacing w:line="360" w:lineRule="auto"/>
        <w:ind w:firstLine="640" w:firstLineChars="200"/>
        <w:rPr>
          <w:rFonts w:hint="eastAsia" w:ascii="宋体" w:hAnsi="宋体"/>
          <w:b/>
          <w:color w:val="000000"/>
          <w:sz w:val="32"/>
          <w:highlight w:val="none"/>
        </w:rPr>
      </w:pPr>
      <w:r>
        <w:rPr>
          <w:rFonts w:hint="eastAsia" w:ascii="宋体" w:hAnsi="宋体"/>
          <w:bCs/>
          <w:color w:val="000000"/>
          <w:sz w:val="32"/>
          <w:highlight w:val="none"/>
        </w:rPr>
        <w:t>签订地点：</w:t>
      </w:r>
      <w:r>
        <w:rPr>
          <w:rFonts w:ascii="宋体" w:hAnsi="宋体"/>
          <w:bCs/>
          <w:color w:val="000000"/>
          <w:sz w:val="32"/>
          <w:highlight w:val="none"/>
          <w:u w:val="single"/>
        </w:rPr>
        <w:t xml:space="preserve">      </w:t>
      </w:r>
      <w:r>
        <w:rPr>
          <w:rFonts w:hint="eastAsia" w:ascii="宋体" w:hAnsi="宋体"/>
          <w:bCs/>
          <w:color w:val="000000"/>
          <w:sz w:val="32"/>
          <w:highlight w:val="none"/>
          <w:u w:val="single"/>
          <w:lang w:eastAsia="zh-CN"/>
        </w:rPr>
        <w:t>南宁市</w:t>
      </w:r>
      <w:r>
        <w:rPr>
          <w:rFonts w:hint="eastAsia" w:ascii="宋体" w:hAnsi="宋体"/>
          <w:bCs/>
          <w:color w:val="000000"/>
          <w:sz w:val="32"/>
          <w:highlight w:val="none"/>
          <w:u w:val="single"/>
        </w:rPr>
        <w:t xml:space="preserve"> </w:t>
      </w:r>
      <w:r>
        <w:rPr>
          <w:rFonts w:ascii="宋体" w:hAnsi="宋体"/>
          <w:bCs/>
          <w:color w:val="000000"/>
          <w:sz w:val="32"/>
          <w:highlight w:val="none"/>
          <w:u w:val="single"/>
        </w:rPr>
        <w:t xml:space="preserve">   </w:t>
      </w:r>
      <w:r>
        <w:rPr>
          <w:rFonts w:ascii="宋体" w:hAnsi="宋体"/>
          <w:bCs/>
          <w:color w:val="000000"/>
          <w:sz w:val="32"/>
          <w:highlight w:val="none"/>
        </w:rPr>
        <w:t xml:space="preserve">     </w:t>
      </w:r>
      <w:r>
        <w:rPr>
          <w:rFonts w:ascii="宋体" w:hAnsi="宋体"/>
          <w:b/>
          <w:color w:val="000000"/>
          <w:sz w:val="32"/>
          <w:highlight w:val="none"/>
        </w:rPr>
        <w:t xml:space="preserve">              </w:t>
      </w:r>
    </w:p>
    <w:p w14:paraId="2C5312C3">
      <w:pPr>
        <w:pStyle w:val="43"/>
        <w:rPr>
          <w:rFonts w:hint="eastAsia" w:ascii="宋体" w:hAnsi="宋体"/>
          <w:color w:val="000000"/>
          <w:sz w:val="36"/>
          <w:highlight w:val="none"/>
        </w:rPr>
      </w:pPr>
    </w:p>
    <w:p w14:paraId="34FE0023">
      <w:pPr>
        <w:pStyle w:val="43"/>
        <w:rPr>
          <w:rFonts w:hint="eastAsia" w:ascii="宋体" w:hAnsi="宋体"/>
          <w:color w:val="000000"/>
          <w:sz w:val="36"/>
          <w:highlight w:val="none"/>
        </w:rPr>
      </w:pPr>
    </w:p>
    <w:p w14:paraId="1BAF90C3">
      <w:pPr>
        <w:pStyle w:val="43"/>
        <w:rPr>
          <w:rFonts w:hint="eastAsia" w:ascii="宋体" w:hAnsi="宋体"/>
          <w:color w:val="000000"/>
          <w:sz w:val="36"/>
          <w:highlight w:val="none"/>
        </w:rPr>
      </w:pPr>
    </w:p>
    <w:p w14:paraId="16DA5292">
      <w:pPr>
        <w:pStyle w:val="10"/>
        <w:rPr>
          <w:rFonts w:hint="eastAsia" w:ascii="宋体" w:hAnsi="宋体"/>
          <w:color w:val="000000"/>
          <w:sz w:val="36"/>
          <w:highlight w:val="none"/>
        </w:rPr>
      </w:pPr>
    </w:p>
    <w:p w14:paraId="18793DF6">
      <w:pPr>
        <w:pStyle w:val="10"/>
        <w:rPr>
          <w:rFonts w:hint="eastAsia" w:ascii="宋体" w:hAnsi="宋体"/>
          <w:color w:val="000000"/>
          <w:sz w:val="36"/>
          <w:highlight w:val="none"/>
        </w:rPr>
      </w:pPr>
    </w:p>
    <w:p w14:paraId="20580CE3">
      <w:pPr>
        <w:pStyle w:val="10"/>
        <w:rPr>
          <w:rFonts w:hint="eastAsia" w:ascii="宋体" w:hAnsi="宋体"/>
          <w:color w:val="000000"/>
          <w:sz w:val="36"/>
          <w:highlight w:val="none"/>
        </w:rPr>
      </w:pPr>
    </w:p>
    <w:p w14:paraId="30604032">
      <w:pPr>
        <w:pStyle w:val="10"/>
        <w:rPr>
          <w:rFonts w:hint="eastAsia" w:ascii="宋体" w:hAnsi="宋体"/>
          <w:color w:val="000000"/>
          <w:sz w:val="36"/>
          <w:highlight w:val="none"/>
        </w:rPr>
      </w:pPr>
    </w:p>
    <w:p w14:paraId="4428626E">
      <w:pPr>
        <w:pStyle w:val="43"/>
        <w:jc w:val="center"/>
        <w:rPr>
          <w:rFonts w:eastAsia="黑体"/>
          <w:color w:val="000000"/>
          <w:sz w:val="44"/>
          <w:highlight w:val="none"/>
        </w:rPr>
      </w:pPr>
    </w:p>
    <w:p w14:paraId="1C51E21E">
      <w:pPr>
        <w:pStyle w:val="43"/>
        <w:jc w:val="center"/>
        <w:outlineLvl w:val="1"/>
        <w:rPr>
          <w:rFonts w:hint="eastAsia" w:eastAsia="黑体"/>
          <w:color w:val="000000"/>
          <w:sz w:val="28"/>
          <w:szCs w:val="28"/>
          <w:highlight w:val="none"/>
          <w:lang w:eastAsia="zh-CN"/>
        </w:rPr>
      </w:pPr>
      <w:r>
        <w:rPr>
          <w:rFonts w:hint="eastAsia" w:eastAsia="黑体"/>
          <w:color w:val="000000"/>
          <w:sz w:val="44"/>
          <w:highlight w:val="none"/>
        </w:rPr>
        <w:br w:type="page"/>
      </w:r>
      <w:bookmarkStart w:id="126" w:name="_Toc1890"/>
      <w:bookmarkStart w:id="127" w:name="_Toc5621"/>
      <w:r>
        <w:rPr>
          <w:rFonts w:hint="eastAsia" w:eastAsia="黑体"/>
          <w:color w:val="000000"/>
          <w:sz w:val="28"/>
          <w:szCs w:val="28"/>
          <w:highlight w:val="none"/>
        </w:rPr>
        <w:t>合同</w:t>
      </w:r>
      <w:r>
        <w:rPr>
          <w:rFonts w:hint="eastAsia" w:eastAsia="黑体"/>
          <w:color w:val="000000"/>
          <w:sz w:val="28"/>
          <w:szCs w:val="28"/>
          <w:highlight w:val="none"/>
          <w:lang w:eastAsia="zh-CN"/>
        </w:rPr>
        <w:t>协议书</w:t>
      </w:r>
      <w:bookmarkEnd w:id="126"/>
      <w:bookmarkEnd w:id="127"/>
    </w:p>
    <w:p w14:paraId="10FB32AC">
      <w:pPr>
        <w:pStyle w:val="43"/>
        <w:jc w:val="center"/>
        <w:rPr>
          <w:rFonts w:eastAsia="黑体"/>
          <w:color w:val="000000"/>
          <w:sz w:val="44"/>
          <w:highlight w:val="none"/>
        </w:rPr>
      </w:pPr>
    </w:p>
    <w:p w14:paraId="6657F9C6">
      <w:pPr>
        <w:pStyle w:val="43"/>
        <w:spacing w:beforeLines="0" w:afterLines="0" w:line="360" w:lineRule="auto"/>
        <w:ind w:left="0" w:firstLine="422" w:firstLineChars="200"/>
        <w:rPr>
          <w:rFonts w:hint="eastAsia" w:ascii="宋体" w:hAnsi="宋体" w:eastAsia="宋体" w:cs="宋体"/>
          <w:color w:val="000000"/>
          <w:sz w:val="21"/>
          <w:szCs w:val="21"/>
          <w:highlight w:val="none"/>
          <w:lang w:eastAsia="zh-CN"/>
        </w:rPr>
      </w:pPr>
      <w:r>
        <w:rPr>
          <w:rFonts w:hint="eastAsia" w:ascii="宋体" w:hAnsi="宋体" w:eastAsia="宋体" w:cs="宋体"/>
          <w:b/>
          <w:color w:val="000000"/>
          <w:sz w:val="21"/>
          <w:szCs w:val="21"/>
          <w:highlight w:val="none"/>
        </w:rPr>
        <w:t>甲方</w:t>
      </w:r>
      <w:r>
        <w:rPr>
          <w:rFonts w:hint="eastAsia" w:ascii="宋体" w:hAnsi="宋体" w:eastAsia="宋体" w:cs="宋体"/>
          <w:color w:val="000000"/>
          <w:sz w:val="21"/>
          <w:szCs w:val="21"/>
          <w:highlight w:val="none"/>
        </w:rPr>
        <w:t>：</w:t>
      </w:r>
      <w:r>
        <w:rPr>
          <w:rFonts w:hint="eastAsia" w:ascii="宋体" w:hAnsi="宋体" w:cs="宋体"/>
          <w:color w:val="000000"/>
          <w:sz w:val="21"/>
          <w:szCs w:val="21"/>
          <w:highlight w:val="none"/>
          <w:lang w:eastAsia="zh-CN"/>
        </w:rPr>
        <w:t>广西壮族自治区港航发展中心</w:t>
      </w:r>
    </w:p>
    <w:p w14:paraId="55ECA48A">
      <w:pPr>
        <w:pStyle w:val="43"/>
        <w:spacing w:beforeLines="0" w:afterLines="0" w:line="360" w:lineRule="auto"/>
        <w:ind w:firstLine="422" w:firstLineChars="200"/>
        <w:rPr>
          <w:rFonts w:hint="eastAsia" w:ascii="宋体" w:hAnsi="宋体" w:eastAsia="宋体" w:cs="宋体"/>
          <w:color w:val="000000"/>
          <w:sz w:val="21"/>
          <w:szCs w:val="21"/>
          <w:highlight w:val="none"/>
        </w:rPr>
      </w:pPr>
      <w:r>
        <w:rPr>
          <w:rFonts w:hint="eastAsia" w:ascii="宋体" w:hAnsi="宋体" w:eastAsia="宋体" w:cs="宋体"/>
          <w:b/>
          <w:color w:val="000000"/>
          <w:sz w:val="21"/>
          <w:szCs w:val="21"/>
          <w:highlight w:val="none"/>
        </w:rPr>
        <w:t>乙方</w:t>
      </w:r>
      <w:r>
        <w:rPr>
          <w:rFonts w:hint="eastAsia" w:ascii="宋体" w:hAnsi="宋体" w:eastAsia="宋体" w:cs="宋体"/>
          <w:color w:val="000000"/>
          <w:sz w:val="21"/>
          <w:szCs w:val="21"/>
          <w:highlight w:val="none"/>
        </w:rPr>
        <w:t xml:space="preserve">： </w:t>
      </w:r>
    </w:p>
    <w:p w14:paraId="760AE121">
      <w:pPr>
        <w:pStyle w:val="43"/>
        <w:spacing w:beforeLines="0" w:afterLines="0" w:line="360" w:lineRule="auto"/>
        <w:ind w:firstLine="420" w:firstLineChars="200"/>
        <w:jc w:val="both"/>
        <w:rPr>
          <w:rFonts w:hint="eastAsia" w:ascii="宋体" w:hAnsi="宋体" w:eastAsia="宋体" w:cs="宋体"/>
          <w:color w:val="000000"/>
          <w:sz w:val="21"/>
          <w:szCs w:val="21"/>
          <w:highlight w:val="none"/>
          <w:u w:val="single"/>
        </w:rPr>
      </w:pPr>
      <w:r>
        <w:rPr>
          <w:rFonts w:hint="eastAsia" w:ascii="宋体" w:hAnsi="宋体" w:eastAsia="宋体" w:cs="宋体"/>
          <w:color w:val="000000"/>
          <w:sz w:val="21"/>
          <w:szCs w:val="21"/>
          <w:highlight w:val="none"/>
        </w:rPr>
        <w:t>甲方通过</w:t>
      </w:r>
      <w:r>
        <w:rPr>
          <w:rFonts w:hint="eastAsia" w:ascii="宋体" w:hAnsi="宋体" w:cs="宋体"/>
          <w:color w:val="000000"/>
          <w:sz w:val="21"/>
          <w:szCs w:val="21"/>
          <w:highlight w:val="none"/>
          <w:lang w:eastAsia="zh-CN"/>
        </w:rPr>
        <w:t>公开采购</w:t>
      </w:r>
      <w:r>
        <w:rPr>
          <w:rFonts w:hint="eastAsia" w:ascii="宋体" w:hAnsi="宋体" w:eastAsia="宋体" w:cs="宋体"/>
          <w:color w:val="000000"/>
          <w:sz w:val="21"/>
          <w:szCs w:val="21"/>
          <w:highlight w:val="none"/>
        </w:rPr>
        <w:t>的方式委托乙方</w:t>
      </w:r>
      <w:r>
        <w:rPr>
          <w:rFonts w:hint="eastAsia" w:ascii="宋体" w:hAnsi="宋体" w:eastAsia="宋体" w:cs="宋体"/>
          <w:color w:val="000000"/>
          <w:sz w:val="21"/>
          <w:szCs w:val="21"/>
          <w:highlight w:val="none"/>
          <w:lang w:eastAsia="zh-CN"/>
        </w:rPr>
        <w:t>承担</w:t>
      </w:r>
      <w:r>
        <w:rPr>
          <w:rFonts w:hint="eastAsia" w:ascii="宋体" w:hAnsi="宋体" w:cs="宋体"/>
          <w:color w:val="000000"/>
          <w:sz w:val="21"/>
          <w:szCs w:val="21"/>
          <w:highlight w:val="none"/>
          <w:u w:val="single"/>
          <w:lang w:eastAsia="zh-CN"/>
        </w:rPr>
        <w:t>桂江（莲花大桥至桂江河口）航道扩建工程社会稳定风险分析及评估服务</w:t>
      </w:r>
      <w:r>
        <w:rPr>
          <w:rFonts w:hint="eastAsia" w:ascii="宋体" w:hAnsi="宋体" w:eastAsia="宋体" w:cs="宋体"/>
          <w:color w:val="000000"/>
          <w:sz w:val="21"/>
          <w:szCs w:val="21"/>
          <w:highlight w:val="none"/>
        </w:rPr>
        <w:t>工作，并支付相应的服务报酬。双方经过平等协商，在真实、充分地表达各自意愿的基础上，根据《中华人民共和国民法典》的规定，达成如下协议，并由双方共同恪守。</w:t>
      </w:r>
    </w:p>
    <w:p w14:paraId="299DFE4E">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第一条 本协议书与下列文件一起构成合同文件：</w:t>
      </w:r>
    </w:p>
    <w:p w14:paraId="5491C5A5">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1</w:t>
      </w:r>
      <w:r>
        <w:rPr>
          <w:rFonts w:hint="eastAsia" w:ascii="宋体" w:hAnsi="宋体" w:eastAsia="宋体" w:cs="宋体"/>
          <w:color w:val="000000"/>
          <w:sz w:val="21"/>
          <w:szCs w:val="21"/>
          <w:highlight w:val="none"/>
          <w:lang w:val="en-US" w:eastAsia="zh-CN"/>
        </w:rPr>
        <w:t>.</w:t>
      </w:r>
      <w:r>
        <w:rPr>
          <w:rFonts w:hint="eastAsia" w:ascii="宋体" w:hAnsi="宋体" w:eastAsia="宋体" w:cs="宋体"/>
          <w:color w:val="000000"/>
          <w:sz w:val="21"/>
          <w:szCs w:val="21"/>
          <w:highlight w:val="none"/>
        </w:rPr>
        <w:t>中标通知书；</w:t>
      </w:r>
    </w:p>
    <w:p w14:paraId="1762F9B9">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2</w:t>
      </w:r>
      <w:r>
        <w:rPr>
          <w:rFonts w:hint="eastAsia" w:ascii="宋体" w:hAnsi="宋体" w:eastAsia="宋体" w:cs="宋体"/>
          <w:color w:val="000000"/>
          <w:sz w:val="21"/>
          <w:szCs w:val="21"/>
          <w:highlight w:val="none"/>
          <w:lang w:val="en-US" w:eastAsia="zh-CN"/>
        </w:rPr>
        <w:t>.</w:t>
      </w:r>
      <w:r>
        <w:rPr>
          <w:rFonts w:hint="eastAsia" w:ascii="宋体" w:hAnsi="宋体" w:eastAsia="宋体" w:cs="宋体"/>
          <w:color w:val="000000"/>
          <w:sz w:val="21"/>
          <w:szCs w:val="21"/>
          <w:highlight w:val="none"/>
        </w:rPr>
        <w:t>投标函及投标函附录；</w:t>
      </w:r>
    </w:p>
    <w:p w14:paraId="57E69354">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3</w:t>
      </w:r>
      <w:r>
        <w:rPr>
          <w:rFonts w:hint="eastAsia" w:ascii="宋体" w:hAnsi="宋体" w:eastAsia="宋体" w:cs="宋体"/>
          <w:color w:val="000000"/>
          <w:sz w:val="21"/>
          <w:szCs w:val="21"/>
          <w:highlight w:val="none"/>
          <w:lang w:val="en-US" w:eastAsia="zh-CN"/>
        </w:rPr>
        <w:t>.</w:t>
      </w:r>
      <w:r>
        <w:rPr>
          <w:rFonts w:hint="eastAsia" w:ascii="宋体" w:hAnsi="宋体" w:cs="宋体"/>
          <w:color w:val="000000"/>
          <w:sz w:val="21"/>
          <w:szCs w:val="21"/>
          <w:highlight w:val="none"/>
          <w:lang w:eastAsia="zh-CN"/>
        </w:rPr>
        <w:t>采购需求</w:t>
      </w:r>
      <w:r>
        <w:rPr>
          <w:rFonts w:hint="eastAsia" w:ascii="宋体" w:hAnsi="宋体" w:eastAsia="宋体" w:cs="宋体"/>
          <w:color w:val="000000"/>
          <w:sz w:val="21"/>
          <w:szCs w:val="21"/>
          <w:highlight w:val="none"/>
        </w:rPr>
        <w:t>；</w:t>
      </w:r>
    </w:p>
    <w:p w14:paraId="3FF6E0D3">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4</w:t>
      </w:r>
      <w:r>
        <w:rPr>
          <w:rFonts w:hint="eastAsia" w:ascii="宋体" w:hAnsi="宋体" w:eastAsia="宋体" w:cs="宋体"/>
          <w:color w:val="000000"/>
          <w:sz w:val="21"/>
          <w:szCs w:val="21"/>
          <w:highlight w:val="none"/>
          <w:lang w:val="en-US" w:eastAsia="zh-CN"/>
        </w:rPr>
        <w:t>.</w:t>
      </w:r>
      <w:r>
        <w:rPr>
          <w:rFonts w:hint="eastAsia" w:ascii="宋体" w:hAnsi="宋体" w:cs="宋体"/>
          <w:color w:val="000000"/>
          <w:sz w:val="21"/>
          <w:szCs w:val="21"/>
          <w:highlight w:val="none"/>
          <w:lang w:eastAsia="zh-CN"/>
        </w:rPr>
        <w:t>报价</w:t>
      </w:r>
      <w:r>
        <w:rPr>
          <w:rFonts w:hint="eastAsia" w:ascii="宋体" w:hAnsi="宋体" w:eastAsia="宋体" w:cs="宋体"/>
          <w:color w:val="000000"/>
          <w:sz w:val="21"/>
          <w:szCs w:val="21"/>
          <w:highlight w:val="none"/>
          <w:lang w:eastAsia="zh-CN"/>
        </w:rPr>
        <w:t>清单</w:t>
      </w:r>
      <w:r>
        <w:rPr>
          <w:rFonts w:hint="eastAsia" w:ascii="宋体" w:hAnsi="宋体" w:eastAsia="宋体" w:cs="宋体"/>
          <w:color w:val="000000"/>
          <w:sz w:val="21"/>
          <w:szCs w:val="21"/>
          <w:highlight w:val="none"/>
        </w:rPr>
        <w:t>；</w:t>
      </w:r>
    </w:p>
    <w:p w14:paraId="45EB2A47">
      <w:pPr>
        <w:pStyle w:val="43"/>
        <w:spacing w:beforeLines="0" w:afterLines="0" w:line="360" w:lineRule="auto"/>
        <w:ind w:firstLine="420" w:firstLineChars="200"/>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5.服务方案；</w:t>
      </w:r>
    </w:p>
    <w:p w14:paraId="1C1094A7">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6</w:t>
      </w:r>
      <w:r>
        <w:rPr>
          <w:rFonts w:hint="eastAsia" w:ascii="宋体" w:hAnsi="宋体" w:eastAsia="宋体" w:cs="宋体"/>
          <w:color w:val="000000"/>
          <w:sz w:val="21"/>
          <w:szCs w:val="21"/>
          <w:highlight w:val="none"/>
          <w:lang w:val="en-US" w:eastAsia="zh-CN"/>
        </w:rPr>
        <w:t>.</w:t>
      </w:r>
      <w:r>
        <w:rPr>
          <w:rFonts w:hint="eastAsia" w:ascii="宋体" w:hAnsi="宋体" w:eastAsia="宋体" w:cs="宋体"/>
          <w:color w:val="000000"/>
          <w:sz w:val="21"/>
          <w:szCs w:val="21"/>
          <w:highlight w:val="none"/>
        </w:rPr>
        <w:t>构成本合同组成部分的其他文件(补遗书、澄清函)。</w:t>
      </w:r>
    </w:p>
    <w:p w14:paraId="5CDF36C4">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上述合同文件互相补充和解释。如果合同文件之间存在矛盾或不一致之处，以上述文件的排列顺序在先者为准。</w:t>
      </w:r>
    </w:p>
    <w:p w14:paraId="25B2501C">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二</w:t>
      </w:r>
      <w:r>
        <w:rPr>
          <w:rFonts w:hint="eastAsia" w:ascii="宋体" w:hAnsi="宋体" w:eastAsia="宋体" w:cs="宋体"/>
          <w:b/>
          <w:bCs/>
          <w:color w:val="000000"/>
          <w:sz w:val="21"/>
          <w:szCs w:val="21"/>
          <w:highlight w:val="none"/>
        </w:rPr>
        <w:t>条：甲方委托乙方进行服务的内容如下：</w:t>
      </w:r>
    </w:p>
    <w:p w14:paraId="7490D3B2">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1．项目概况：</w:t>
      </w:r>
    </w:p>
    <w:p w14:paraId="7345F260">
      <w:pPr>
        <w:pStyle w:val="43"/>
        <w:spacing w:beforeLines="0" w:afterLines="0" w:line="360" w:lineRule="auto"/>
        <w:ind w:firstLine="420" w:firstLineChars="200"/>
        <w:rPr>
          <w:rFonts w:hint="eastAsia" w:ascii="宋体" w:hAnsi="宋体" w:eastAsia="宋体" w:cs="宋体"/>
          <w:color w:val="000000"/>
          <w:sz w:val="21"/>
          <w:szCs w:val="21"/>
          <w:highlight w:val="none"/>
          <w:lang w:eastAsia="zh-CN"/>
        </w:rPr>
      </w:pPr>
      <w:r>
        <w:rPr>
          <w:rFonts w:hint="eastAsia" w:ascii="宋体" w:hAnsi="宋体" w:cs="宋体"/>
          <w:color w:val="000000"/>
          <w:sz w:val="21"/>
          <w:szCs w:val="21"/>
          <w:highlight w:val="none"/>
          <w:lang w:eastAsia="zh-CN"/>
        </w:rPr>
        <w:t>（</w:t>
      </w:r>
      <w:r>
        <w:rPr>
          <w:rFonts w:hint="eastAsia" w:ascii="宋体" w:hAnsi="宋体" w:cs="宋体"/>
          <w:color w:val="000000"/>
          <w:sz w:val="21"/>
          <w:szCs w:val="21"/>
          <w:highlight w:val="none"/>
          <w:lang w:val="en-US" w:eastAsia="zh-CN"/>
        </w:rPr>
        <w:t>1</w:t>
      </w:r>
      <w:r>
        <w:rPr>
          <w:rFonts w:hint="eastAsia" w:ascii="宋体" w:hAnsi="宋体" w:cs="宋体"/>
          <w:color w:val="000000"/>
          <w:sz w:val="21"/>
          <w:szCs w:val="21"/>
          <w:highlight w:val="none"/>
          <w:lang w:eastAsia="zh-CN"/>
        </w:rPr>
        <w:t>）</w:t>
      </w:r>
      <w:r>
        <w:rPr>
          <w:rFonts w:hint="eastAsia" w:ascii="宋体" w:hAnsi="宋体" w:cs="宋体"/>
          <w:color w:val="000000"/>
          <w:sz w:val="21"/>
          <w:szCs w:val="21"/>
          <w:highlight w:val="none"/>
        </w:rPr>
        <w:t>项目名称：</w:t>
      </w:r>
      <w:r>
        <w:rPr>
          <w:rFonts w:hint="eastAsia" w:ascii="宋体" w:hAnsi="宋体" w:cs="宋体"/>
          <w:color w:val="000000"/>
          <w:sz w:val="21"/>
          <w:szCs w:val="21"/>
          <w:highlight w:val="none"/>
          <w:lang w:eastAsia="zh-CN"/>
        </w:rPr>
        <w:t>桂江（莲花大桥至桂江河口）航道扩建工程社会稳定风险分析及评估服务</w:t>
      </w:r>
    </w:p>
    <w:p w14:paraId="7775018A">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r>
        <w:rPr>
          <w:rFonts w:hint="eastAsia" w:ascii="宋体" w:hAnsi="宋体" w:cs="宋体"/>
          <w:color w:val="000000"/>
          <w:sz w:val="21"/>
          <w:szCs w:val="21"/>
          <w:highlight w:val="none"/>
          <w:lang w:val="en-US" w:eastAsia="zh-CN"/>
        </w:rPr>
        <w:t>2</w:t>
      </w:r>
      <w:r>
        <w:rPr>
          <w:rFonts w:hint="eastAsia" w:ascii="宋体" w:hAnsi="宋体" w:eastAsia="宋体" w:cs="宋体"/>
          <w:color w:val="000000"/>
          <w:sz w:val="21"/>
          <w:szCs w:val="21"/>
          <w:highlight w:val="none"/>
        </w:rPr>
        <w:t>）</w:t>
      </w:r>
      <w:r>
        <w:rPr>
          <w:rFonts w:hint="eastAsia" w:ascii="宋体" w:hAnsi="宋体" w:cs="宋体"/>
          <w:color w:val="000000"/>
          <w:sz w:val="21"/>
          <w:szCs w:val="21"/>
          <w:highlight w:val="none"/>
          <w:lang w:eastAsia="zh-CN"/>
        </w:rPr>
        <w:t>建设</w:t>
      </w:r>
      <w:r>
        <w:rPr>
          <w:rFonts w:hint="eastAsia" w:ascii="宋体" w:hAnsi="宋体" w:eastAsia="宋体" w:cs="宋体"/>
          <w:color w:val="000000"/>
          <w:sz w:val="21"/>
          <w:szCs w:val="21"/>
          <w:highlight w:val="none"/>
        </w:rPr>
        <w:t>地点：</w:t>
      </w:r>
      <w:r>
        <w:rPr>
          <w:rFonts w:hint="eastAsia" w:ascii="宋体" w:hAnsi="宋体" w:eastAsia="宋体" w:cs="宋体"/>
          <w:color w:val="000000"/>
          <w:sz w:val="21"/>
          <w:szCs w:val="21"/>
          <w:highlight w:val="none"/>
          <w:u w:val="single"/>
          <w:lang w:eastAsia="zh-CN"/>
        </w:rPr>
        <w:t>桂江（莲花大桥至桂江河口）</w:t>
      </w:r>
    </w:p>
    <w:p w14:paraId="5DD6DE13">
      <w:pPr>
        <w:pStyle w:val="43"/>
        <w:spacing w:beforeLines="0" w:afterLines="0" w:line="360" w:lineRule="auto"/>
        <w:ind w:firstLine="420" w:firstLineChars="200"/>
        <w:rPr>
          <w:rFonts w:hint="eastAsia" w:ascii="宋体" w:hAnsi="宋体" w:eastAsia="宋体" w:cs="宋体"/>
          <w:color w:val="000000"/>
          <w:sz w:val="21"/>
          <w:szCs w:val="21"/>
          <w:highlight w:val="none"/>
          <w:u w:val="single"/>
        </w:rPr>
      </w:pPr>
      <w:r>
        <w:rPr>
          <w:rFonts w:hint="eastAsia" w:ascii="宋体" w:hAnsi="宋体" w:eastAsia="宋体" w:cs="宋体"/>
          <w:color w:val="000000"/>
          <w:sz w:val="21"/>
          <w:szCs w:val="21"/>
          <w:highlight w:val="none"/>
        </w:rPr>
        <w:t>（2）</w:t>
      </w:r>
      <w:r>
        <w:rPr>
          <w:rFonts w:hint="eastAsia" w:ascii="宋体" w:hAnsi="宋体" w:cs="宋体"/>
          <w:color w:val="000000"/>
          <w:sz w:val="21"/>
          <w:szCs w:val="21"/>
          <w:highlight w:val="none"/>
          <w:lang w:eastAsia="zh-CN"/>
        </w:rPr>
        <w:t>建设</w:t>
      </w:r>
      <w:r>
        <w:rPr>
          <w:rFonts w:hint="eastAsia" w:ascii="宋体" w:hAnsi="宋体" w:eastAsia="宋体" w:cs="宋体"/>
          <w:color w:val="000000"/>
          <w:sz w:val="21"/>
          <w:szCs w:val="21"/>
          <w:highlight w:val="none"/>
        </w:rPr>
        <w:t>规模：</w:t>
      </w:r>
      <w:r>
        <w:rPr>
          <w:rFonts w:hint="eastAsia" w:ascii="宋体" w:hAnsi="宋体" w:eastAsia="宋体" w:cs="宋体"/>
          <w:color w:val="000000"/>
          <w:sz w:val="21"/>
          <w:szCs w:val="21"/>
          <w:highlight w:val="none"/>
          <w:u w:val="single"/>
          <w:lang w:val="en-GB" w:eastAsia="zh-CN"/>
        </w:rPr>
        <w:t>桂江（莲花大桥至桂江河口）航道扩建工程，航道里程长约8.3公里，按Ⅲ级航道建设，设计航道尺度：3.5米×70 米×480 米（水深×宽度×最小弯曲半径），设计最低通航水位1.21米，主要工程内容包括生态疏浚炸礁工程、生态护岸工程、航标工程及配套工程等。</w:t>
      </w:r>
    </w:p>
    <w:p w14:paraId="69278225">
      <w:pPr>
        <w:pStyle w:val="43"/>
        <w:spacing w:beforeLines="0" w:afterLines="0" w:line="360" w:lineRule="auto"/>
        <w:ind w:firstLine="420" w:firstLineChars="200"/>
        <w:rPr>
          <w:rFonts w:hint="eastAsia" w:ascii="宋体" w:hAnsi="宋体" w:eastAsia="宋体" w:cs="宋体"/>
          <w:color w:val="000000"/>
          <w:sz w:val="21"/>
          <w:szCs w:val="21"/>
          <w:highlight w:val="none"/>
          <w:u w:val="single"/>
        </w:rPr>
      </w:pPr>
      <w:r>
        <w:rPr>
          <w:rFonts w:hint="eastAsia" w:ascii="宋体" w:hAnsi="宋体" w:cs="宋体"/>
          <w:color w:val="000000"/>
          <w:sz w:val="21"/>
          <w:szCs w:val="21"/>
          <w:highlight w:val="none"/>
          <w:lang w:val="en-US" w:eastAsia="zh-CN"/>
        </w:rPr>
        <w:t>2</w:t>
      </w:r>
      <w:r>
        <w:rPr>
          <w:rFonts w:hint="eastAsia" w:ascii="宋体" w:hAnsi="宋体" w:eastAsia="宋体" w:cs="宋体"/>
          <w:color w:val="000000"/>
          <w:sz w:val="21"/>
          <w:szCs w:val="21"/>
          <w:highlight w:val="none"/>
        </w:rPr>
        <w:t>．服务的内容：</w:t>
      </w:r>
      <w:r>
        <w:rPr>
          <w:rFonts w:hint="eastAsia" w:ascii="宋体" w:hAnsi="宋体" w:cs="宋体"/>
          <w:color w:val="000000"/>
          <w:sz w:val="21"/>
          <w:szCs w:val="21"/>
          <w:highlight w:val="none"/>
          <w:u w:val="single"/>
          <w:lang w:eastAsia="zh-CN"/>
        </w:rPr>
        <w:t>桂江（莲花大桥至桂江河口）航道扩建工程社会稳定风险分析及评估服务</w:t>
      </w:r>
      <w:r>
        <w:rPr>
          <w:rFonts w:hint="eastAsia" w:ascii="宋体" w:hAnsi="宋体" w:eastAsia="宋体" w:cs="宋体"/>
          <w:color w:val="000000"/>
          <w:sz w:val="21"/>
          <w:szCs w:val="21"/>
          <w:highlight w:val="none"/>
        </w:rPr>
        <w:t>工作</w:t>
      </w:r>
      <w:r>
        <w:rPr>
          <w:rFonts w:hint="eastAsia" w:ascii="宋体" w:hAnsi="宋体" w:eastAsia="宋体" w:cs="宋体"/>
          <w:color w:val="000000"/>
          <w:sz w:val="21"/>
          <w:szCs w:val="21"/>
          <w:highlight w:val="none"/>
          <w:u w:val="single"/>
        </w:rPr>
        <w:t>。</w:t>
      </w:r>
    </w:p>
    <w:p w14:paraId="57188E0D">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3</w:t>
      </w:r>
      <w:r>
        <w:rPr>
          <w:rFonts w:hint="eastAsia" w:ascii="宋体" w:hAnsi="宋体" w:eastAsia="宋体" w:cs="宋体"/>
          <w:color w:val="000000"/>
          <w:sz w:val="21"/>
          <w:szCs w:val="21"/>
          <w:highlight w:val="none"/>
        </w:rPr>
        <w:t>．服务的标准：</w:t>
      </w:r>
      <w:r>
        <w:rPr>
          <w:rFonts w:hint="eastAsia" w:ascii="宋体" w:hAnsi="宋体" w:eastAsia="宋体" w:cs="宋体"/>
          <w:color w:val="000000"/>
          <w:sz w:val="21"/>
          <w:szCs w:val="21"/>
          <w:highlight w:val="none"/>
          <w:lang w:eastAsia="zh-CN"/>
        </w:rPr>
        <w:t>乙方根据国家有关法律法规和</w:t>
      </w:r>
      <w:r>
        <w:rPr>
          <w:rFonts w:hint="eastAsia" w:ascii="宋体" w:hAnsi="宋体" w:eastAsia="宋体" w:cs="宋体"/>
          <w:color w:val="000000"/>
          <w:sz w:val="21"/>
          <w:szCs w:val="21"/>
          <w:highlight w:val="none"/>
          <w:u w:val="single"/>
          <w:lang w:val="en-GB"/>
        </w:rPr>
        <w:t>现行相关规范、规定、标准要求</w:t>
      </w:r>
      <w:r>
        <w:rPr>
          <w:rFonts w:hint="eastAsia" w:ascii="宋体" w:hAnsi="宋体" w:eastAsia="宋体" w:cs="宋体"/>
          <w:color w:val="000000"/>
          <w:sz w:val="21"/>
          <w:szCs w:val="21"/>
          <w:highlight w:val="none"/>
          <w:u w:val="single"/>
          <w:lang w:val="en-GB" w:eastAsia="zh-CN"/>
        </w:rPr>
        <w:t>，</w:t>
      </w:r>
      <w:r>
        <w:rPr>
          <w:rFonts w:hint="eastAsia" w:ascii="宋体" w:hAnsi="宋体" w:eastAsia="宋体" w:cs="宋体"/>
          <w:color w:val="000000"/>
          <w:sz w:val="21"/>
          <w:szCs w:val="21"/>
          <w:highlight w:val="none"/>
          <w:lang w:eastAsia="zh-CN"/>
        </w:rPr>
        <w:t>开展</w:t>
      </w:r>
      <w:r>
        <w:rPr>
          <w:rFonts w:hint="eastAsia" w:ascii="宋体" w:hAnsi="宋体" w:cs="宋体"/>
          <w:color w:val="000000"/>
          <w:sz w:val="21"/>
          <w:szCs w:val="21"/>
          <w:highlight w:val="none"/>
          <w:u w:val="single"/>
          <w:lang w:eastAsia="zh-CN"/>
        </w:rPr>
        <w:t>社会稳定风险分析及评估服务</w:t>
      </w:r>
      <w:r>
        <w:rPr>
          <w:rFonts w:hint="eastAsia" w:ascii="宋体" w:hAnsi="宋体" w:eastAsia="宋体" w:cs="宋体"/>
          <w:color w:val="000000"/>
          <w:sz w:val="21"/>
          <w:szCs w:val="21"/>
          <w:highlight w:val="none"/>
        </w:rPr>
        <w:t>工作</w:t>
      </w:r>
      <w:r>
        <w:rPr>
          <w:rFonts w:hint="eastAsia" w:ascii="宋体" w:hAnsi="宋体" w:eastAsia="宋体" w:cs="宋体"/>
          <w:color w:val="000000"/>
          <w:sz w:val="21"/>
          <w:szCs w:val="21"/>
          <w:highlight w:val="none"/>
          <w:lang w:eastAsia="zh-CN"/>
        </w:rPr>
        <w:t>，有关工作成果</w:t>
      </w:r>
      <w:r>
        <w:rPr>
          <w:rFonts w:hint="eastAsia" w:ascii="宋体" w:hAnsi="宋体" w:eastAsia="宋体" w:cs="宋体"/>
          <w:color w:val="000000"/>
          <w:sz w:val="21"/>
          <w:szCs w:val="21"/>
          <w:highlight w:val="none"/>
          <w:u w:val="single"/>
        </w:rPr>
        <w:t>符合</w:t>
      </w:r>
      <w:r>
        <w:rPr>
          <w:rFonts w:hint="eastAsia" w:ascii="宋体" w:hAnsi="宋体" w:eastAsia="宋体" w:cs="宋体"/>
          <w:color w:val="000000"/>
          <w:sz w:val="21"/>
          <w:szCs w:val="21"/>
          <w:highlight w:val="none"/>
          <w:u w:val="single"/>
          <w:lang w:val="en-GB"/>
        </w:rPr>
        <w:t>国家</w:t>
      </w:r>
      <w:r>
        <w:rPr>
          <w:rFonts w:hint="eastAsia" w:ascii="宋体" w:hAnsi="宋体" w:eastAsia="宋体" w:cs="宋体"/>
          <w:color w:val="000000"/>
          <w:sz w:val="21"/>
          <w:szCs w:val="21"/>
          <w:highlight w:val="none"/>
          <w:u w:val="single"/>
          <w:lang w:val="en-GB" w:eastAsia="zh-CN"/>
        </w:rPr>
        <w:t>及行业</w:t>
      </w:r>
      <w:r>
        <w:rPr>
          <w:rFonts w:hint="eastAsia" w:ascii="宋体" w:hAnsi="宋体" w:eastAsia="宋体" w:cs="宋体"/>
          <w:color w:val="000000"/>
          <w:sz w:val="21"/>
          <w:szCs w:val="21"/>
          <w:highlight w:val="none"/>
          <w:u w:val="single"/>
          <w:lang w:val="en-GB"/>
        </w:rPr>
        <w:t>现行相关规范、规定、标准要求</w:t>
      </w:r>
      <w:r>
        <w:rPr>
          <w:rFonts w:hint="eastAsia" w:ascii="宋体" w:hAnsi="宋体" w:eastAsia="宋体" w:cs="宋体"/>
          <w:color w:val="000000"/>
          <w:sz w:val="21"/>
          <w:szCs w:val="21"/>
          <w:highlight w:val="none"/>
          <w:u w:val="single"/>
          <w:lang w:val="en-GB" w:eastAsia="zh-CN"/>
        </w:rPr>
        <w:t>，</w:t>
      </w:r>
      <w:r>
        <w:rPr>
          <w:rFonts w:hint="eastAsia" w:ascii="宋体" w:hAnsi="宋体" w:cs="宋体"/>
          <w:color w:val="000000"/>
          <w:sz w:val="21"/>
          <w:szCs w:val="21"/>
          <w:highlight w:val="none"/>
          <w:u w:val="single"/>
          <w:lang w:val="en-GB" w:eastAsia="zh-CN"/>
        </w:rPr>
        <w:t>最终获得主管部门批复</w:t>
      </w:r>
      <w:r>
        <w:rPr>
          <w:rFonts w:hint="eastAsia" w:ascii="宋体" w:hAnsi="宋体" w:eastAsia="宋体" w:cs="宋体"/>
          <w:color w:val="000000"/>
          <w:sz w:val="21"/>
          <w:szCs w:val="21"/>
          <w:highlight w:val="none"/>
        </w:rPr>
        <w:t xml:space="preserve">。 </w:t>
      </w:r>
    </w:p>
    <w:p w14:paraId="5624C98A">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三</w:t>
      </w:r>
      <w:r>
        <w:rPr>
          <w:rFonts w:hint="eastAsia" w:ascii="宋体" w:hAnsi="宋体" w:eastAsia="宋体" w:cs="宋体"/>
          <w:b/>
          <w:bCs/>
          <w:color w:val="000000"/>
          <w:sz w:val="21"/>
          <w:szCs w:val="21"/>
          <w:highlight w:val="none"/>
        </w:rPr>
        <w:t>条：乙方应按下列要求完成服务工作：</w:t>
      </w:r>
    </w:p>
    <w:p w14:paraId="2CB96D2D">
      <w:pPr>
        <w:pStyle w:val="43"/>
        <w:spacing w:beforeLines="0" w:afterLines="0" w:line="360" w:lineRule="auto"/>
        <w:ind w:firstLine="420" w:firstLineChars="200"/>
        <w:rPr>
          <w:rFonts w:hint="eastAsia" w:ascii="宋体" w:hAnsi="宋体" w:eastAsia="宋体" w:cs="宋体"/>
          <w:color w:val="000000"/>
          <w:sz w:val="21"/>
          <w:szCs w:val="21"/>
          <w:highlight w:val="none"/>
          <w:u w:val="single"/>
        </w:rPr>
      </w:pPr>
      <w:r>
        <w:rPr>
          <w:rFonts w:hint="eastAsia" w:ascii="宋体" w:hAnsi="宋体" w:eastAsia="宋体" w:cs="宋体"/>
          <w:color w:val="000000"/>
          <w:sz w:val="21"/>
          <w:szCs w:val="21"/>
          <w:highlight w:val="none"/>
        </w:rPr>
        <w:t>1．服务地点：</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u w:val="single"/>
          <w:lang w:eastAsia="zh-CN"/>
        </w:rPr>
        <w:t>本项目所在地</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rPr>
        <w:t>。</w:t>
      </w:r>
    </w:p>
    <w:p w14:paraId="5C71E779">
      <w:pPr>
        <w:pStyle w:val="43"/>
        <w:spacing w:beforeLines="0" w:afterLines="0" w:line="360" w:lineRule="auto"/>
        <w:ind w:firstLine="420" w:firstLineChars="200"/>
        <w:rPr>
          <w:rFonts w:hint="eastAsia" w:ascii="宋体" w:hAnsi="宋体" w:eastAsia="宋体" w:cs="宋体"/>
          <w:color w:val="000000"/>
          <w:sz w:val="21"/>
          <w:szCs w:val="21"/>
          <w:highlight w:val="none"/>
          <w:u w:val="single"/>
        </w:rPr>
      </w:pPr>
      <w:r>
        <w:rPr>
          <w:rFonts w:hint="eastAsia" w:ascii="宋体" w:hAnsi="宋体" w:eastAsia="宋体" w:cs="宋体"/>
          <w:color w:val="000000"/>
          <w:sz w:val="21"/>
          <w:szCs w:val="21"/>
          <w:highlight w:val="none"/>
        </w:rPr>
        <w:t>2．服务期限：</w:t>
      </w:r>
      <w:r>
        <w:rPr>
          <w:rFonts w:hint="eastAsia"/>
          <w:b/>
          <w:bCs/>
          <w:szCs w:val="21"/>
          <w:highlight w:val="none"/>
        </w:rPr>
        <w:t>总工期为</w:t>
      </w:r>
      <w:r>
        <w:rPr>
          <w:rFonts w:hint="eastAsia"/>
          <w:b/>
          <w:bCs/>
          <w:szCs w:val="21"/>
          <w:highlight w:val="none"/>
          <w:lang w:val="en-US" w:eastAsia="zh-CN"/>
        </w:rPr>
        <w:t>6</w:t>
      </w:r>
      <w:r>
        <w:rPr>
          <w:rFonts w:hint="eastAsia"/>
          <w:b/>
          <w:bCs/>
          <w:szCs w:val="21"/>
          <w:highlight w:val="none"/>
        </w:rPr>
        <w:t>0日历天。具体如下：签订合同后45日历天内提交</w:t>
      </w:r>
      <w:r>
        <w:rPr>
          <w:rFonts w:hint="eastAsia"/>
          <w:b/>
          <w:bCs/>
          <w:szCs w:val="21"/>
          <w:highlight w:val="none"/>
          <w:lang w:eastAsia="zh-CN"/>
        </w:rPr>
        <w:t>社会稳定风险分析报告</w:t>
      </w:r>
      <w:r>
        <w:rPr>
          <w:rFonts w:hint="eastAsia"/>
          <w:b/>
          <w:bCs/>
          <w:szCs w:val="21"/>
          <w:highlight w:val="none"/>
        </w:rPr>
        <w:t>送审稿，并在</w:t>
      </w:r>
      <w:r>
        <w:rPr>
          <w:rFonts w:hint="eastAsia"/>
          <w:b/>
          <w:bCs/>
          <w:szCs w:val="21"/>
          <w:highlight w:val="none"/>
          <w:lang w:eastAsia="zh-CN"/>
        </w:rPr>
        <w:t>社会稳定风险分析报告</w:t>
      </w:r>
      <w:r>
        <w:rPr>
          <w:rFonts w:hint="eastAsia"/>
          <w:b/>
          <w:bCs/>
          <w:szCs w:val="21"/>
          <w:highlight w:val="none"/>
        </w:rPr>
        <w:t>评审会后15日历天内完成报批稿。并配合采购人最终取得批复。</w:t>
      </w:r>
    </w:p>
    <w:p w14:paraId="73F8F00D">
      <w:pPr>
        <w:pStyle w:val="43"/>
        <w:spacing w:beforeLines="0" w:after="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3．提交成果</w:t>
      </w:r>
      <w:r>
        <w:rPr>
          <w:rFonts w:hint="eastAsia" w:ascii="宋体" w:hAnsi="宋体" w:cs="宋体"/>
          <w:b/>
          <w:bCs/>
          <w:color w:val="000000"/>
          <w:sz w:val="21"/>
          <w:szCs w:val="21"/>
          <w:highlight w:val="none"/>
          <w:lang w:eastAsia="zh-CN"/>
        </w:rPr>
        <w:t>要求</w:t>
      </w:r>
      <w:r>
        <w:rPr>
          <w:rFonts w:hint="eastAsia" w:ascii="宋体" w:hAnsi="宋体" w:eastAsia="宋体" w:cs="宋体"/>
          <w:b/>
          <w:bCs/>
          <w:color w:val="000000"/>
          <w:sz w:val="21"/>
          <w:szCs w:val="21"/>
          <w:highlight w:val="none"/>
        </w:rPr>
        <w:t>：</w:t>
      </w:r>
    </w:p>
    <w:p w14:paraId="2C1A5A56">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cs="宋体"/>
          <w:b/>
          <w:bCs/>
          <w:color w:val="000000"/>
          <w:sz w:val="21"/>
          <w:szCs w:val="21"/>
          <w:highlight w:val="none"/>
          <w:lang w:eastAsia="zh-CN"/>
        </w:rPr>
        <w:t>（</w:t>
      </w:r>
      <w:r>
        <w:rPr>
          <w:rFonts w:hint="eastAsia" w:ascii="宋体" w:hAnsi="宋体" w:cs="宋体"/>
          <w:b/>
          <w:bCs/>
          <w:color w:val="000000"/>
          <w:sz w:val="21"/>
          <w:szCs w:val="21"/>
          <w:highlight w:val="none"/>
          <w:lang w:val="en-US" w:eastAsia="zh-CN"/>
        </w:rPr>
        <w:t>1</w:t>
      </w:r>
      <w:r>
        <w:rPr>
          <w:rFonts w:hint="eastAsia" w:ascii="宋体" w:hAnsi="宋体" w:cs="宋体"/>
          <w:b/>
          <w:bCs/>
          <w:color w:val="000000"/>
          <w:sz w:val="21"/>
          <w:szCs w:val="21"/>
          <w:highlight w:val="none"/>
          <w:lang w:eastAsia="zh-CN"/>
        </w:rPr>
        <w:t>）成果报告包括</w:t>
      </w:r>
      <w:r>
        <w:rPr>
          <w:rFonts w:hint="eastAsia" w:ascii="宋体" w:hAnsi="宋体" w:eastAsia="宋体" w:cs="宋体"/>
          <w:b/>
          <w:bCs/>
          <w:color w:val="000000"/>
          <w:sz w:val="21"/>
          <w:szCs w:val="21"/>
          <w:highlight w:val="none"/>
          <w:lang w:eastAsia="zh-CN"/>
        </w:rPr>
        <w:t>社会稳定风险分析报告</w:t>
      </w:r>
      <w:r>
        <w:rPr>
          <w:rFonts w:hint="eastAsia" w:ascii="宋体" w:hAnsi="宋体" w:cs="宋体"/>
          <w:b/>
          <w:bCs/>
          <w:color w:val="000000"/>
          <w:sz w:val="21"/>
          <w:szCs w:val="21"/>
          <w:highlight w:val="none"/>
          <w:lang w:eastAsia="zh-CN"/>
        </w:rPr>
        <w:t>，以</w:t>
      </w:r>
      <w:r>
        <w:rPr>
          <w:rFonts w:hint="eastAsia" w:ascii="宋体" w:hAnsi="宋体" w:eastAsia="宋体" w:cs="宋体"/>
          <w:b/>
          <w:bCs/>
          <w:color w:val="000000"/>
          <w:sz w:val="21"/>
          <w:szCs w:val="21"/>
          <w:highlight w:val="none"/>
          <w:lang w:eastAsia="zh-CN"/>
        </w:rPr>
        <w:t>及评估报告</w:t>
      </w:r>
      <w:r>
        <w:rPr>
          <w:rFonts w:hint="eastAsia" w:ascii="宋体" w:hAnsi="宋体" w:cs="宋体"/>
          <w:b/>
          <w:bCs/>
          <w:color w:val="000000"/>
          <w:sz w:val="21"/>
          <w:szCs w:val="21"/>
          <w:highlight w:val="none"/>
          <w:lang w:eastAsia="zh-CN"/>
        </w:rPr>
        <w:t>（如需要）</w:t>
      </w:r>
      <w:r>
        <w:rPr>
          <w:rFonts w:hint="eastAsia" w:ascii="宋体" w:hAnsi="宋体" w:eastAsia="宋体" w:cs="宋体"/>
          <w:b/>
          <w:bCs/>
          <w:color w:val="000000"/>
          <w:sz w:val="21"/>
          <w:szCs w:val="21"/>
          <w:highlight w:val="none"/>
          <w:u w:val="single"/>
        </w:rPr>
        <w:t>。</w:t>
      </w:r>
    </w:p>
    <w:p w14:paraId="3F6BBF45">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（2）成果形式及份数：</w:t>
      </w:r>
    </w:p>
    <w:p w14:paraId="7B79FCDF">
      <w:pPr>
        <w:pStyle w:val="43"/>
        <w:spacing w:beforeLines="0" w:after="0" w:afterLines="0" w:line="360" w:lineRule="auto"/>
        <w:ind w:firstLine="422" w:firstLineChars="200"/>
        <w:rPr>
          <w:rFonts w:hint="eastAsia" w:ascii="宋体" w:hAnsi="宋体" w:cs="宋体"/>
          <w:b/>
          <w:bCs/>
          <w:color w:val="000000"/>
          <w:szCs w:val="21"/>
          <w:highlight w:val="none"/>
        </w:rPr>
      </w:pPr>
      <w:r>
        <w:rPr>
          <w:rFonts w:hint="eastAsia" w:ascii="宋体" w:hAnsi="宋体" w:eastAsia="宋体" w:cs="宋体"/>
          <w:b/>
          <w:bCs/>
          <w:color w:val="000000"/>
          <w:szCs w:val="21"/>
          <w:highlight w:val="none"/>
        </w:rPr>
        <w:t>①</w:t>
      </w:r>
      <w:r>
        <w:rPr>
          <w:rFonts w:hint="eastAsia" w:ascii="宋体" w:hAnsi="宋体" w:cs="宋体"/>
          <w:b/>
          <w:bCs/>
          <w:color w:val="000000"/>
          <w:szCs w:val="21"/>
          <w:highlight w:val="none"/>
        </w:rPr>
        <w:t>提交一式20份成果报告初稿用于组织初审。</w:t>
      </w:r>
    </w:p>
    <w:p w14:paraId="6E72E850">
      <w:pPr>
        <w:pStyle w:val="43"/>
        <w:spacing w:beforeLines="0" w:after="0" w:afterLines="0" w:line="360" w:lineRule="auto"/>
        <w:ind w:firstLine="422" w:firstLineChars="200"/>
        <w:rPr>
          <w:rFonts w:hint="eastAsia" w:ascii="宋体" w:hAnsi="宋体" w:cs="宋体"/>
          <w:b/>
          <w:bCs/>
          <w:color w:val="000000"/>
          <w:szCs w:val="21"/>
          <w:highlight w:val="none"/>
        </w:rPr>
      </w:pPr>
      <w:r>
        <w:rPr>
          <w:rFonts w:hint="eastAsia" w:ascii="宋体" w:hAnsi="宋体" w:eastAsia="宋体" w:cs="宋体"/>
          <w:b/>
          <w:bCs/>
          <w:color w:val="000000"/>
          <w:szCs w:val="21"/>
          <w:highlight w:val="none"/>
        </w:rPr>
        <w:t>②</w:t>
      </w:r>
      <w:r>
        <w:rPr>
          <w:rFonts w:hint="eastAsia" w:ascii="宋体" w:hAnsi="宋体" w:cs="宋体"/>
          <w:b/>
          <w:bCs/>
          <w:color w:val="000000"/>
          <w:szCs w:val="21"/>
          <w:highlight w:val="none"/>
        </w:rPr>
        <w:t>提交一式20份符合要求的成果报告送审稿，供行业主管部门审查。</w:t>
      </w:r>
    </w:p>
    <w:p w14:paraId="6252B76A">
      <w:pPr>
        <w:pStyle w:val="43"/>
        <w:spacing w:beforeLines="0" w:after="0" w:afterLines="0" w:line="360" w:lineRule="auto"/>
        <w:ind w:firstLine="422" w:firstLineChars="200"/>
        <w:rPr>
          <w:rFonts w:hint="eastAsia" w:ascii="宋体" w:hAnsi="宋体" w:cs="宋体"/>
          <w:b/>
          <w:bCs/>
          <w:color w:val="000000"/>
          <w:szCs w:val="21"/>
          <w:highlight w:val="none"/>
        </w:rPr>
      </w:pPr>
      <w:r>
        <w:rPr>
          <w:rFonts w:hint="eastAsia" w:ascii="仿宋" w:hAnsi="仿宋" w:eastAsia="仿宋" w:cs="仿宋"/>
          <w:b/>
          <w:bCs/>
          <w:color w:val="000000"/>
          <w:szCs w:val="21"/>
          <w:highlight w:val="none"/>
        </w:rPr>
        <w:t>③</w:t>
      </w:r>
      <w:r>
        <w:rPr>
          <w:rFonts w:hint="eastAsia" w:ascii="宋体" w:hAnsi="宋体" w:cs="宋体"/>
          <w:b/>
          <w:bCs/>
          <w:color w:val="000000"/>
          <w:szCs w:val="21"/>
          <w:highlight w:val="none"/>
        </w:rPr>
        <w:t>提交一式10份修改完善后的成果报告报批稿，上报主管部门审批。</w:t>
      </w:r>
    </w:p>
    <w:p w14:paraId="57A99232">
      <w:pPr>
        <w:pStyle w:val="43"/>
        <w:spacing w:beforeLines="0" w:after="0" w:afterLines="0" w:line="360" w:lineRule="auto"/>
        <w:ind w:firstLine="422" w:firstLineChars="200"/>
        <w:rPr>
          <w:rFonts w:hint="eastAsia" w:ascii="宋体" w:hAnsi="宋体" w:eastAsia="宋体" w:cs="宋体"/>
          <w:b/>
          <w:bCs/>
          <w:color w:val="000000"/>
          <w:sz w:val="21"/>
          <w:szCs w:val="21"/>
          <w:highlight w:val="none"/>
          <w:lang w:eastAsia="zh-CN"/>
        </w:rPr>
      </w:pPr>
      <w:r>
        <w:rPr>
          <w:rFonts w:hint="eastAsia" w:ascii="仿宋" w:hAnsi="仿宋" w:eastAsia="仿宋" w:cs="仿宋"/>
          <w:b/>
          <w:bCs/>
          <w:color w:val="000000"/>
          <w:szCs w:val="21"/>
          <w:highlight w:val="none"/>
        </w:rPr>
        <w:t>④</w:t>
      </w:r>
      <w:r>
        <w:rPr>
          <w:rFonts w:hint="eastAsia" w:ascii="宋体" w:hAnsi="宋体" w:cs="宋体"/>
          <w:b/>
          <w:bCs/>
          <w:color w:val="000000"/>
          <w:szCs w:val="21"/>
          <w:highlight w:val="none"/>
        </w:rPr>
        <w:t>最终成果报告纸质文件各</w:t>
      </w:r>
      <w:r>
        <w:rPr>
          <w:rFonts w:hint="eastAsia" w:ascii="宋体" w:hAnsi="宋体" w:cs="宋体"/>
          <w:b/>
          <w:bCs/>
          <w:color w:val="000000"/>
          <w:szCs w:val="21"/>
          <w:highlight w:val="none"/>
          <w:lang w:eastAsia="zh-CN"/>
        </w:rPr>
        <w:t>5</w:t>
      </w:r>
      <w:r>
        <w:rPr>
          <w:rFonts w:hint="eastAsia" w:ascii="宋体" w:hAnsi="宋体" w:cs="宋体"/>
          <w:b/>
          <w:bCs/>
          <w:color w:val="000000"/>
          <w:szCs w:val="21"/>
          <w:highlight w:val="none"/>
        </w:rPr>
        <w:t>份；所有最终成果电子文件一式</w:t>
      </w:r>
      <w:r>
        <w:rPr>
          <w:rFonts w:hint="eastAsia" w:ascii="宋体" w:hAnsi="宋体" w:cs="宋体"/>
          <w:b/>
          <w:bCs/>
          <w:color w:val="000000"/>
          <w:szCs w:val="21"/>
          <w:highlight w:val="none"/>
          <w:lang w:eastAsia="zh-CN"/>
        </w:rPr>
        <w:t>1</w:t>
      </w:r>
      <w:r>
        <w:rPr>
          <w:rFonts w:hint="eastAsia" w:ascii="宋体" w:hAnsi="宋体" w:cs="宋体"/>
          <w:b/>
          <w:bCs/>
          <w:color w:val="000000"/>
          <w:szCs w:val="21"/>
          <w:highlight w:val="none"/>
        </w:rPr>
        <w:t>份，包括可编辑文档和按要求签章的PDF成果文件，使用U盘贮存。</w:t>
      </w:r>
    </w:p>
    <w:p w14:paraId="52DFF0F0">
      <w:pPr>
        <w:pStyle w:val="43"/>
        <w:spacing w:beforeLines="0" w:after="0" w:afterLines="0" w:line="360" w:lineRule="auto"/>
        <w:ind w:firstLine="422" w:firstLineChars="200"/>
        <w:rPr>
          <w:rFonts w:hint="eastAsia" w:ascii="宋体" w:hAnsi="宋体" w:eastAsia="宋体" w:cs="宋体"/>
          <w:b/>
          <w:bCs/>
          <w:color w:val="000000"/>
          <w:sz w:val="21"/>
          <w:szCs w:val="21"/>
          <w:highlight w:val="none"/>
          <w:u w:val="single"/>
        </w:rPr>
      </w:pPr>
      <w:r>
        <w:rPr>
          <w:rFonts w:hint="eastAsia" w:ascii="宋体" w:hAnsi="宋体" w:eastAsia="宋体" w:cs="宋体"/>
          <w:b/>
          <w:bCs/>
          <w:color w:val="000000"/>
          <w:sz w:val="21"/>
          <w:szCs w:val="21"/>
          <w:highlight w:val="none"/>
          <w:lang w:eastAsia="zh-CN"/>
        </w:rPr>
        <w:t>4</w:t>
      </w:r>
      <w:r>
        <w:rPr>
          <w:rFonts w:hint="eastAsia" w:ascii="宋体" w:hAnsi="宋体" w:eastAsia="宋体" w:cs="宋体"/>
          <w:b/>
          <w:bCs/>
          <w:color w:val="000000"/>
          <w:sz w:val="21"/>
          <w:szCs w:val="21"/>
          <w:highlight w:val="none"/>
        </w:rPr>
        <w:t>．服务质量要求：</w:t>
      </w:r>
      <w:r>
        <w:rPr>
          <w:rFonts w:hint="eastAsia" w:ascii="宋体" w:hAnsi="宋体" w:eastAsia="宋体" w:cs="宋体"/>
          <w:b/>
          <w:bCs/>
          <w:color w:val="000000"/>
          <w:sz w:val="21"/>
          <w:szCs w:val="21"/>
          <w:highlight w:val="none"/>
          <w:u w:val="single"/>
        </w:rPr>
        <w:t xml:space="preserve"> </w:t>
      </w:r>
      <w:r>
        <w:rPr>
          <w:rFonts w:hint="eastAsia" w:ascii="宋体" w:hAnsi="宋体" w:eastAsia="宋体" w:cs="宋体"/>
          <w:b/>
          <w:bCs/>
          <w:color w:val="000000"/>
          <w:sz w:val="21"/>
          <w:szCs w:val="21"/>
          <w:highlight w:val="none"/>
          <w:u w:val="single"/>
          <w:lang w:eastAsia="zh-CN"/>
        </w:rPr>
        <w:t>按合同要求完成所有工作，</w:t>
      </w:r>
      <w:r>
        <w:rPr>
          <w:rFonts w:hint="eastAsia" w:ascii="宋体" w:hAnsi="宋体" w:eastAsia="宋体" w:cs="宋体"/>
          <w:b/>
          <w:bCs/>
          <w:color w:val="000000"/>
          <w:sz w:val="21"/>
          <w:szCs w:val="21"/>
          <w:highlight w:val="none"/>
          <w:u w:val="single"/>
        </w:rPr>
        <w:t>所有</w:t>
      </w:r>
      <w:r>
        <w:rPr>
          <w:rFonts w:hint="eastAsia" w:ascii="宋体" w:hAnsi="宋体" w:eastAsia="宋体" w:cs="宋体"/>
          <w:b/>
          <w:bCs/>
          <w:color w:val="000000"/>
          <w:sz w:val="21"/>
          <w:szCs w:val="21"/>
          <w:highlight w:val="none"/>
          <w:u w:val="single"/>
          <w:lang w:eastAsia="zh-CN"/>
        </w:rPr>
        <w:t>工作</w:t>
      </w:r>
      <w:r>
        <w:rPr>
          <w:rFonts w:hint="eastAsia" w:ascii="宋体" w:hAnsi="宋体" w:eastAsia="宋体" w:cs="宋体"/>
          <w:b/>
          <w:bCs/>
          <w:color w:val="000000"/>
          <w:sz w:val="21"/>
          <w:szCs w:val="21"/>
          <w:highlight w:val="none"/>
          <w:u w:val="single"/>
        </w:rPr>
        <w:t>成果应当符合现行相关国家标准、行业标准、地方标准等标准、规范</w:t>
      </w:r>
      <w:r>
        <w:rPr>
          <w:rFonts w:hint="eastAsia" w:ascii="宋体" w:hAnsi="宋体" w:eastAsia="宋体" w:cs="宋体"/>
          <w:b/>
          <w:bCs/>
          <w:color w:val="000000"/>
          <w:sz w:val="21"/>
          <w:szCs w:val="21"/>
          <w:highlight w:val="none"/>
          <w:u w:val="single"/>
          <w:lang w:eastAsia="zh-CN"/>
        </w:rPr>
        <w:t>和项目有关批复文件</w:t>
      </w:r>
      <w:r>
        <w:rPr>
          <w:rFonts w:hint="eastAsia" w:ascii="宋体" w:hAnsi="宋体" w:eastAsia="宋体" w:cs="宋体"/>
          <w:b/>
          <w:bCs/>
          <w:color w:val="000000"/>
          <w:sz w:val="21"/>
          <w:szCs w:val="21"/>
          <w:highlight w:val="none"/>
          <w:u w:val="single"/>
        </w:rPr>
        <w:t>，并通过专家</w:t>
      </w:r>
      <w:r>
        <w:rPr>
          <w:rFonts w:hint="eastAsia" w:ascii="宋体" w:hAnsi="宋体" w:eastAsia="宋体" w:cs="宋体"/>
          <w:b/>
          <w:bCs/>
          <w:color w:val="000000"/>
          <w:sz w:val="21"/>
          <w:szCs w:val="21"/>
          <w:highlight w:val="none"/>
          <w:u w:val="single"/>
          <w:lang w:eastAsia="zh-CN"/>
        </w:rPr>
        <w:t>评审</w:t>
      </w:r>
      <w:r>
        <w:rPr>
          <w:rFonts w:hint="eastAsia" w:ascii="宋体" w:hAnsi="宋体" w:eastAsia="宋体" w:cs="宋体"/>
          <w:b/>
          <w:bCs/>
          <w:color w:val="000000"/>
          <w:sz w:val="21"/>
          <w:szCs w:val="21"/>
          <w:highlight w:val="none"/>
          <w:u w:val="single"/>
        </w:rPr>
        <w:t>或</w:t>
      </w:r>
      <w:r>
        <w:rPr>
          <w:rFonts w:hint="eastAsia" w:ascii="宋体" w:hAnsi="宋体" w:eastAsia="宋体" w:cs="宋体"/>
          <w:b/>
          <w:bCs/>
          <w:color w:val="000000"/>
          <w:sz w:val="21"/>
          <w:szCs w:val="21"/>
          <w:highlight w:val="none"/>
          <w:u w:val="single"/>
          <w:lang w:eastAsia="zh-CN"/>
        </w:rPr>
        <w:t>主管</w:t>
      </w:r>
      <w:r>
        <w:rPr>
          <w:rFonts w:hint="eastAsia" w:ascii="宋体" w:hAnsi="宋体" w:eastAsia="宋体" w:cs="宋体"/>
          <w:b/>
          <w:bCs/>
          <w:color w:val="000000"/>
          <w:sz w:val="21"/>
          <w:szCs w:val="21"/>
          <w:highlight w:val="none"/>
          <w:u w:val="single"/>
        </w:rPr>
        <w:t>部门、机构组织的评审</w:t>
      </w:r>
      <w:r>
        <w:rPr>
          <w:rFonts w:hint="eastAsia" w:ascii="宋体" w:hAnsi="宋体" w:eastAsia="宋体" w:cs="宋体"/>
          <w:b/>
          <w:bCs/>
          <w:color w:val="000000"/>
          <w:sz w:val="21"/>
          <w:szCs w:val="21"/>
          <w:highlight w:val="none"/>
          <w:u w:val="single"/>
          <w:lang w:eastAsia="zh-CN"/>
        </w:rPr>
        <w:t>，取得主管部门批复</w:t>
      </w:r>
      <w:r>
        <w:rPr>
          <w:rFonts w:hint="eastAsia" w:ascii="宋体" w:hAnsi="宋体" w:eastAsia="宋体" w:cs="宋体"/>
          <w:b/>
          <w:bCs/>
          <w:color w:val="000000"/>
          <w:sz w:val="21"/>
          <w:szCs w:val="21"/>
          <w:highlight w:val="none"/>
          <w:u w:val="single"/>
        </w:rPr>
        <w:t>。</w:t>
      </w:r>
    </w:p>
    <w:p w14:paraId="1F3985A8">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四</w:t>
      </w:r>
      <w:r>
        <w:rPr>
          <w:rFonts w:hint="eastAsia" w:ascii="宋体" w:hAnsi="宋体" w:eastAsia="宋体" w:cs="宋体"/>
          <w:b/>
          <w:bCs/>
          <w:color w:val="000000"/>
          <w:sz w:val="21"/>
          <w:szCs w:val="21"/>
          <w:highlight w:val="none"/>
        </w:rPr>
        <w:t>条：履约</w:t>
      </w:r>
      <w:r>
        <w:rPr>
          <w:rFonts w:hint="eastAsia" w:ascii="宋体" w:hAnsi="宋体" w:eastAsia="宋体" w:cs="宋体"/>
          <w:b/>
          <w:bCs/>
          <w:color w:val="000000"/>
          <w:sz w:val="21"/>
          <w:szCs w:val="21"/>
          <w:highlight w:val="none"/>
          <w:lang w:eastAsia="zh-CN"/>
        </w:rPr>
        <w:t>担保</w:t>
      </w:r>
    </w:p>
    <w:p w14:paraId="634973E0">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1.乙方应在签订合同协议书之前向甲方提交履约担保，履约担保以</w:t>
      </w:r>
      <w:r>
        <w:rPr>
          <w:rFonts w:hint="eastAsia" w:ascii="宋体" w:hAnsi="宋体" w:eastAsia="宋体" w:cs="宋体"/>
          <w:color w:val="000000"/>
          <w:sz w:val="21"/>
          <w:szCs w:val="21"/>
          <w:highlight w:val="none"/>
          <w:lang w:eastAsia="zh-CN"/>
        </w:rPr>
        <w:t>银行转账或</w:t>
      </w:r>
      <w:r>
        <w:rPr>
          <w:rFonts w:hint="eastAsia" w:ascii="宋体" w:hAnsi="宋体" w:eastAsia="宋体" w:cs="宋体"/>
          <w:color w:val="000000"/>
          <w:sz w:val="21"/>
          <w:szCs w:val="21"/>
          <w:highlight w:val="none"/>
        </w:rPr>
        <w:t>银行保函的形式担保，履约</w:t>
      </w:r>
      <w:r>
        <w:rPr>
          <w:rFonts w:hint="eastAsia" w:ascii="宋体" w:hAnsi="宋体" w:eastAsia="宋体" w:cs="宋体"/>
          <w:color w:val="000000"/>
          <w:sz w:val="21"/>
          <w:szCs w:val="21"/>
          <w:highlight w:val="none"/>
          <w:lang w:eastAsia="zh-CN"/>
        </w:rPr>
        <w:t>担保金额</w:t>
      </w:r>
      <w:r>
        <w:rPr>
          <w:rFonts w:hint="eastAsia" w:ascii="宋体" w:hAnsi="宋体" w:eastAsia="宋体" w:cs="宋体"/>
          <w:color w:val="000000"/>
          <w:sz w:val="21"/>
          <w:szCs w:val="21"/>
          <w:highlight w:val="none"/>
        </w:rPr>
        <w:t>为合同金额的</w:t>
      </w:r>
      <w:r>
        <w:rPr>
          <w:rFonts w:hint="eastAsia" w:ascii="宋体" w:hAnsi="宋体" w:cs="宋体"/>
          <w:color w:val="0000FF"/>
          <w:sz w:val="21"/>
          <w:szCs w:val="21"/>
          <w:highlight w:val="none"/>
          <w:u w:val="single"/>
          <w:lang w:val="en-US" w:eastAsia="zh-CN"/>
        </w:rPr>
        <w:t>5</w:t>
      </w:r>
      <w:r>
        <w:rPr>
          <w:rFonts w:hint="eastAsia" w:ascii="宋体" w:hAnsi="宋体" w:eastAsia="宋体" w:cs="宋体"/>
          <w:color w:val="0000FF"/>
          <w:sz w:val="21"/>
          <w:szCs w:val="21"/>
          <w:highlight w:val="none"/>
          <w:u w:val="single"/>
        </w:rPr>
        <w:t>%</w:t>
      </w:r>
      <w:r>
        <w:rPr>
          <w:rFonts w:hint="eastAsia" w:ascii="宋体" w:hAnsi="宋体" w:cs="宋体"/>
          <w:szCs w:val="21"/>
          <w:highlight w:val="none"/>
        </w:rPr>
        <w:t>（或2%，如承包人为中小微企业时）</w:t>
      </w:r>
      <w:r>
        <w:rPr>
          <w:rFonts w:hint="eastAsia" w:ascii="宋体" w:hAnsi="宋体" w:eastAsia="宋体" w:cs="宋体"/>
          <w:color w:val="000000"/>
          <w:sz w:val="21"/>
          <w:szCs w:val="21"/>
          <w:highlight w:val="none"/>
          <w:lang w:eastAsia="zh-CN"/>
        </w:rPr>
        <w:t>。银行</w:t>
      </w:r>
      <w:r>
        <w:rPr>
          <w:rFonts w:hint="eastAsia" w:ascii="宋体" w:hAnsi="宋体" w:eastAsia="宋体" w:cs="宋体"/>
          <w:color w:val="000000"/>
          <w:sz w:val="21"/>
          <w:szCs w:val="21"/>
          <w:highlight w:val="none"/>
        </w:rPr>
        <w:t>保函由乙方在支行或支行以上银行开具，并保证其有效。</w:t>
      </w:r>
      <w:r>
        <w:rPr>
          <w:rFonts w:hint="eastAsia" w:ascii="宋体" w:hAnsi="宋体" w:cs="宋体"/>
          <w:szCs w:val="21"/>
          <w:highlight w:val="none"/>
          <w:lang w:eastAsia="zh-CN"/>
        </w:rPr>
        <w:t>乙方</w:t>
      </w:r>
      <w:r>
        <w:rPr>
          <w:rFonts w:hint="eastAsia" w:ascii="宋体" w:hAnsi="宋体" w:cs="宋体"/>
          <w:szCs w:val="21"/>
          <w:highlight w:val="none"/>
        </w:rPr>
        <w:t>未按约定提交履约保证金的，视为放弃中标资格，</w:t>
      </w:r>
      <w:r>
        <w:rPr>
          <w:rFonts w:hint="eastAsia" w:ascii="宋体" w:hAnsi="宋体" w:cs="宋体"/>
          <w:szCs w:val="21"/>
          <w:highlight w:val="none"/>
          <w:lang w:eastAsia="zh-CN"/>
        </w:rPr>
        <w:t>甲方</w:t>
      </w:r>
      <w:r>
        <w:rPr>
          <w:rFonts w:hint="eastAsia" w:ascii="宋体" w:hAnsi="宋体" w:cs="宋体"/>
          <w:szCs w:val="21"/>
          <w:highlight w:val="none"/>
        </w:rPr>
        <w:t>有权不予与其签订合同；因此给</w:t>
      </w:r>
      <w:r>
        <w:rPr>
          <w:rFonts w:hint="eastAsia" w:ascii="宋体" w:hAnsi="宋体" w:cs="宋体"/>
          <w:szCs w:val="21"/>
          <w:highlight w:val="none"/>
          <w:lang w:eastAsia="zh-CN"/>
        </w:rPr>
        <w:t>甲方</w:t>
      </w:r>
      <w:r>
        <w:rPr>
          <w:rFonts w:hint="eastAsia" w:ascii="宋体" w:hAnsi="宋体" w:cs="宋体"/>
          <w:szCs w:val="21"/>
          <w:highlight w:val="none"/>
        </w:rPr>
        <w:t>造成损失的，</w:t>
      </w:r>
      <w:r>
        <w:rPr>
          <w:rFonts w:hint="eastAsia" w:ascii="宋体" w:hAnsi="宋体" w:cs="宋体"/>
          <w:szCs w:val="21"/>
          <w:highlight w:val="none"/>
          <w:lang w:eastAsia="zh-CN"/>
        </w:rPr>
        <w:t>乙方</w:t>
      </w:r>
      <w:r>
        <w:rPr>
          <w:rFonts w:hint="eastAsia" w:ascii="宋体" w:hAnsi="宋体" w:cs="宋体"/>
          <w:szCs w:val="21"/>
          <w:highlight w:val="none"/>
        </w:rPr>
        <w:t>还应承担相应的赔偿责任。</w:t>
      </w:r>
      <w:r>
        <w:rPr>
          <w:rFonts w:hint="eastAsia" w:ascii="宋体" w:hAnsi="宋体" w:eastAsia="宋体" w:cs="宋体"/>
          <w:color w:val="000000"/>
          <w:sz w:val="21"/>
          <w:szCs w:val="21"/>
          <w:highlight w:val="none"/>
          <w:lang w:eastAsia="zh-CN"/>
        </w:rPr>
        <w:t>银行</w:t>
      </w:r>
      <w:r>
        <w:rPr>
          <w:rFonts w:hint="eastAsia" w:ascii="宋体" w:hAnsi="宋体" w:eastAsia="宋体" w:cs="宋体"/>
          <w:color w:val="000000"/>
          <w:sz w:val="21"/>
          <w:szCs w:val="21"/>
          <w:highlight w:val="none"/>
        </w:rPr>
        <w:t>保函的正本由甲方保存，办理履约担保所需的费用由乙方承担。</w:t>
      </w:r>
    </w:p>
    <w:p w14:paraId="5162FBF7">
      <w:pPr>
        <w:pStyle w:val="43"/>
        <w:spacing w:beforeLines="0" w:afterLines="0" w:line="360" w:lineRule="auto"/>
        <w:ind w:firstLine="420" w:firstLineChars="200"/>
        <w:rPr>
          <w:rFonts w:hint="eastAsia" w:ascii="宋体" w:hAnsi="宋体" w:eastAsia="宋体" w:cs="宋体"/>
          <w:color w:val="000000"/>
          <w:sz w:val="21"/>
          <w:szCs w:val="21"/>
          <w:highlight w:val="none"/>
          <w:lang w:val="en-US" w:eastAsia="zh-CN"/>
        </w:rPr>
      </w:pPr>
      <w:r>
        <w:rPr>
          <w:rFonts w:hint="eastAsia" w:ascii="宋体" w:hAnsi="宋体" w:cs="宋体"/>
          <w:szCs w:val="21"/>
          <w:highlight w:val="none"/>
        </w:rPr>
        <w:t>若采用银行转账形式，应当从</w:t>
      </w:r>
      <w:r>
        <w:rPr>
          <w:rFonts w:hint="eastAsia" w:ascii="宋体" w:hAnsi="宋体" w:cs="宋体"/>
          <w:szCs w:val="21"/>
          <w:highlight w:val="none"/>
          <w:lang w:eastAsia="zh-CN"/>
        </w:rPr>
        <w:t>乙方</w:t>
      </w:r>
      <w:r>
        <w:rPr>
          <w:rFonts w:hint="eastAsia" w:ascii="宋体" w:hAnsi="宋体" w:cs="宋体"/>
          <w:szCs w:val="21"/>
          <w:highlight w:val="none"/>
        </w:rPr>
        <w:t>基本账户转出，且全额一次性转入发包人指定账号，并注明</w:t>
      </w:r>
      <w:r>
        <w:rPr>
          <w:rFonts w:hint="eastAsia" w:ascii="宋体" w:hAnsi="宋体" w:cs="宋体"/>
          <w:b/>
          <w:bCs/>
          <w:szCs w:val="21"/>
          <w:highlight w:val="none"/>
        </w:rPr>
        <w:t>“</w:t>
      </w:r>
      <w:r>
        <w:rPr>
          <w:rFonts w:hint="eastAsia" w:ascii="宋体" w:hAnsi="宋体" w:cs="宋体"/>
          <w:b/>
          <w:bCs/>
          <w:szCs w:val="21"/>
          <w:highlight w:val="none"/>
          <w:lang w:eastAsia="zh-CN"/>
        </w:rPr>
        <w:t>桂江（莲花大桥至桂江河口）航道扩建工程社会稳定风险分析及评估服务</w:t>
      </w:r>
      <w:r>
        <w:rPr>
          <w:rFonts w:hint="eastAsia" w:ascii="宋体" w:hAnsi="宋体" w:cs="宋体"/>
          <w:b/>
          <w:bCs/>
          <w:szCs w:val="21"/>
          <w:highlight w:val="none"/>
        </w:rPr>
        <w:t>采购项目履约保证金”</w:t>
      </w:r>
      <w:r>
        <w:rPr>
          <w:rFonts w:hint="eastAsia" w:ascii="宋体" w:hAnsi="宋体" w:cs="宋体"/>
          <w:szCs w:val="21"/>
          <w:highlight w:val="none"/>
        </w:rPr>
        <w:t>，并且确保在中标通知书发出之日起25日内到账，否则，其履约担保视为无效。</w:t>
      </w:r>
    </w:p>
    <w:p w14:paraId="611736D7">
      <w:pPr>
        <w:pStyle w:val="43"/>
        <w:spacing w:beforeLines="0" w:afterLines="0" w:line="360" w:lineRule="auto"/>
        <w:ind w:firstLine="420" w:firstLineChars="200"/>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w:t>
      </w:r>
      <w:r>
        <w:rPr>
          <w:rFonts w:hint="eastAsia" w:ascii="宋体" w:hAnsi="宋体" w:eastAsia="宋体" w:cs="宋体"/>
          <w:color w:val="000000"/>
          <w:sz w:val="21"/>
          <w:szCs w:val="21"/>
          <w:highlight w:val="none"/>
        </w:rPr>
        <w:t>在合同履行期间，如乙方违反本合同约定，甲方有权在该履约保证金中扣除因乙方违约而应支付的违约金、损失赔偿金及其他相关费用等，如履约保证金不足抵扣，则在合同费用中扣除差额，乙方应在三天内补齐履约保证金。</w:t>
      </w:r>
    </w:p>
    <w:p w14:paraId="236FB20B">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3</w:t>
      </w:r>
      <w:r>
        <w:rPr>
          <w:rFonts w:hint="eastAsia" w:ascii="宋体" w:hAnsi="宋体" w:eastAsia="宋体" w:cs="宋体"/>
          <w:color w:val="000000"/>
          <w:sz w:val="21"/>
          <w:szCs w:val="21"/>
          <w:highlight w:val="none"/>
        </w:rPr>
        <w:t>.</w:t>
      </w:r>
      <w:r>
        <w:rPr>
          <w:rFonts w:hint="eastAsia" w:ascii="宋体" w:hAnsi="宋体" w:cs="宋体"/>
          <w:szCs w:val="21"/>
          <w:highlight w:val="none"/>
        </w:rPr>
        <w:t>履约担保有效期自发包人与承包人签订的合同生效之日起至承包人履行完毕本合同项下所有工作内容且有关报告取得主管部门批复之日。履约担保在承包人按合同要求完成全部勘察咨询工作并提交全部合格的资料，并且有关报告取得主管部门批复后28天内退还承包人，履约保证金不计利息。</w:t>
      </w:r>
    </w:p>
    <w:p w14:paraId="3FC54431">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五</w:t>
      </w:r>
      <w:r>
        <w:rPr>
          <w:rFonts w:hint="eastAsia" w:ascii="宋体" w:hAnsi="宋体" w:eastAsia="宋体" w:cs="宋体"/>
          <w:b/>
          <w:bCs/>
          <w:color w:val="000000"/>
          <w:sz w:val="21"/>
          <w:szCs w:val="21"/>
          <w:highlight w:val="none"/>
        </w:rPr>
        <w:t>条：甲方向乙方支付服务报酬及支付方式为：</w:t>
      </w:r>
    </w:p>
    <w:p w14:paraId="23BE2840">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w:t>
      </w:r>
      <w:r>
        <w:rPr>
          <w:rFonts w:hint="eastAsia" w:ascii="宋体" w:hAnsi="宋体" w:eastAsia="宋体" w:cs="宋体"/>
          <w:color w:val="000000"/>
          <w:sz w:val="21"/>
          <w:szCs w:val="21"/>
          <w:highlight w:val="none"/>
          <w:lang w:eastAsia="zh-CN"/>
        </w:rPr>
        <w:t>合同费用</w:t>
      </w:r>
      <w:r>
        <w:rPr>
          <w:rFonts w:hint="eastAsia" w:ascii="宋体" w:hAnsi="宋体" w:eastAsia="宋体" w:cs="宋体"/>
          <w:color w:val="000000"/>
          <w:sz w:val="21"/>
          <w:szCs w:val="21"/>
          <w:highlight w:val="none"/>
        </w:rPr>
        <w:t>：</w:t>
      </w:r>
    </w:p>
    <w:p w14:paraId="6E35000D">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lang w:val="en-US" w:eastAsia="zh-CN"/>
        </w:rPr>
        <w:t>1</w:t>
      </w:r>
      <w:r>
        <w:rPr>
          <w:rFonts w:hint="eastAsia" w:ascii="宋体" w:hAnsi="宋体" w:eastAsia="宋体" w:cs="宋体"/>
          <w:color w:val="000000"/>
          <w:sz w:val="21"/>
          <w:szCs w:val="21"/>
          <w:highlight w:val="none"/>
          <w:lang w:eastAsia="zh-CN"/>
        </w:rPr>
        <w:t>）签约</w:t>
      </w:r>
      <w:r>
        <w:rPr>
          <w:rFonts w:hint="eastAsia" w:ascii="宋体" w:hAnsi="宋体" w:eastAsia="宋体" w:cs="宋体"/>
          <w:color w:val="000000"/>
          <w:sz w:val="21"/>
          <w:szCs w:val="21"/>
          <w:highlight w:val="none"/>
        </w:rPr>
        <w:t>合同</w:t>
      </w:r>
      <w:r>
        <w:rPr>
          <w:rFonts w:hint="eastAsia" w:ascii="宋体" w:hAnsi="宋体" w:eastAsia="宋体" w:cs="宋体"/>
          <w:color w:val="000000"/>
          <w:sz w:val="21"/>
          <w:szCs w:val="21"/>
          <w:highlight w:val="none"/>
          <w:lang w:eastAsia="zh-CN"/>
        </w:rPr>
        <w:t>价</w:t>
      </w:r>
      <w:r>
        <w:rPr>
          <w:rFonts w:hint="eastAsia" w:ascii="宋体" w:hAnsi="宋体" w:eastAsia="宋体" w:cs="宋体"/>
          <w:color w:val="000000"/>
          <w:sz w:val="21"/>
          <w:szCs w:val="21"/>
          <w:highlight w:val="none"/>
        </w:rPr>
        <w:t>为：人民币                 万元（￥                元）。其中： 不含增值税金额为          元，增值税税率为    %，增值税税额为    元。</w:t>
      </w:r>
    </w:p>
    <w:p w14:paraId="36284EBE">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lang w:val="en-US" w:eastAsia="zh-CN"/>
        </w:rPr>
        <w:t>2</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rPr>
        <w:t>本合同价格形式为固定总价合同。本合同</w:t>
      </w:r>
      <w:r>
        <w:rPr>
          <w:rFonts w:hint="eastAsia" w:ascii="宋体" w:hAnsi="宋体" w:eastAsia="宋体" w:cs="宋体"/>
          <w:color w:val="000000"/>
          <w:sz w:val="21"/>
          <w:szCs w:val="21"/>
          <w:highlight w:val="none"/>
          <w:lang w:eastAsia="zh-CN"/>
        </w:rPr>
        <w:t>签约</w:t>
      </w:r>
      <w:r>
        <w:rPr>
          <w:rFonts w:hint="eastAsia" w:ascii="宋体" w:hAnsi="宋体" w:eastAsia="宋体" w:cs="宋体"/>
          <w:color w:val="000000"/>
          <w:sz w:val="21"/>
          <w:szCs w:val="21"/>
          <w:highlight w:val="none"/>
        </w:rPr>
        <w:t>合同</w:t>
      </w:r>
      <w:r>
        <w:rPr>
          <w:rFonts w:hint="eastAsia" w:ascii="宋体" w:hAnsi="宋体" w:eastAsia="宋体" w:cs="宋体"/>
          <w:color w:val="000000"/>
          <w:sz w:val="21"/>
          <w:szCs w:val="21"/>
          <w:highlight w:val="none"/>
          <w:lang w:eastAsia="zh-CN"/>
        </w:rPr>
        <w:t>价</w:t>
      </w:r>
      <w:r>
        <w:rPr>
          <w:rFonts w:hint="eastAsia" w:ascii="宋体" w:hAnsi="宋体" w:eastAsia="宋体" w:cs="宋体"/>
          <w:color w:val="000000"/>
          <w:sz w:val="21"/>
          <w:szCs w:val="21"/>
          <w:highlight w:val="none"/>
        </w:rPr>
        <w:t>总额是完成合同所规定责任的总费用，合同费用包括但不限于：除了包含</w:t>
      </w:r>
      <w:r>
        <w:rPr>
          <w:rFonts w:hint="eastAsia" w:ascii="宋体" w:hAnsi="宋体" w:eastAsia="宋体" w:cs="宋体"/>
          <w:color w:val="000000"/>
          <w:sz w:val="21"/>
          <w:szCs w:val="21"/>
          <w:highlight w:val="none"/>
          <w:lang w:eastAsia="zh-CN"/>
        </w:rPr>
        <w:t>乙方完成</w:t>
      </w:r>
      <w:r>
        <w:rPr>
          <w:rFonts w:hint="eastAsia" w:ascii="宋体" w:hAnsi="宋体" w:eastAsia="宋体" w:cs="宋体"/>
          <w:color w:val="000000"/>
          <w:sz w:val="21"/>
          <w:szCs w:val="21"/>
          <w:highlight w:val="none"/>
        </w:rPr>
        <w:t>约定工作内容</w:t>
      </w:r>
      <w:r>
        <w:rPr>
          <w:rFonts w:hint="eastAsia" w:ascii="宋体" w:hAnsi="宋体" w:eastAsia="宋体" w:cs="宋体"/>
          <w:color w:val="000000"/>
          <w:sz w:val="21"/>
          <w:szCs w:val="21"/>
          <w:highlight w:val="none"/>
          <w:lang w:eastAsia="zh-CN"/>
        </w:rPr>
        <w:t>的全部费用外</w:t>
      </w:r>
      <w:r>
        <w:rPr>
          <w:rFonts w:hint="eastAsia" w:ascii="宋体" w:hAnsi="宋体" w:eastAsia="宋体" w:cs="宋体"/>
          <w:color w:val="000000"/>
          <w:sz w:val="21"/>
          <w:szCs w:val="21"/>
          <w:highlight w:val="none"/>
        </w:rPr>
        <w:t>，还包括乙方为完成本项目所发生的调查研究、资料收集、分析论证、报告编制</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rPr>
        <w:t>印刷、出版、安全生产费、人工成本、</w:t>
      </w:r>
      <w:r>
        <w:rPr>
          <w:rFonts w:hint="eastAsia" w:ascii="宋体" w:hAnsi="宋体" w:eastAsia="宋体" w:cs="宋体"/>
          <w:color w:val="000000"/>
          <w:sz w:val="21"/>
          <w:szCs w:val="21"/>
          <w:highlight w:val="none"/>
          <w:lang w:eastAsia="zh-CN"/>
        </w:rPr>
        <w:t>评估评审验收会务费（</w:t>
      </w:r>
      <w:r>
        <w:rPr>
          <w:rFonts w:hint="eastAsia" w:ascii="宋体" w:hAnsi="宋体" w:eastAsia="宋体" w:cs="宋体"/>
          <w:color w:val="000000"/>
          <w:sz w:val="21"/>
          <w:szCs w:val="21"/>
          <w:highlight w:val="none"/>
        </w:rPr>
        <w:t>含专家、代表劳务费、住宿费、伙食等</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rPr>
        <w:t>不可预见费等所有费用，其费用含于报价中，甲方不另行向乙支付其费用。</w:t>
      </w:r>
    </w:p>
    <w:p w14:paraId="019F6E8B">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同执行期间，物价波动(人工、材料上涨等)引起的价格变化不对签约合同价进行调整；法律、法规、规范性文件、规定引起的价格变化(增值税税率政策调整除外)，签约合同价不进行调整；如遇国家对增值税税率进行调整的(以开具发票时间为准)，对应调整增值税税率变化增减部分的费用。承包</w:t>
      </w:r>
      <w:r>
        <w:rPr>
          <w:rFonts w:hint="eastAsia" w:ascii="宋体" w:hAnsi="宋体" w:eastAsia="宋体" w:cs="宋体"/>
          <w:color w:val="000000"/>
          <w:sz w:val="21"/>
          <w:szCs w:val="21"/>
          <w:highlight w:val="none"/>
          <w:lang w:eastAsia="zh-CN"/>
        </w:rPr>
        <w:t>人</w:t>
      </w:r>
      <w:r>
        <w:rPr>
          <w:rFonts w:hint="eastAsia" w:ascii="宋体" w:hAnsi="宋体" w:eastAsia="宋体" w:cs="宋体"/>
          <w:color w:val="000000"/>
          <w:sz w:val="21"/>
          <w:szCs w:val="21"/>
          <w:highlight w:val="none"/>
        </w:rPr>
        <w:t>应承担物价波动、工作范围内容不符或漏项、气候条件恶劣及其他意外困难等风险。</w:t>
      </w:r>
    </w:p>
    <w:p w14:paraId="3D2EC1E9">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 服务费支付方式：</w:t>
      </w:r>
    </w:p>
    <w:p w14:paraId="2B30DE86">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发包人根据承包人的工作进度，分期支付合同价款。本合同项下费用的支付方式为：银行转账。乙方收款账户信息详见本合同签字处，乙方银行收款账户信息发生变更的，应当在变更前7日书面告知甲方，否则甲方按乙方变更前的账户信息支付由此产生的损失由乙方承担。若甲方已按变更前的乙方银行账户支付款项，则视为甲方已履行付款义务。甲方不接受乙方委托第三方收款。</w:t>
      </w:r>
    </w:p>
    <w:p w14:paraId="4C9E2662">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请款要求:乙方向甲方书面请款。乙方每次请款前，需提供对应的</w:t>
      </w:r>
      <w:r>
        <w:rPr>
          <w:rFonts w:hint="eastAsia" w:ascii="宋体" w:hAnsi="宋体" w:eastAsia="宋体" w:cs="宋体"/>
          <w:color w:val="000000"/>
          <w:sz w:val="21"/>
          <w:szCs w:val="21"/>
          <w:highlight w:val="none"/>
          <w:lang w:eastAsia="zh-CN"/>
        </w:rPr>
        <w:t>进度</w:t>
      </w:r>
      <w:r>
        <w:rPr>
          <w:rFonts w:hint="eastAsia" w:ascii="宋体" w:hAnsi="宋体" w:eastAsia="宋体" w:cs="宋体"/>
          <w:color w:val="000000"/>
          <w:sz w:val="21"/>
          <w:szCs w:val="21"/>
          <w:highlight w:val="none"/>
        </w:rPr>
        <w:t>证明</w:t>
      </w:r>
      <w:r>
        <w:rPr>
          <w:rFonts w:hint="eastAsia" w:ascii="宋体" w:hAnsi="宋体" w:eastAsia="宋体" w:cs="宋体"/>
          <w:color w:val="000000"/>
          <w:sz w:val="21"/>
          <w:szCs w:val="21"/>
          <w:highlight w:val="none"/>
          <w:lang w:eastAsia="zh-CN"/>
        </w:rPr>
        <w:t>材料</w:t>
      </w:r>
      <w:r>
        <w:rPr>
          <w:rFonts w:hint="eastAsia" w:ascii="宋体" w:hAnsi="宋体" w:eastAsia="宋体" w:cs="宋体"/>
          <w:color w:val="000000"/>
          <w:sz w:val="21"/>
          <w:szCs w:val="21"/>
          <w:highlight w:val="none"/>
        </w:rPr>
        <w:t>及等额合法有效的增值税普通发票，因乙方未能提供发票及对应的证明</w:t>
      </w:r>
      <w:r>
        <w:rPr>
          <w:rFonts w:hint="eastAsia" w:ascii="宋体" w:hAnsi="宋体" w:eastAsia="宋体" w:cs="宋体"/>
          <w:color w:val="000000"/>
          <w:sz w:val="21"/>
          <w:szCs w:val="21"/>
          <w:highlight w:val="none"/>
          <w:lang w:eastAsia="zh-CN"/>
        </w:rPr>
        <w:t>材料</w:t>
      </w:r>
      <w:r>
        <w:rPr>
          <w:rFonts w:hint="eastAsia" w:ascii="宋体" w:hAnsi="宋体" w:eastAsia="宋体" w:cs="宋体"/>
          <w:color w:val="000000"/>
          <w:sz w:val="21"/>
          <w:szCs w:val="21"/>
          <w:highlight w:val="none"/>
        </w:rPr>
        <w:t>的，甲方有权延迟付款，直至乙方提供发票及完整请款资料为止，且不视为甲方违约。</w:t>
      </w:r>
    </w:p>
    <w:p w14:paraId="5A3FDB6A">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（1）预付款支付</w:t>
      </w:r>
    </w:p>
    <w:p w14:paraId="6EDDC99B">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合同签署后，由承包人提交预付款支付申请，发包人收到预付款支付申请后的14天内，向承包人支付合同价的</w:t>
      </w:r>
      <w:r>
        <w:rPr>
          <w:rFonts w:hint="eastAsia" w:ascii="宋体" w:hAnsi="宋体" w:cs="宋体"/>
          <w:color w:val="000000"/>
          <w:sz w:val="21"/>
          <w:szCs w:val="21"/>
          <w:highlight w:val="none"/>
          <w:lang w:val="en-US" w:eastAsia="zh-CN"/>
        </w:rPr>
        <w:t>5</w:t>
      </w:r>
      <w:r>
        <w:rPr>
          <w:rFonts w:hint="eastAsia" w:ascii="宋体" w:hAnsi="宋体" w:eastAsia="宋体" w:cs="宋体"/>
          <w:color w:val="000000"/>
          <w:sz w:val="21"/>
          <w:szCs w:val="21"/>
          <w:highlight w:val="none"/>
        </w:rPr>
        <w:t>0%作为预付款；承包人应当提供等额的增值税</w:t>
      </w:r>
      <w:r>
        <w:rPr>
          <w:rFonts w:hint="eastAsia" w:ascii="宋体" w:hAnsi="宋体" w:eastAsia="宋体" w:cs="宋体"/>
          <w:color w:val="000000"/>
          <w:sz w:val="21"/>
          <w:szCs w:val="21"/>
          <w:highlight w:val="none"/>
          <w:lang w:eastAsia="zh-CN"/>
        </w:rPr>
        <w:t>普通</w:t>
      </w:r>
      <w:r>
        <w:rPr>
          <w:rFonts w:hint="eastAsia" w:ascii="宋体" w:hAnsi="宋体" w:eastAsia="宋体" w:cs="宋体"/>
          <w:color w:val="000000"/>
          <w:sz w:val="21"/>
          <w:szCs w:val="21"/>
          <w:highlight w:val="none"/>
        </w:rPr>
        <w:t>发票；本合同履行后，预付款抵作</w:t>
      </w:r>
      <w:r>
        <w:rPr>
          <w:rFonts w:hint="eastAsia" w:ascii="宋体" w:hAnsi="宋体" w:eastAsia="宋体" w:cs="宋体"/>
          <w:color w:val="000000"/>
          <w:sz w:val="21"/>
          <w:szCs w:val="21"/>
          <w:highlight w:val="none"/>
          <w:lang w:eastAsia="zh-CN"/>
        </w:rPr>
        <w:t>服务</w:t>
      </w:r>
      <w:r>
        <w:rPr>
          <w:rFonts w:hint="eastAsia" w:ascii="宋体" w:hAnsi="宋体" w:eastAsia="宋体" w:cs="宋体"/>
          <w:color w:val="000000"/>
          <w:sz w:val="21"/>
          <w:szCs w:val="21"/>
          <w:highlight w:val="none"/>
        </w:rPr>
        <w:t>费，不再扣回。</w:t>
      </w:r>
    </w:p>
    <w:p w14:paraId="4ED30D54">
      <w:pPr>
        <w:widowControl/>
        <w:snapToGrid/>
        <w:spacing w:beforeLines="0" w:afterLines="0" w:line="360" w:lineRule="auto"/>
        <w:ind w:firstLine="420" w:firstLineChars="200"/>
        <w:rPr>
          <w:rFonts w:hint="eastAsia" w:ascii="宋体" w:hAnsi="宋体" w:cs="宋体"/>
          <w:sz w:val="21"/>
          <w:szCs w:val="21"/>
          <w:highlight w:val="none"/>
          <w:lang w:bidi="ar"/>
        </w:rPr>
      </w:pPr>
      <w:r>
        <w:rPr>
          <w:rFonts w:hint="eastAsia" w:ascii="宋体" w:hAnsi="宋体" w:cs="宋体"/>
          <w:sz w:val="21"/>
          <w:szCs w:val="21"/>
          <w:highlight w:val="none"/>
          <w:lang w:val="en-US" w:eastAsia="zh-CN" w:bidi="ar"/>
        </w:rPr>
        <w:t>（2）</w:t>
      </w:r>
      <w:r>
        <w:rPr>
          <w:rFonts w:hint="eastAsia" w:ascii="宋体" w:hAnsi="宋体" w:cs="宋体"/>
          <w:sz w:val="21"/>
          <w:szCs w:val="21"/>
          <w:highlight w:val="none"/>
          <w:lang w:bidi="ar"/>
        </w:rPr>
        <w:t>进度款支付</w:t>
      </w:r>
    </w:p>
    <w:p w14:paraId="12E09BC2">
      <w:pPr>
        <w:widowControl/>
        <w:snapToGrid/>
        <w:spacing w:beforeLines="0" w:afterLines="0" w:line="360" w:lineRule="auto"/>
        <w:ind w:firstLine="420" w:firstLineChars="200"/>
        <w:rPr>
          <w:rFonts w:hint="eastAsia" w:ascii="宋体" w:hAnsi="宋体" w:cs="宋体"/>
          <w:sz w:val="21"/>
          <w:szCs w:val="21"/>
          <w:highlight w:val="none"/>
          <w:lang w:bidi="ar"/>
        </w:rPr>
      </w:pPr>
      <w:r>
        <w:rPr>
          <w:rFonts w:hint="eastAsia" w:ascii="宋体" w:hAnsi="宋体" w:cs="宋体"/>
          <w:sz w:val="21"/>
          <w:szCs w:val="21"/>
          <w:highlight w:val="none"/>
          <w:lang w:bidi="ar"/>
        </w:rPr>
        <w:t>在提交社会稳定风险分析报告送审稿后，由承包人提交进度款支付申请，发包人收到进度款支付申请后的14天内，向承包人支付费用至相应社会稳定风险分析报告编制费合同价的</w:t>
      </w:r>
      <w:r>
        <w:rPr>
          <w:rFonts w:hint="eastAsia" w:ascii="宋体" w:hAnsi="宋体" w:cs="宋体"/>
          <w:sz w:val="21"/>
          <w:szCs w:val="21"/>
          <w:highlight w:val="none"/>
          <w:lang w:val="en-US" w:eastAsia="zh-CN" w:bidi="ar"/>
        </w:rPr>
        <w:t>9</w:t>
      </w:r>
      <w:r>
        <w:rPr>
          <w:rFonts w:hint="eastAsia" w:ascii="宋体" w:hAnsi="宋体" w:cs="宋体"/>
          <w:sz w:val="21"/>
          <w:szCs w:val="21"/>
          <w:highlight w:val="none"/>
          <w:lang w:bidi="ar"/>
        </w:rPr>
        <w:t>0%（含相应的预付款）；承包人应当提供等额的增值税发票。</w:t>
      </w:r>
    </w:p>
    <w:p w14:paraId="135E2F40">
      <w:pPr>
        <w:widowControl/>
        <w:spacing w:beforeLines="0" w:afterLines="0" w:line="360" w:lineRule="auto"/>
        <w:ind w:firstLine="420" w:firstLineChars="200"/>
        <w:rPr>
          <w:rFonts w:hint="default" w:ascii="宋体" w:hAnsi="宋体" w:eastAsia="宋体" w:cs="宋体"/>
          <w:sz w:val="21"/>
          <w:szCs w:val="21"/>
          <w:highlight w:val="none"/>
          <w:lang w:val="en-US" w:eastAsia="zh-CN" w:bidi="ar"/>
        </w:rPr>
      </w:pPr>
      <w:r>
        <w:rPr>
          <w:rFonts w:hint="eastAsia" w:ascii="宋体" w:hAnsi="宋体" w:cs="宋体"/>
          <w:sz w:val="21"/>
          <w:szCs w:val="21"/>
          <w:highlight w:val="none"/>
          <w:lang w:val="en-US" w:eastAsia="zh-CN" w:bidi="ar"/>
        </w:rPr>
        <w:t>（3）结算支付</w:t>
      </w:r>
    </w:p>
    <w:p w14:paraId="725A0FCC">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cs="宋体"/>
          <w:sz w:val="21"/>
          <w:szCs w:val="21"/>
          <w:highlight w:val="none"/>
          <w:lang w:bidi="ar"/>
        </w:rPr>
        <w:t>在社会稳定风险分析报告获得批复后，由承包人提交进度款支付申请，发包人收到进度款支付申请后的14天内，支付承包人该项费用的剩余款项；承包人应当提供等额的增值税发票。</w:t>
      </w:r>
    </w:p>
    <w:p w14:paraId="08C7ABA7">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六</w:t>
      </w:r>
      <w:r>
        <w:rPr>
          <w:rFonts w:hint="eastAsia" w:ascii="宋体" w:hAnsi="宋体" w:eastAsia="宋体" w:cs="宋体"/>
          <w:b/>
          <w:bCs/>
          <w:color w:val="000000"/>
          <w:sz w:val="21"/>
          <w:szCs w:val="21"/>
          <w:highlight w:val="none"/>
        </w:rPr>
        <w:t>条：双方</w:t>
      </w:r>
      <w:r>
        <w:rPr>
          <w:rFonts w:hint="eastAsia" w:ascii="宋体" w:hAnsi="宋体" w:eastAsia="宋体" w:cs="宋体"/>
          <w:b/>
          <w:bCs/>
          <w:color w:val="000000"/>
          <w:sz w:val="21"/>
          <w:szCs w:val="21"/>
          <w:highlight w:val="none"/>
          <w:lang w:eastAsia="zh-CN"/>
        </w:rPr>
        <w:t>的</w:t>
      </w:r>
      <w:r>
        <w:rPr>
          <w:rFonts w:hint="eastAsia" w:ascii="宋体" w:hAnsi="宋体" w:eastAsia="宋体" w:cs="宋体"/>
          <w:b/>
          <w:bCs/>
          <w:color w:val="000000"/>
          <w:sz w:val="21"/>
          <w:szCs w:val="21"/>
          <w:highlight w:val="none"/>
        </w:rPr>
        <w:t>责任</w:t>
      </w:r>
      <w:r>
        <w:rPr>
          <w:rFonts w:hint="eastAsia" w:ascii="宋体" w:hAnsi="宋体" w:eastAsia="宋体" w:cs="宋体"/>
          <w:b/>
          <w:bCs/>
          <w:color w:val="000000"/>
          <w:sz w:val="21"/>
          <w:szCs w:val="21"/>
          <w:highlight w:val="none"/>
          <w:lang w:eastAsia="zh-CN"/>
        </w:rPr>
        <w:t>和义务</w:t>
      </w:r>
    </w:p>
    <w:p w14:paraId="6BC86A6A">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（一）甲方责任和义务</w:t>
      </w:r>
    </w:p>
    <w:p w14:paraId="44250576">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1.甲方应按合同</w:t>
      </w:r>
      <w:r>
        <w:rPr>
          <w:rFonts w:hint="eastAsia" w:ascii="宋体" w:hAnsi="宋体" w:eastAsia="宋体" w:cs="宋体"/>
          <w:color w:val="000000"/>
          <w:sz w:val="21"/>
          <w:szCs w:val="21"/>
          <w:highlight w:val="none"/>
          <w:lang w:eastAsia="zh-CN"/>
        </w:rPr>
        <w:t>约定</w:t>
      </w:r>
      <w:r>
        <w:rPr>
          <w:rFonts w:hint="eastAsia" w:ascii="宋体" w:hAnsi="宋体" w:eastAsia="宋体" w:cs="宋体"/>
          <w:color w:val="000000"/>
          <w:sz w:val="21"/>
          <w:szCs w:val="21"/>
          <w:highlight w:val="none"/>
        </w:rPr>
        <w:t>支付乙方</w:t>
      </w:r>
      <w:r>
        <w:rPr>
          <w:rFonts w:hint="eastAsia" w:ascii="宋体" w:hAnsi="宋体" w:eastAsia="宋体" w:cs="宋体"/>
          <w:color w:val="000000"/>
          <w:sz w:val="21"/>
          <w:szCs w:val="21"/>
          <w:highlight w:val="none"/>
          <w:lang w:eastAsia="zh-CN"/>
        </w:rPr>
        <w:t>合同</w:t>
      </w:r>
      <w:r>
        <w:rPr>
          <w:rFonts w:hint="eastAsia" w:ascii="宋体" w:hAnsi="宋体" w:eastAsia="宋体" w:cs="宋体"/>
          <w:color w:val="000000"/>
          <w:sz w:val="21"/>
          <w:szCs w:val="21"/>
          <w:highlight w:val="none"/>
        </w:rPr>
        <w:t>费用。</w:t>
      </w:r>
    </w:p>
    <w:p w14:paraId="2C1024CF">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2.向乙方提供项目</w:t>
      </w:r>
      <w:r>
        <w:rPr>
          <w:rFonts w:hint="eastAsia" w:ascii="宋体" w:hAnsi="宋体" w:cs="宋体"/>
          <w:color w:val="000000"/>
          <w:sz w:val="21"/>
          <w:szCs w:val="21"/>
          <w:highlight w:val="none"/>
          <w:lang w:eastAsia="zh-CN"/>
        </w:rPr>
        <w:t>工可报告等基础资料</w:t>
      </w:r>
      <w:r>
        <w:rPr>
          <w:rFonts w:hint="eastAsia" w:ascii="宋体" w:hAnsi="宋体" w:eastAsia="宋体" w:cs="宋体"/>
          <w:color w:val="000000"/>
          <w:sz w:val="21"/>
          <w:szCs w:val="21"/>
          <w:highlight w:val="none"/>
        </w:rPr>
        <w:t>，并对相关资料的合法性、真实性及完整性负责。</w:t>
      </w:r>
    </w:p>
    <w:p w14:paraId="6BACDCD2">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3.甲方有权对乙方实施项目的进度、质量、安全、文明以及资金使用</w:t>
      </w:r>
      <w:r>
        <w:rPr>
          <w:rFonts w:hint="eastAsia" w:ascii="宋体" w:hAnsi="宋体" w:eastAsia="宋体" w:cs="宋体"/>
          <w:color w:val="000000"/>
          <w:sz w:val="21"/>
          <w:szCs w:val="21"/>
          <w:highlight w:val="none"/>
          <w:lang w:eastAsia="zh-CN"/>
        </w:rPr>
        <w:t>等</w:t>
      </w:r>
      <w:r>
        <w:rPr>
          <w:rFonts w:hint="eastAsia" w:ascii="宋体" w:hAnsi="宋体" w:eastAsia="宋体" w:cs="宋体"/>
          <w:color w:val="000000"/>
          <w:sz w:val="21"/>
          <w:szCs w:val="21"/>
          <w:highlight w:val="none"/>
        </w:rPr>
        <w:t>进行监督、控制。</w:t>
      </w:r>
    </w:p>
    <w:p w14:paraId="6BC7E618">
      <w:pPr>
        <w:pStyle w:val="43"/>
        <w:spacing w:beforeLines="0" w:afterLines="0" w:line="360" w:lineRule="auto"/>
        <w:ind w:firstLine="420" w:firstLineChars="200"/>
        <w:rPr>
          <w:rFonts w:hint="default" w:ascii="宋体" w:hAnsi="宋体" w:eastAsia="宋体" w:cs="宋体"/>
          <w:color w:val="000000"/>
          <w:sz w:val="21"/>
          <w:szCs w:val="21"/>
          <w:highlight w:val="none"/>
        </w:rPr>
      </w:pPr>
      <w:r>
        <w:rPr>
          <w:rFonts w:hint="eastAsia" w:ascii="宋体" w:hAnsi="宋体" w:eastAsia="宋体" w:cs="宋体"/>
          <w:color w:val="000000"/>
          <w:sz w:val="21"/>
          <w:szCs w:val="21"/>
          <w:highlight w:val="none"/>
          <w:lang w:val="en-US" w:eastAsia="zh-CN"/>
        </w:rPr>
        <w:t>4.</w:t>
      </w:r>
      <w:r>
        <w:rPr>
          <w:rFonts w:hint="eastAsia" w:ascii="宋体" w:hAnsi="宋体" w:eastAsia="宋体" w:cs="宋体"/>
          <w:color w:val="000000"/>
          <w:sz w:val="21"/>
          <w:szCs w:val="21"/>
          <w:highlight w:val="none"/>
        </w:rPr>
        <w:t>承担履行合同过程中</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的人身和财产安全责任。</w:t>
      </w:r>
    </w:p>
    <w:p w14:paraId="3531B8BF">
      <w:pPr>
        <w:pStyle w:val="43"/>
        <w:spacing w:beforeLines="0" w:afterLines="0" w:line="360" w:lineRule="auto"/>
        <w:ind w:firstLine="422" w:firstLineChars="200"/>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（二）乙方</w:t>
      </w:r>
      <w:r>
        <w:rPr>
          <w:rFonts w:hint="eastAsia" w:ascii="宋体" w:hAnsi="宋体" w:eastAsia="宋体" w:cs="宋体"/>
          <w:b/>
          <w:color w:val="000000"/>
          <w:sz w:val="21"/>
          <w:szCs w:val="21"/>
          <w:highlight w:val="none"/>
          <w:lang w:eastAsia="zh-CN"/>
        </w:rPr>
        <w:t>责任和义务</w:t>
      </w:r>
    </w:p>
    <w:p w14:paraId="57E9099B">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1.乙方应按照现行的技术标准、规范规定和行政主管部门要求</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rPr>
        <w:t>完成合同规定的所有工作内容。</w:t>
      </w:r>
    </w:p>
    <w:p w14:paraId="778551B8">
      <w:pPr>
        <w:pStyle w:val="43"/>
        <w:spacing w:beforeLines="0" w:afterLines="0" w:line="360" w:lineRule="auto"/>
        <w:ind w:firstLine="420" w:firstLineChars="200"/>
        <w:rPr>
          <w:rFonts w:hint="eastAsia" w:ascii="宋体" w:hAnsi="宋体" w:eastAsia="宋体" w:cs="宋体"/>
          <w:bCs/>
          <w:color w:val="000000"/>
          <w:sz w:val="21"/>
          <w:szCs w:val="21"/>
          <w:highlight w:val="none"/>
        </w:rPr>
      </w:pPr>
      <w:r>
        <w:rPr>
          <w:rFonts w:hint="eastAsia" w:ascii="宋体" w:hAnsi="宋体" w:eastAsia="宋体" w:cs="宋体"/>
          <w:bCs/>
          <w:color w:val="000000"/>
          <w:sz w:val="21"/>
          <w:szCs w:val="21"/>
          <w:highlight w:val="none"/>
          <w:lang w:val="en-US" w:eastAsia="zh-CN"/>
        </w:rPr>
        <w:t>2.</w:t>
      </w:r>
      <w:r>
        <w:rPr>
          <w:rFonts w:hint="eastAsia" w:ascii="宋体" w:hAnsi="宋体" w:eastAsia="宋体" w:cs="宋体"/>
          <w:bCs/>
          <w:color w:val="000000"/>
          <w:sz w:val="21"/>
          <w:szCs w:val="21"/>
          <w:highlight w:val="none"/>
        </w:rPr>
        <w:t>乙方</w:t>
      </w:r>
      <w:r>
        <w:rPr>
          <w:rFonts w:hint="eastAsia" w:ascii="宋体" w:hAnsi="宋体" w:eastAsia="宋体" w:cs="宋体"/>
          <w:bCs/>
          <w:color w:val="000000"/>
          <w:sz w:val="21"/>
          <w:szCs w:val="21"/>
          <w:highlight w:val="none"/>
          <w:lang w:eastAsia="zh-CN"/>
        </w:rPr>
        <w:t>应</w:t>
      </w:r>
      <w:r>
        <w:rPr>
          <w:rFonts w:hint="eastAsia" w:ascii="宋体" w:hAnsi="宋体" w:eastAsia="宋体" w:cs="宋体"/>
          <w:bCs/>
          <w:color w:val="000000"/>
          <w:sz w:val="21"/>
          <w:szCs w:val="21"/>
          <w:highlight w:val="none"/>
        </w:rPr>
        <w:t>在开工前向甲方提交详细的工作方案。</w:t>
      </w:r>
    </w:p>
    <w:p w14:paraId="10B4D7BF">
      <w:pPr>
        <w:pStyle w:val="43"/>
        <w:spacing w:beforeLines="0" w:afterLines="0" w:line="360" w:lineRule="auto"/>
        <w:ind w:firstLine="420" w:firstLineChars="200"/>
        <w:rPr>
          <w:rFonts w:hint="eastAsia" w:ascii="宋体" w:hAnsi="宋体" w:eastAsia="宋体" w:cs="宋体"/>
          <w:bCs/>
          <w:color w:val="000000"/>
          <w:sz w:val="21"/>
          <w:szCs w:val="21"/>
          <w:highlight w:val="none"/>
        </w:rPr>
      </w:pPr>
      <w:r>
        <w:rPr>
          <w:rFonts w:hint="eastAsia" w:ascii="宋体" w:hAnsi="宋体" w:eastAsia="宋体" w:cs="宋体"/>
          <w:color w:val="000000"/>
          <w:sz w:val="21"/>
          <w:szCs w:val="21"/>
          <w:highlight w:val="none"/>
          <w:lang w:val="en-US" w:eastAsia="zh-CN"/>
        </w:rPr>
        <w:t>3.乙方</w:t>
      </w:r>
      <w:r>
        <w:rPr>
          <w:rFonts w:hint="eastAsia" w:ascii="宋体" w:hAnsi="宋体" w:eastAsia="宋体" w:cs="宋体"/>
          <w:color w:val="000000"/>
          <w:sz w:val="21"/>
          <w:szCs w:val="21"/>
          <w:highlight w:val="none"/>
        </w:rPr>
        <w:t>工作过程中应遵守国家及地方的</w:t>
      </w:r>
      <w:r>
        <w:rPr>
          <w:rFonts w:hint="eastAsia" w:ascii="宋体" w:hAnsi="宋体" w:eastAsia="宋体" w:cs="宋体"/>
          <w:color w:val="000000"/>
          <w:sz w:val="21"/>
          <w:szCs w:val="21"/>
          <w:highlight w:val="none"/>
          <w:lang w:eastAsia="zh-CN"/>
        </w:rPr>
        <w:t>有关</w:t>
      </w:r>
      <w:r>
        <w:rPr>
          <w:rFonts w:hint="eastAsia" w:ascii="宋体" w:hAnsi="宋体" w:eastAsia="宋体" w:cs="宋体"/>
          <w:color w:val="000000"/>
          <w:sz w:val="21"/>
          <w:szCs w:val="21"/>
          <w:highlight w:val="none"/>
        </w:rPr>
        <w:t>法律、法规和规章，因乙方未能采取有效措施而发生的人身伤亡、罚款、赔偿、索赔、损失赔偿、诉讼费用及其他一切责任应由乙方负责。</w:t>
      </w:r>
    </w:p>
    <w:p w14:paraId="23020B3E">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bCs/>
          <w:color w:val="000000"/>
          <w:sz w:val="21"/>
          <w:szCs w:val="21"/>
          <w:highlight w:val="none"/>
          <w:lang w:eastAsia="zh-CN"/>
        </w:rPr>
        <w:t>4</w:t>
      </w:r>
      <w:r>
        <w:rPr>
          <w:rFonts w:hint="eastAsia" w:ascii="宋体" w:hAnsi="宋体" w:eastAsia="宋体" w:cs="宋体"/>
          <w:bCs/>
          <w:color w:val="000000"/>
          <w:sz w:val="21"/>
          <w:szCs w:val="21"/>
          <w:highlight w:val="none"/>
        </w:rPr>
        <w:t>.</w:t>
      </w:r>
      <w:r>
        <w:rPr>
          <w:rFonts w:hint="eastAsia" w:ascii="宋体" w:hAnsi="宋体" w:eastAsia="宋体" w:cs="宋体"/>
          <w:color w:val="000000"/>
          <w:sz w:val="21"/>
          <w:szCs w:val="21"/>
          <w:highlight w:val="none"/>
        </w:rPr>
        <w:t>乙方对其所提交的服务成果质量负责，因成果质量问题而造成返工所发生的一切费用由乙方自理，造成甲方损失的还应予以赔偿。</w:t>
      </w:r>
    </w:p>
    <w:p w14:paraId="7E46EE29">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bCs/>
          <w:color w:val="000000"/>
          <w:sz w:val="21"/>
          <w:szCs w:val="21"/>
          <w:highlight w:val="none"/>
          <w:lang w:eastAsia="zh-CN"/>
        </w:rPr>
        <w:t>5</w:t>
      </w:r>
      <w:r>
        <w:rPr>
          <w:rFonts w:hint="eastAsia" w:ascii="宋体" w:hAnsi="宋体" w:eastAsia="宋体" w:cs="宋体"/>
          <w:bCs/>
          <w:color w:val="000000"/>
          <w:sz w:val="21"/>
          <w:szCs w:val="21"/>
          <w:highlight w:val="none"/>
        </w:rPr>
        <w:t>.</w:t>
      </w:r>
      <w:r>
        <w:rPr>
          <w:rFonts w:hint="eastAsia" w:ascii="宋体" w:hAnsi="宋体" w:eastAsia="宋体" w:cs="宋体"/>
          <w:color w:val="000000"/>
          <w:sz w:val="21"/>
          <w:szCs w:val="21"/>
          <w:highlight w:val="none"/>
        </w:rPr>
        <w:t>乙方交付服务成果后，按规定参加有关主管部门的审查，并负责根据审查结论做必要调整补充</w:t>
      </w:r>
      <w:r>
        <w:rPr>
          <w:rFonts w:hint="eastAsia" w:ascii="宋体" w:hAnsi="宋体" w:eastAsia="宋体" w:cs="宋体"/>
          <w:color w:val="000000"/>
          <w:sz w:val="21"/>
          <w:szCs w:val="21"/>
          <w:highlight w:val="none"/>
          <w:lang w:eastAsia="zh-CN"/>
        </w:rPr>
        <w:t>完善</w:t>
      </w:r>
      <w:r>
        <w:rPr>
          <w:rFonts w:hint="eastAsia" w:ascii="宋体" w:hAnsi="宋体" w:eastAsia="宋体" w:cs="宋体"/>
          <w:color w:val="000000"/>
          <w:sz w:val="21"/>
          <w:szCs w:val="21"/>
          <w:highlight w:val="none"/>
        </w:rPr>
        <w:t>，直至确保项目通过验收。</w:t>
      </w:r>
    </w:p>
    <w:p w14:paraId="3A9DD163">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bCs/>
          <w:color w:val="000000"/>
          <w:sz w:val="21"/>
          <w:szCs w:val="21"/>
          <w:highlight w:val="none"/>
          <w:lang w:eastAsia="zh-CN"/>
        </w:rPr>
        <w:t>6</w:t>
      </w:r>
      <w:r>
        <w:rPr>
          <w:rFonts w:hint="eastAsia" w:ascii="宋体" w:hAnsi="宋体" w:eastAsia="宋体" w:cs="宋体"/>
          <w:bCs/>
          <w:color w:val="000000"/>
          <w:sz w:val="21"/>
          <w:szCs w:val="21"/>
          <w:highlight w:val="none"/>
        </w:rPr>
        <w:t>.</w:t>
      </w:r>
      <w:r>
        <w:rPr>
          <w:rFonts w:hint="eastAsia" w:ascii="宋体" w:hAnsi="宋体" w:eastAsia="宋体" w:cs="宋体"/>
          <w:color w:val="000000"/>
          <w:sz w:val="21"/>
          <w:szCs w:val="21"/>
          <w:highlight w:val="none"/>
        </w:rPr>
        <w:t>乙方应安排投标文件中承诺的人员投入工作，并在服务过程中保持人员的相对稳定。在项目服务期间，未经甲方批准，乙方不得更换项目负责人。如果服务人员(含后续服务人员)不能胜任工作、渎职或从事其他违法活动，甲方有权提出更换要求，乙方应立即派出不低于原服务人员相应资历的人员替换并征得甲方同意。乙方在事先取得甲方的同意后可以更换其所派驻现场的人员，但应符合合同规定的资历要求。</w:t>
      </w:r>
    </w:p>
    <w:p w14:paraId="12FB21C5">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7</w:t>
      </w:r>
      <w:r>
        <w:rPr>
          <w:rFonts w:hint="eastAsia" w:ascii="宋体" w:hAnsi="宋体" w:eastAsia="宋体" w:cs="宋体"/>
          <w:color w:val="000000"/>
          <w:sz w:val="21"/>
          <w:szCs w:val="21"/>
          <w:highlight w:val="none"/>
        </w:rPr>
        <w:t xml:space="preserve">.乙方不得将本合同规定的服务任务转包。 </w:t>
      </w:r>
    </w:p>
    <w:p w14:paraId="52D29A1B">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8</w:t>
      </w:r>
      <w:r>
        <w:rPr>
          <w:rFonts w:hint="eastAsia" w:ascii="宋体" w:hAnsi="宋体" w:eastAsia="宋体" w:cs="宋体"/>
          <w:color w:val="000000"/>
          <w:sz w:val="21"/>
          <w:szCs w:val="21"/>
          <w:highlight w:val="none"/>
        </w:rPr>
        <w:t xml:space="preserve">.乙方的工作进度没有达到投标文件中承诺的进度计划时，甲方有权提出要求增加服务人员，乙方应立即安排，其费用被认为已包含在报价之中，甲方不另行支付费用。 </w:t>
      </w:r>
    </w:p>
    <w:p w14:paraId="19D4162C">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9</w:t>
      </w:r>
      <w:r>
        <w:rPr>
          <w:rFonts w:hint="eastAsia" w:ascii="宋体" w:hAnsi="宋体" w:eastAsia="宋体" w:cs="宋体"/>
          <w:color w:val="000000"/>
          <w:sz w:val="21"/>
          <w:szCs w:val="21"/>
          <w:highlight w:val="none"/>
        </w:rPr>
        <w:t>.乙方在进行外业踏勘等工作时，应采取相应的安全、保卫和环境保护措施，因乙方未能采取有效措施而发生的与本项目服务活动有关的人身伤亡、罚款、索赔、损失赔偿、诉讼及其他一切责任应由乙方负责。</w:t>
      </w:r>
    </w:p>
    <w:p w14:paraId="22EC6CE4">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1</w:t>
      </w:r>
      <w:r>
        <w:rPr>
          <w:rFonts w:hint="eastAsia" w:ascii="宋体" w:hAnsi="宋体" w:cs="宋体"/>
          <w:color w:val="000000"/>
          <w:sz w:val="21"/>
          <w:szCs w:val="21"/>
          <w:highlight w:val="none"/>
          <w:lang w:val="en-US" w:eastAsia="zh-CN"/>
        </w:rPr>
        <w:t>0</w:t>
      </w:r>
      <w:r>
        <w:rPr>
          <w:rFonts w:hint="eastAsia" w:ascii="宋体" w:hAnsi="宋体" w:eastAsia="宋体" w:cs="宋体"/>
          <w:color w:val="000000"/>
          <w:sz w:val="21"/>
          <w:szCs w:val="21"/>
          <w:highlight w:val="none"/>
        </w:rPr>
        <w:t>.</w:t>
      </w:r>
      <w:r>
        <w:rPr>
          <w:rFonts w:hint="eastAsia" w:ascii="宋体" w:hAnsi="宋体" w:eastAsia="宋体" w:cs="宋体"/>
          <w:color w:val="000000"/>
          <w:sz w:val="21"/>
          <w:szCs w:val="21"/>
          <w:highlight w:val="none"/>
          <w:lang w:eastAsia="zh-CN"/>
        </w:rPr>
        <w:t>乙方</w:t>
      </w:r>
      <w:r>
        <w:rPr>
          <w:rFonts w:hint="eastAsia" w:ascii="宋体" w:hAnsi="宋体" w:eastAsia="宋体" w:cs="宋体"/>
          <w:color w:val="000000"/>
          <w:sz w:val="21"/>
          <w:szCs w:val="21"/>
          <w:highlight w:val="none"/>
        </w:rPr>
        <w:t xml:space="preserve">服务过程中，提供的成果文件不应侵犯任何第三方的专利权、版权、及其他知识产权，否则由此而引起索赔或诉讼，乙方应承担全部责任，并保障甲方免于承担由此造成的一切损害和损失。 </w:t>
      </w:r>
    </w:p>
    <w:p w14:paraId="79F9D734">
      <w:pPr>
        <w:pStyle w:val="43"/>
        <w:spacing w:beforeLines="0" w:afterLines="0" w:line="360" w:lineRule="auto"/>
        <w:ind w:firstLine="420" w:firstLineChars="200"/>
        <w:rPr>
          <w:rFonts w:hint="default" w:ascii="宋体" w:hAnsi="宋体" w:eastAsia="宋体" w:cs="宋体"/>
          <w:color w:val="000000"/>
          <w:sz w:val="21"/>
          <w:szCs w:val="21"/>
          <w:highlight w:val="none"/>
        </w:rPr>
      </w:pPr>
      <w:r>
        <w:rPr>
          <w:rFonts w:hint="eastAsia" w:ascii="宋体" w:hAnsi="宋体" w:eastAsia="宋体" w:cs="宋体"/>
          <w:color w:val="000000"/>
          <w:sz w:val="21"/>
          <w:szCs w:val="21"/>
          <w:highlight w:val="none"/>
          <w:lang w:val="en-US" w:eastAsia="zh-CN"/>
        </w:rPr>
        <w:t>12.</w:t>
      </w:r>
      <w:r>
        <w:rPr>
          <w:rFonts w:hint="eastAsia" w:ascii="宋体" w:hAnsi="宋体" w:eastAsia="宋体" w:cs="宋体"/>
          <w:color w:val="000000"/>
          <w:sz w:val="21"/>
          <w:szCs w:val="21"/>
          <w:highlight w:val="none"/>
        </w:rPr>
        <w:t>承担履行合同过程中</w:t>
      </w:r>
      <w:r>
        <w:rPr>
          <w:rFonts w:hint="eastAsia" w:ascii="宋体" w:hAnsi="宋体" w:eastAsia="宋体" w:cs="宋体"/>
          <w:color w:val="000000"/>
          <w:sz w:val="21"/>
          <w:szCs w:val="21"/>
          <w:highlight w:val="none"/>
          <w:lang w:eastAsia="zh-CN"/>
        </w:rPr>
        <w:t>乙方</w:t>
      </w:r>
      <w:r>
        <w:rPr>
          <w:rFonts w:hint="eastAsia" w:ascii="宋体" w:hAnsi="宋体" w:eastAsia="宋体" w:cs="宋体"/>
          <w:color w:val="000000"/>
          <w:sz w:val="21"/>
          <w:szCs w:val="21"/>
          <w:highlight w:val="none"/>
        </w:rPr>
        <w:t>的人身和财产安全责任。</w:t>
      </w:r>
    </w:p>
    <w:p w14:paraId="5E46AF6D">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七</w:t>
      </w:r>
      <w:r>
        <w:rPr>
          <w:rFonts w:hint="eastAsia" w:ascii="宋体" w:hAnsi="宋体" w:eastAsia="宋体" w:cs="宋体"/>
          <w:b/>
          <w:bCs/>
          <w:color w:val="000000"/>
          <w:sz w:val="21"/>
          <w:szCs w:val="21"/>
          <w:highlight w:val="none"/>
        </w:rPr>
        <w:t>条：知识产权</w:t>
      </w:r>
    </w:p>
    <w:p w14:paraId="460C1DDE">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1.在本合同有效期内，按合同约定所完成的与本服务内容相关的新的技术成果，全部归</w:t>
      </w:r>
      <w:r>
        <w:rPr>
          <w:rFonts w:hint="eastAsia" w:ascii="宋体" w:hAnsi="宋体" w:eastAsia="宋体" w:cs="宋体"/>
          <w:color w:val="000000"/>
          <w:sz w:val="21"/>
          <w:szCs w:val="21"/>
          <w:highlight w:val="none"/>
          <w:u w:val="single"/>
        </w:rPr>
        <w:t>甲</w:t>
      </w:r>
      <w:r>
        <w:rPr>
          <w:rFonts w:hint="eastAsia" w:ascii="宋体" w:hAnsi="宋体" w:eastAsia="宋体" w:cs="宋体"/>
          <w:color w:val="000000"/>
          <w:sz w:val="21"/>
          <w:szCs w:val="21"/>
          <w:highlight w:val="none"/>
        </w:rPr>
        <w:t>方所有。</w:t>
      </w:r>
    </w:p>
    <w:p w14:paraId="3FAABBAB">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2.乙方就本项目工作成果，未经甲方同意，乙方不得向第三方提供或用于本合同以外的项目，否则甲方有权追究乙方的责任。 </w:t>
      </w:r>
    </w:p>
    <w:p w14:paraId="3C0C2F99">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八</w:t>
      </w:r>
      <w:r>
        <w:rPr>
          <w:rFonts w:hint="eastAsia" w:ascii="宋体" w:hAnsi="宋体" w:eastAsia="宋体" w:cs="宋体"/>
          <w:b/>
          <w:bCs/>
          <w:color w:val="000000"/>
          <w:sz w:val="21"/>
          <w:szCs w:val="21"/>
          <w:highlight w:val="none"/>
        </w:rPr>
        <w:t>条：保密规定</w:t>
      </w:r>
    </w:p>
    <w:p w14:paraId="458C58E2">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双方确定因履行本合同应遵守的保密义务如下：</w:t>
      </w:r>
    </w:p>
    <w:p w14:paraId="524BCCF2">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本协议项下保密信息的保密期限自本协议生效之日起至保密信息公开之日或信息提供方许可公开之日止。双方业务合作事宜的终止、失败或者完成不影响本协议所规定的保密义务的履行。</w:t>
      </w:r>
    </w:p>
    <w:p w14:paraId="6D83B7D9">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1.甲方和乙方双方均不得将本合同中的内容及在本合同执行过程中获得的对方商业信息、技术秘密及其他经营管理、技术等相关信息向任何第三方泄露。本合同无论期满、解除或终止，保密义务 仍然有效。 双方认可，作为乙方公司的员工或涉及项目的相关人员，除应履行一般的保密义务外，就该项目所涉的任何国家秘密、商业秘密，乙方应均予以严格保密。 </w:t>
      </w:r>
    </w:p>
    <w:p w14:paraId="3D33D2C0">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2.甲方向乙方提供的所有资料均为保密资料，乙方除在履行本合同下义务时可向受雇于乙方的相关研究人员透露外，不能在任何情况下(包括本合同有效期内及之后)向第三者透露。</w:t>
      </w:r>
    </w:p>
    <w:p w14:paraId="2C313B9A">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3.乙方服务人员在甲方处工作或参与项目期间，乙方违反保密规定的，虽未造成甲方、甲方关联单位经济、利益、声誉等各种损失，但给甲方正常经营活动带来不便的，甲方有权将乙方服务人员调离项目，并根据规章制度予以处罚；情节严重的，甲方有权无条件解除与乙方的合同关系，乙方应当给予甲方相应的损害赔偿。 </w:t>
      </w:r>
    </w:p>
    <w:p w14:paraId="58D3DCF2">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4.乙方在甲方处工作或参与该项目期间，乙方违反保密规定的，造成甲方、甲方关联单位及经济、利益、声誉等损失的，甲方有权要求乙方赔偿甲方相应的损失并无条件与乙方 解除合同关系；构成犯罪的，甲方将上报相关部门，依法追究乙方刑事责任。 </w:t>
      </w:r>
    </w:p>
    <w:p w14:paraId="2419A883">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5.项目完成/终止后或甲方与乙方的合同终止或解除，乙方违反保密规定的，甲方仍有权依法追究乙方全部的赔偿责任。 </w:t>
      </w:r>
    </w:p>
    <w:p w14:paraId="28870F5F">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6.乙方违反保密义务的，应向甲方支付一万元/次的违约金，并赔偿甲方因此而遭受的损失。   </w:t>
      </w:r>
    </w:p>
    <w:p w14:paraId="58FBD413">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九</w:t>
      </w:r>
      <w:r>
        <w:rPr>
          <w:rFonts w:hint="eastAsia" w:ascii="宋体" w:hAnsi="宋体" w:eastAsia="宋体" w:cs="宋体"/>
          <w:b/>
          <w:bCs/>
          <w:color w:val="000000"/>
          <w:sz w:val="21"/>
          <w:szCs w:val="21"/>
          <w:highlight w:val="none"/>
        </w:rPr>
        <w:t>条：违约责任</w:t>
      </w:r>
    </w:p>
    <w:p w14:paraId="18FF9A72">
      <w:pPr>
        <w:pStyle w:val="43"/>
        <w:spacing w:beforeLines="0" w:afterLines="0" w:line="360" w:lineRule="auto"/>
        <w:ind w:firstLine="422" w:firstLineChars="200"/>
        <w:jc w:val="both"/>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（一）甲方违约责任</w:t>
      </w:r>
    </w:p>
    <w:p w14:paraId="3DE7432B">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1.本项目经费为政府资金，视经费到位情况并按照国库集中支付或政府部门预算管理规定等国家相关规定办理支付，因政府资金不能按时到位导致不能及时付款的，不视为甲方违约。</w:t>
      </w:r>
    </w:p>
    <w:p w14:paraId="6C6B5DA5">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2.在合同履行期间，甲方要求终止或解除合同（非乙方原因），甲方除应按乙方完成的实际工作量支付费用外，还应按剩余合同价的5%向乙方支付违约金。</w:t>
      </w:r>
    </w:p>
    <w:p w14:paraId="04ECAA29">
      <w:pPr>
        <w:pStyle w:val="43"/>
        <w:spacing w:beforeLines="0" w:afterLines="0" w:line="360" w:lineRule="auto"/>
        <w:ind w:firstLine="422" w:firstLineChars="200"/>
        <w:jc w:val="both"/>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（二）乙方违约责任</w:t>
      </w:r>
    </w:p>
    <w:p w14:paraId="0E7D01D9">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1.乙方不得转包本合同项目，否则甲方有权解除合同并要求乙方退还所有已付费用，同时，乙方支付甲方签约合同总价5%的违约金并赔偿甲方因此遭受的全部损失。</w:t>
      </w:r>
    </w:p>
    <w:p w14:paraId="759C1CE3">
      <w:pPr>
        <w:pStyle w:val="43"/>
        <w:spacing w:beforeLines="0" w:afterLines="0" w:line="360" w:lineRule="auto"/>
        <w:ind w:firstLine="420" w:firstLineChars="200"/>
        <w:jc w:val="both"/>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w:t>
      </w:r>
      <w:r>
        <w:rPr>
          <w:rFonts w:hint="eastAsia" w:ascii="宋体" w:hAnsi="宋体" w:eastAsia="宋体" w:cs="宋体"/>
          <w:color w:val="000000"/>
          <w:sz w:val="21"/>
          <w:szCs w:val="21"/>
          <w:highlight w:val="none"/>
        </w:rPr>
        <w:t>乙方的项目负责人和其他人员应与响应文件所承诺的名单一致，未经甲方同意，上述人员不应无故不到位或被替换(但因不可抗力引起的人员变动除外)；发生以上情况，甲方书面提醒30天后，乙方仍未整改的，</w:t>
      </w:r>
      <w:r>
        <w:rPr>
          <w:rFonts w:hint="eastAsia" w:ascii="宋体" w:hAnsi="宋体" w:eastAsia="宋体" w:cs="宋体"/>
          <w:color w:val="000000"/>
          <w:sz w:val="21"/>
          <w:szCs w:val="21"/>
          <w:highlight w:val="none"/>
          <w:lang w:eastAsia="zh-CN"/>
        </w:rPr>
        <w:t>乙方</w:t>
      </w:r>
      <w:r>
        <w:rPr>
          <w:rFonts w:hint="eastAsia" w:ascii="宋体" w:hAnsi="宋体" w:eastAsia="宋体" w:cs="宋体"/>
          <w:color w:val="000000"/>
          <w:sz w:val="21"/>
          <w:szCs w:val="21"/>
          <w:highlight w:val="none"/>
        </w:rPr>
        <w:t>将被处以人民币壹万元/人次的违约金，由此引起的责任由乙方负责，甲方有权解除合同，乙方自行承担已发生的费用。</w:t>
      </w:r>
    </w:p>
    <w:p w14:paraId="39B54C38">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3</w:t>
      </w:r>
      <w:r>
        <w:rPr>
          <w:rFonts w:hint="eastAsia" w:ascii="宋体" w:hAnsi="宋体" w:eastAsia="宋体" w:cs="宋体"/>
          <w:color w:val="000000"/>
          <w:sz w:val="21"/>
          <w:szCs w:val="21"/>
          <w:highlight w:val="none"/>
        </w:rPr>
        <w:t>.乙方未按本合同规定完成合同工作（含提交成果文件）的，乙方须向甲方支付延期违约金，每延期一天按合同总额的</w:t>
      </w:r>
      <w:r>
        <w:rPr>
          <w:rFonts w:hint="eastAsia" w:ascii="宋体" w:hAnsi="宋体" w:eastAsia="宋体" w:cs="宋体"/>
          <w:color w:val="000000"/>
          <w:sz w:val="21"/>
          <w:szCs w:val="21"/>
          <w:highlight w:val="none"/>
          <w:lang w:eastAsia="zh-CN"/>
        </w:rPr>
        <w:t>1</w:t>
      </w:r>
      <w:r>
        <w:rPr>
          <w:rFonts w:hint="eastAsia" w:ascii="宋体" w:hAnsi="宋体" w:eastAsia="宋体" w:cs="宋体"/>
          <w:color w:val="000000"/>
          <w:sz w:val="21"/>
          <w:szCs w:val="21"/>
          <w:highlight w:val="none"/>
        </w:rPr>
        <w:t>‰计算，累计总额不超过合同总价的5%。拖期超过30 天，甲方有权单方解除合同，给甲方造成损失的，乙方负责赔偿，甲方的损失包括但不限于诉讼费、保全费、保全保险费、律师费等费用。</w:t>
      </w:r>
    </w:p>
    <w:p w14:paraId="7ABAF78B">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4</w:t>
      </w:r>
      <w:r>
        <w:rPr>
          <w:rFonts w:hint="eastAsia" w:ascii="宋体" w:hAnsi="宋体" w:eastAsia="宋体" w:cs="宋体"/>
          <w:color w:val="000000"/>
          <w:sz w:val="21"/>
          <w:szCs w:val="21"/>
          <w:highlight w:val="none"/>
        </w:rPr>
        <w:t>.在合同履行期间，乙方无故要求终止或解除合同，乙方应退还甲方已支付的全部费用，并向甲方支付签约合同总价5%的违约金且赔偿甲方因此遭受的全部损失。</w:t>
      </w:r>
    </w:p>
    <w:p w14:paraId="53A4B6C5">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5</w:t>
      </w:r>
      <w:r>
        <w:rPr>
          <w:rFonts w:hint="eastAsia" w:ascii="宋体" w:hAnsi="宋体" w:eastAsia="宋体" w:cs="宋体"/>
          <w:color w:val="000000"/>
          <w:sz w:val="21"/>
          <w:szCs w:val="21"/>
          <w:highlight w:val="none"/>
        </w:rPr>
        <w:t>.乙方未按本合同规定</w:t>
      </w:r>
      <w:r>
        <w:rPr>
          <w:rFonts w:hint="eastAsia" w:ascii="宋体" w:hAnsi="宋体" w:eastAsia="宋体" w:cs="宋体"/>
          <w:color w:val="000000"/>
          <w:sz w:val="21"/>
          <w:szCs w:val="21"/>
          <w:highlight w:val="none"/>
          <w:lang w:eastAsia="zh-CN"/>
        </w:rPr>
        <w:t>开展</w:t>
      </w:r>
      <w:r>
        <w:rPr>
          <w:rFonts w:hint="eastAsia" w:ascii="宋体" w:hAnsi="宋体" w:eastAsia="宋体" w:cs="宋体"/>
          <w:color w:val="000000"/>
          <w:sz w:val="21"/>
          <w:szCs w:val="21"/>
          <w:highlight w:val="none"/>
        </w:rPr>
        <w:t>施工期环境管理</w:t>
      </w:r>
      <w:r>
        <w:rPr>
          <w:rFonts w:hint="eastAsia" w:ascii="宋体" w:hAnsi="宋体" w:eastAsia="宋体" w:cs="宋体"/>
          <w:color w:val="000000"/>
          <w:sz w:val="21"/>
          <w:szCs w:val="21"/>
          <w:highlight w:val="none"/>
          <w:lang w:eastAsia="zh-CN"/>
        </w:rPr>
        <w:t>工作，或者</w:t>
      </w:r>
      <w:r>
        <w:rPr>
          <w:rFonts w:hint="eastAsia" w:ascii="宋体" w:hAnsi="宋体" w:eastAsia="宋体" w:cs="宋体"/>
          <w:color w:val="000000"/>
          <w:sz w:val="21"/>
          <w:szCs w:val="21"/>
          <w:highlight w:val="none"/>
        </w:rPr>
        <w:t>甲方按照乙方提交的服务成果作出决策所造成的损失，由乙方承担，且乙方应向甲方支付签约合同总价5%的违约金并赔偿甲方损失。</w:t>
      </w:r>
    </w:p>
    <w:p w14:paraId="09AC6736">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6</w:t>
      </w:r>
      <w:r>
        <w:rPr>
          <w:rFonts w:hint="eastAsia" w:ascii="宋体" w:hAnsi="宋体" w:eastAsia="宋体" w:cs="宋体"/>
          <w:color w:val="000000"/>
          <w:sz w:val="21"/>
          <w:szCs w:val="21"/>
          <w:highlight w:val="none"/>
        </w:rPr>
        <w:t>.乙方在本项目的人员应当具备法律规定、行业规定的相关资质并对其工作期间的行为负责。若乙方指派人员在工作中因故意或重大过失给甲方造成损失的，由乙方承担全部法律责任。</w:t>
      </w:r>
    </w:p>
    <w:p w14:paraId="2A01D484">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7</w:t>
      </w:r>
      <w:r>
        <w:rPr>
          <w:rFonts w:hint="eastAsia" w:ascii="宋体" w:hAnsi="宋体" w:eastAsia="宋体" w:cs="宋体"/>
          <w:color w:val="000000"/>
          <w:sz w:val="21"/>
          <w:szCs w:val="21"/>
          <w:highlight w:val="none"/>
        </w:rPr>
        <w:t>.因乙方违约产生的一切法律纠纷，造成甲方所产生的包括但不限于律师费、诉讼费、仲裁费、评估鉴定费以及承担的损失、赔偿责任等，均由乙方承担。</w:t>
      </w:r>
    </w:p>
    <w:p w14:paraId="04703283">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8</w:t>
      </w:r>
      <w:r>
        <w:rPr>
          <w:rFonts w:hint="eastAsia" w:ascii="宋体" w:hAnsi="宋体" w:eastAsia="宋体" w:cs="宋体"/>
          <w:color w:val="000000"/>
          <w:sz w:val="21"/>
          <w:szCs w:val="21"/>
          <w:highlight w:val="none"/>
        </w:rPr>
        <w:t>.本合同项下的违约金和赔偿，甲方均有权从应付给乙方的款项或履约保证金中扣除，不足部分由乙方补足。前述条款约定的违约金和赔偿不足以弥补甲方损失的，乙方应继续赔偿甲方的损失，在收到甲方书面通知后三日内另行支付。</w:t>
      </w:r>
    </w:p>
    <w:p w14:paraId="07E8CEE2">
      <w:pPr>
        <w:pStyle w:val="43"/>
        <w:spacing w:beforeLines="0" w:afterLines="0" w:line="360" w:lineRule="auto"/>
        <w:ind w:firstLine="422" w:firstLineChars="200"/>
        <w:jc w:val="both"/>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十</w:t>
      </w:r>
      <w:r>
        <w:rPr>
          <w:rFonts w:hint="eastAsia" w:ascii="宋体" w:hAnsi="宋体" w:eastAsia="宋体" w:cs="宋体"/>
          <w:b/>
          <w:bCs/>
          <w:color w:val="000000"/>
          <w:sz w:val="21"/>
          <w:szCs w:val="21"/>
          <w:highlight w:val="none"/>
        </w:rPr>
        <w:t>条：</w:t>
      </w:r>
      <w:r>
        <w:rPr>
          <w:rFonts w:hint="eastAsia" w:ascii="宋体" w:hAnsi="宋体" w:eastAsia="宋体" w:cs="宋体"/>
          <w:b/>
          <w:bCs/>
          <w:color w:val="000000"/>
          <w:sz w:val="21"/>
          <w:szCs w:val="21"/>
          <w:highlight w:val="none"/>
          <w:lang w:eastAsia="zh-CN"/>
        </w:rPr>
        <w:t>分包</w:t>
      </w:r>
    </w:p>
    <w:p w14:paraId="1B4F8C5B">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本项目</w:t>
      </w:r>
      <w:r>
        <w:rPr>
          <w:rFonts w:hint="eastAsia" w:ascii="宋体" w:hAnsi="宋体" w:cs="宋体"/>
          <w:color w:val="000000"/>
          <w:sz w:val="21"/>
          <w:szCs w:val="21"/>
          <w:highlight w:val="none"/>
          <w:lang w:eastAsia="zh-CN"/>
        </w:rPr>
        <w:t>不</w:t>
      </w:r>
      <w:r>
        <w:rPr>
          <w:rFonts w:hint="eastAsia" w:ascii="宋体" w:hAnsi="宋体" w:eastAsia="宋体" w:cs="宋体"/>
          <w:color w:val="000000"/>
          <w:sz w:val="21"/>
          <w:szCs w:val="21"/>
          <w:highlight w:val="none"/>
        </w:rPr>
        <w:t>允许分包。</w:t>
      </w:r>
    </w:p>
    <w:p w14:paraId="12B2FF9F">
      <w:pPr>
        <w:pStyle w:val="43"/>
        <w:spacing w:beforeLines="0" w:afterLines="0" w:line="360" w:lineRule="auto"/>
        <w:ind w:firstLine="422" w:firstLineChars="200"/>
        <w:rPr>
          <w:rFonts w:hint="eastAsia" w:ascii="宋体" w:hAnsi="宋体" w:eastAsia="宋体" w:cs="宋体"/>
          <w:color w:val="000000"/>
          <w:sz w:val="21"/>
          <w:szCs w:val="21"/>
          <w:highlight w:val="none"/>
          <w:lang w:eastAsia="zh-CN"/>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十一</w:t>
      </w:r>
      <w:r>
        <w:rPr>
          <w:rFonts w:hint="eastAsia" w:ascii="宋体" w:hAnsi="宋体" w:eastAsia="宋体" w:cs="宋体"/>
          <w:b/>
          <w:bCs/>
          <w:color w:val="000000"/>
          <w:sz w:val="21"/>
          <w:szCs w:val="21"/>
          <w:highlight w:val="none"/>
        </w:rPr>
        <w:t>条：</w:t>
      </w:r>
      <w:r>
        <w:rPr>
          <w:rFonts w:hint="eastAsia" w:ascii="宋体" w:hAnsi="宋体" w:eastAsia="宋体" w:cs="宋体"/>
          <w:b/>
          <w:bCs/>
          <w:color w:val="000000"/>
          <w:sz w:val="21"/>
          <w:szCs w:val="21"/>
          <w:highlight w:val="none"/>
          <w:lang w:eastAsia="zh-CN"/>
        </w:rPr>
        <w:t>不可抗力</w:t>
      </w:r>
    </w:p>
    <w:p w14:paraId="6ACBD308">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本合同所称不可抗力是指不能预见、不能克服、不能避免并对一方当事人造成重大影响的客观事件，如洪水、泥石流、地震、火灾、风暴等自然现象以及战争、动乱、政府行为等社会事件。</w:t>
      </w:r>
    </w:p>
    <w:p w14:paraId="627946EE">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发生不可抗力事件，一方在本合同项下受不可抗力影响的义务在不可抗力造成的延误期间自动中止，其履行期限应自动延长，延长期间为中止的期间，该方无须为此承担违约责任。</w:t>
      </w:r>
    </w:p>
    <w:p w14:paraId="0A003243">
      <w:pPr>
        <w:pStyle w:val="43"/>
        <w:spacing w:beforeLines="0" w:afterLines="0" w:line="360" w:lineRule="auto"/>
        <w:ind w:firstLine="422" w:firstLineChars="200"/>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eastAsia="宋体" w:cs="宋体"/>
          <w:b/>
          <w:bCs/>
          <w:color w:val="000000"/>
          <w:sz w:val="21"/>
          <w:szCs w:val="21"/>
          <w:highlight w:val="none"/>
          <w:lang w:eastAsia="zh-CN"/>
        </w:rPr>
        <w:t>二</w:t>
      </w:r>
      <w:r>
        <w:rPr>
          <w:rFonts w:hint="eastAsia" w:ascii="宋体" w:hAnsi="宋体" w:eastAsia="宋体" w:cs="宋体"/>
          <w:b/>
          <w:bCs/>
          <w:color w:val="000000"/>
          <w:sz w:val="21"/>
          <w:szCs w:val="21"/>
          <w:highlight w:val="none"/>
        </w:rPr>
        <w:t>条：争议的解决</w:t>
      </w:r>
    </w:p>
    <w:p w14:paraId="4F526FFE">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本合同争议的解决方式是：</w:t>
      </w:r>
      <w:r>
        <w:rPr>
          <w:rFonts w:hint="eastAsia" w:ascii="宋体" w:hAnsi="宋体" w:eastAsia="宋体" w:cs="宋体"/>
          <w:b/>
          <w:bCs/>
          <w:color w:val="000000"/>
          <w:sz w:val="21"/>
          <w:szCs w:val="21"/>
          <w:highlight w:val="none"/>
        </w:rPr>
        <w:t>向申请</w:t>
      </w:r>
      <w:r>
        <w:rPr>
          <w:rFonts w:hint="eastAsia" w:ascii="宋体" w:hAnsi="宋体" w:cs="宋体"/>
          <w:b/>
          <w:bCs/>
          <w:color w:val="000000"/>
          <w:sz w:val="21"/>
          <w:szCs w:val="21"/>
          <w:highlight w:val="none"/>
          <w:lang w:eastAsia="zh-CN"/>
        </w:rPr>
        <w:t>南宁</w:t>
      </w:r>
      <w:r>
        <w:rPr>
          <w:rFonts w:hint="eastAsia" w:ascii="宋体" w:hAnsi="宋体" w:eastAsia="宋体" w:cs="宋体"/>
          <w:b/>
          <w:bCs/>
          <w:color w:val="000000"/>
          <w:sz w:val="21"/>
          <w:szCs w:val="21"/>
          <w:highlight w:val="none"/>
        </w:rPr>
        <w:t>仲裁委员会仲裁。</w:t>
      </w:r>
    </w:p>
    <w:p w14:paraId="3E6606C8">
      <w:pPr>
        <w:pStyle w:val="43"/>
        <w:spacing w:beforeLines="0" w:afterLines="0" w:line="360" w:lineRule="auto"/>
        <w:ind w:firstLine="422" w:firstLineChars="200"/>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eastAsia="宋体" w:cs="宋体"/>
          <w:b/>
          <w:bCs/>
          <w:color w:val="000000"/>
          <w:sz w:val="21"/>
          <w:szCs w:val="21"/>
          <w:highlight w:val="none"/>
          <w:lang w:eastAsia="zh-CN"/>
        </w:rPr>
        <w:t>三</w:t>
      </w:r>
      <w:r>
        <w:rPr>
          <w:rFonts w:hint="eastAsia" w:ascii="宋体" w:hAnsi="宋体" w:eastAsia="宋体" w:cs="宋体"/>
          <w:b/>
          <w:bCs/>
          <w:color w:val="000000"/>
          <w:sz w:val="21"/>
          <w:szCs w:val="21"/>
          <w:highlight w:val="none"/>
        </w:rPr>
        <w:t>条：</w:t>
      </w:r>
      <w:r>
        <w:rPr>
          <w:rFonts w:hint="eastAsia" w:ascii="宋体" w:hAnsi="宋体" w:eastAsia="宋体" w:cs="宋体"/>
          <w:color w:val="000000"/>
          <w:sz w:val="21"/>
          <w:szCs w:val="21"/>
          <w:highlight w:val="none"/>
        </w:rPr>
        <w:t>甲乙双方应当通过正常途径开展相关业务工作，自觉遵守国家关于廉政建设的各项规定。</w:t>
      </w:r>
    </w:p>
    <w:p w14:paraId="08C61870">
      <w:pPr>
        <w:pStyle w:val="43"/>
        <w:spacing w:beforeLines="0" w:afterLines="0" w:line="360" w:lineRule="auto"/>
        <w:ind w:firstLine="422" w:firstLineChars="200"/>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eastAsia="宋体" w:cs="宋体"/>
          <w:b/>
          <w:bCs/>
          <w:color w:val="000000"/>
          <w:sz w:val="21"/>
          <w:szCs w:val="21"/>
          <w:highlight w:val="none"/>
          <w:lang w:eastAsia="zh-CN"/>
        </w:rPr>
        <w:t>四</w:t>
      </w:r>
      <w:r>
        <w:rPr>
          <w:rFonts w:hint="eastAsia" w:ascii="宋体" w:hAnsi="宋体" w:eastAsia="宋体" w:cs="宋体"/>
          <w:b/>
          <w:bCs/>
          <w:color w:val="000000"/>
          <w:sz w:val="21"/>
          <w:szCs w:val="21"/>
          <w:highlight w:val="none"/>
        </w:rPr>
        <w:t>条：</w:t>
      </w:r>
      <w:r>
        <w:rPr>
          <w:rFonts w:hint="eastAsia" w:ascii="宋体" w:hAnsi="宋体" w:eastAsia="宋体" w:cs="宋体"/>
          <w:color w:val="000000"/>
          <w:sz w:val="21"/>
          <w:szCs w:val="21"/>
          <w:highlight w:val="none"/>
        </w:rPr>
        <w:t>本合同未尽事宜，由甲方和乙方双方协商并签订补充协议，补充协议与本合同不一致的，以补充协议为准。。</w:t>
      </w:r>
    </w:p>
    <w:p w14:paraId="7BF415E1">
      <w:pPr>
        <w:pStyle w:val="43"/>
        <w:spacing w:beforeLines="0" w:afterLines="0" w:line="360" w:lineRule="auto"/>
        <w:ind w:firstLine="422" w:firstLineChars="200"/>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eastAsia="宋体" w:cs="宋体"/>
          <w:b/>
          <w:bCs/>
          <w:color w:val="000000"/>
          <w:sz w:val="21"/>
          <w:szCs w:val="21"/>
          <w:highlight w:val="none"/>
          <w:lang w:eastAsia="zh-CN"/>
        </w:rPr>
        <w:t>五</w:t>
      </w:r>
      <w:r>
        <w:rPr>
          <w:rFonts w:hint="eastAsia" w:ascii="宋体" w:hAnsi="宋体" w:eastAsia="宋体" w:cs="宋体"/>
          <w:b/>
          <w:bCs/>
          <w:color w:val="000000"/>
          <w:sz w:val="21"/>
          <w:szCs w:val="21"/>
          <w:highlight w:val="none"/>
        </w:rPr>
        <w:t>条：</w:t>
      </w:r>
      <w:r>
        <w:rPr>
          <w:rFonts w:hint="eastAsia" w:ascii="宋体" w:hAnsi="宋体" w:eastAsia="宋体" w:cs="宋体"/>
          <w:color w:val="000000"/>
          <w:sz w:val="21"/>
          <w:szCs w:val="21"/>
          <w:highlight w:val="none"/>
        </w:rPr>
        <w:t>本合同一式</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rPr>
        <w:t>份，甲乙双方各执</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rPr>
        <w:t>份，具有同等法律效力。</w:t>
      </w:r>
    </w:p>
    <w:p w14:paraId="328F150C">
      <w:pPr>
        <w:pStyle w:val="43"/>
        <w:spacing w:beforeLines="0" w:afterLines="0" w:line="360" w:lineRule="auto"/>
        <w:ind w:firstLine="422" w:firstLineChars="200"/>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eastAsia="宋体" w:cs="宋体"/>
          <w:b/>
          <w:bCs/>
          <w:color w:val="000000"/>
          <w:sz w:val="21"/>
          <w:szCs w:val="21"/>
          <w:highlight w:val="none"/>
          <w:lang w:eastAsia="zh-CN"/>
        </w:rPr>
        <w:t>六</w:t>
      </w:r>
      <w:r>
        <w:rPr>
          <w:rFonts w:hint="eastAsia" w:ascii="宋体" w:hAnsi="宋体" w:eastAsia="宋体" w:cs="宋体"/>
          <w:b/>
          <w:bCs/>
          <w:color w:val="000000"/>
          <w:sz w:val="21"/>
          <w:szCs w:val="21"/>
          <w:highlight w:val="none"/>
        </w:rPr>
        <w:t>条：</w:t>
      </w:r>
      <w:r>
        <w:rPr>
          <w:rFonts w:hint="eastAsia" w:ascii="宋体" w:hAnsi="宋体" w:eastAsia="宋体" w:cs="宋体"/>
          <w:color w:val="000000"/>
          <w:sz w:val="21"/>
          <w:szCs w:val="21"/>
          <w:highlight w:val="none"/>
        </w:rPr>
        <w:t>本协议书在乙方提供履约担保后，由双方法定代表人或其委托代理人签</w:t>
      </w:r>
      <w:r>
        <w:rPr>
          <w:rFonts w:hint="eastAsia" w:ascii="宋体" w:hAnsi="宋体" w:eastAsia="宋体" w:cs="宋体"/>
          <w:color w:val="000000"/>
          <w:sz w:val="21"/>
          <w:szCs w:val="21"/>
          <w:highlight w:val="none"/>
          <w:lang w:eastAsia="zh-CN"/>
        </w:rPr>
        <w:t>字（或签章）</w:t>
      </w:r>
      <w:r>
        <w:rPr>
          <w:rFonts w:hint="eastAsia" w:ascii="宋体" w:hAnsi="宋体" w:eastAsia="宋体" w:cs="宋体"/>
          <w:color w:val="000000"/>
          <w:sz w:val="21"/>
          <w:szCs w:val="21"/>
          <w:highlight w:val="none"/>
        </w:rPr>
        <w:t>并加盖单位</w:t>
      </w:r>
      <w:r>
        <w:rPr>
          <w:rFonts w:hint="eastAsia" w:ascii="宋体" w:hAnsi="宋体" w:eastAsia="宋体" w:cs="宋体"/>
          <w:color w:val="000000"/>
          <w:sz w:val="21"/>
          <w:szCs w:val="21"/>
          <w:highlight w:val="none"/>
          <w:lang w:eastAsia="zh-CN"/>
        </w:rPr>
        <w:t>公</w:t>
      </w:r>
      <w:r>
        <w:rPr>
          <w:rFonts w:hint="eastAsia" w:ascii="宋体" w:hAnsi="宋体" w:eastAsia="宋体" w:cs="宋体"/>
          <w:color w:val="000000"/>
          <w:sz w:val="21"/>
          <w:szCs w:val="21"/>
          <w:highlight w:val="none"/>
        </w:rPr>
        <w:t>章</w:t>
      </w:r>
      <w:r>
        <w:rPr>
          <w:rFonts w:hint="eastAsia" w:ascii="宋体" w:hAnsi="宋体" w:eastAsia="宋体" w:cs="宋体"/>
          <w:color w:val="000000"/>
          <w:sz w:val="21"/>
          <w:szCs w:val="21"/>
          <w:highlight w:val="none"/>
          <w:lang w:eastAsia="zh-CN"/>
        </w:rPr>
        <w:t>或合同专用章</w:t>
      </w:r>
      <w:r>
        <w:rPr>
          <w:rFonts w:hint="eastAsia" w:ascii="宋体" w:hAnsi="宋体" w:eastAsia="宋体" w:cs="宋体"/>
          <w:color w:val="000000"/>
          <w:sz w:val="21"/>
          <w:szCs w:val="21"/>
          <w:highlight w:val="none"/>
        </w:rPr>
        <w:t>后生效。乙方完成全部</w:t>
      </w:r>
      <w:r>
        <w:rPr>
          <w:rFonts w:hint="eastAsia" w:ascii="宋体" w:hAnsi="宋体" w:eastAsia="宋体" w:cs="宋体"/>
          <w:color w:val="000000"/>
          <w:sz w:val="21"/>
          <w:szCs w:val="21"/>
          <w:highlight w:val="none"/>
          <w:lang w:eastAsia="zh-CN"/>
        </w:rPr>
        <w:t>服务</w:t>
      </w:r>
      <w:r>
        <w:rPr>
          <w:rFonts w:hint="eastAsia" w:ascii="宋体" w:hAnsi="宋体" w:eastAsia="宋体" w:cs="宋体"/>
          <w:color w:val="000000"/>
          <w:sz w:val="21"/>
          <w:szCs w:val="21"/>
          <w:highlight w:val="none"/>
        </w:rPr>
        <w:t>工作且合同费用结清后终止。。</w:t>
      </w:r>
    </w:p>
    <w:p w14:paraId="6EF382D3">
      <w:pPr>
        <w:pStyle w:val="43"/>
        <w:spacing w:beforeLines="0" w:afterLines="0" w:line="360" w:lineRule="auto"/>
        <w:ind w:firstLine="480" w:firstLineChars="200"/>
        <w:rPr>
          <w:rFonts w:hint="eastAsia" w:ascii="宋体" w:hAnsi="宋体" w:eastAsia="宋体" w:cs="宋体"/>
          <w:color w:val="000000"/>
          <w:sz w:val="24"/>
          <w:szCs w:val="24"/>
          <w:highlight w:val="none"/>
        </w:rPr>
      </w:pPr>
    </w:p>
    <w:bookmarkEnd w:id="120"/>
    <w:bookmarkEnd w:id="121"/>
    <w:bookmarkEnd w:id="122"/>
    <w:bookmarkEnd w:id="123"/>
    <w:bookmarkEnd w:id="124"/>
    <w:bookmarkEnd w:id="125"/>
    <w:p w14:paraId="70060563">
      <w:pPr>
        <w:snapToGrid/>
        <w:spacing w:beforeLines="0" w:afterLines="0" w:line="360" w:lineRule="auto"/>
        <w:ind w:firstLine="420" w:firstLineChars="200"/>
        <w:rPr>
          <w:rFonts w:ascii="宋体" w:hAnsi="宋体" w:cs="宋体"/>
          <w:szCs w:val="21"/>
          <w:highlight w:val="none"/>
        </w:rPr>
      </w:pPr>
    </w:p>
    <w:p w14:paraId="5F82DEAF">
      <w:pPr>
        <w:snapToGrid w:val="0"/>
        <w:spacing w:line="360" w:lineRule="auto"/>
        <w:ind w:firstLine="420" w:firstLineChars="200"/>
        <w:rPr>
          <w:rFonts w:hint="eastAsia" w:ascii="宋体" w:hAnsi="宋体" w:cs="宋体"/>
          <w:szCs w:val="21"/>
          <w:highlight w:val="none"/>
        </w:rPr>
      </w:pPr>
    </w:p>
    <w:tbl>
      <w:tblPr>
        <w:tblStyle w:val="24"/>
        <w:tblW w:w="8745" w:type="dxa"/>
        <w:jc w:val="center"/>
        <w:tblLayout w:type="autofit"/>
        <w:tblCellMar>
          <w:top w:w="0" w:type="dxa"/>
          <w:left w:w="108" w:type="dxa"/>
          <w:bottom w:w="0" w:type="dxa"/>
          <w:right w:w="108" w:type="dxa"/>
        </w:tblCellMar>
      </w:tblPr>
      <w:tblGrid>
        <w:gridCol w:w="4144"/>
        <w:gridCol w:w="240"/>
        <w:gridCol w:w="240"/>
        <w:gridCol w:w="4121"/>
      </w:tblGrid>
      <w:tr w14:paraId="145275FC">
        <w:tblPrEx>
          <w:tblCellMar>
            <w:top w:w="0" w:type="dxa"/>
            <w:left w:w="108" w:type="dxa"/>
            <w:bottom w:w="0" w:type="dxa"/>
            <w:right w:w="108" w:type="dxa"/>
          </w:tblCellMar>
        </w:tblPrEx>
        <w:trPr>
          <w:trHeight w:val="1662" w:hRule="atLeast"/>
          <w:jc w:val="center"/>
        </w:trPr>
        <w:tc>
          <w:tcPr>
            <w:tcW w:w="4144" w:type="dxa"/>
            <w:noWrap w:val="0"/>
            <w:vAlign w:val="top"/>
          </w:tcPr>
          <w:p w14:paraId="6B549D8E">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甲方：广西壮族自治区港航发展中心（盖章）</w:t>
            </w:r>
          </w:p>
        </w:tc>
        <w:tc>
          <w:tcPr>
            <w:tcW w:w="240" w:type="dxa"/>
            <w:noWrap w:val="0"/>
            <w:vAlign w:val="top"/>
          </w:tcPr>
          <w:p w14:paraId="57410BBC">
            <w:pPr>
              <w:pStyle w:val="5"/>
              <w:spacing w:line="360" w:lineRule="auto"/>
              <w:rPr>
                <w:rFonts w:hint="eastAsia" w:ascii="宋体" w:hAnsi="宋体" w:cs="宋体"/>
                <w:szCs w:val="21"/>
                <w:highlight w:val="none"/>
              </w:rPr>
            </w:pPr>
          </w:p>
        </w:tc>
        <w:tc>
          <w:tcPr>
            <w:tcW w:w="240" w:type="dxa"/>
            <w:noWrap w:val="0"/>
            <w:vAlign w:val="top"/>
          </w:tcPr>
          <w:p w14:paraId="5FECFB34">
            <w:pPr>
              <w:pStyle w:val="5"/>
              <w:spacing w:line="360" w:lineRule="auto"/>
              <w:rPr>
                <w:rFonts w:hint="eastAsia" w:ascii="宋体" w:hAnsi="宋体" w:cs="宋体"/>
                <w:szCs w:val="21"/>
                <w:highlight w:val="none"/>
              </w:rPr>
            </w:pPr>
          </w:p>
        </w:tc>
        <w:tc>
          <w:tcPr>
            <w:tcW w:w="4121" w:type="dxa"/>
            <w:noWrap w:val="0"/>
            <w:vAlign w:val="top"/>
          </w:tcPr>
          <w:p w14:paraId="2A7826B8">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乙方：</w:t>
            </w:r>
            <w:r>
              <w:rPr>
                <w:rFonts w:hint="eastAsia" w:ascii="宋体" w:hAnsi="宋体" w:cs="宋体"/>
                <w:szCs w:val="21"/>
                <w:highlight w:val="none"/>
                <w:u w:val="single"/>
              </w:rPr>
              <w:t xml:space="preserve">                     </w:t>
            </w:r>
            <w:r>
              <w:rPr>
                <w:rFonts w:hint="eastAsia" w:ascii="宋体" w:hAnsi="宋体" w:cs="宋体"/>
                <w:szCs w:val="21"/>
                <w:highlight w:val="none"/>
              </w:rPr>
              <w:t>（盖章）</w:t>
            </w:r>
          </w:p>
        </w:tc>
      </w:tr>
      <w:tr w14:paraId="20B4A0E5">
        <w:tblPrEx>
          <w:tblCellMar>
            <w:top w:w="0" w:type="dxa"/>
            <w:left w:w="108" w:type="dxa"/>
            <w:bottom w:w="0" w:type="dxa"/>
            <w:right w:w="108" w:type="dxa"/>
          </w:tblCellMar>
        </w:tblPrEx>
        <w:trPr>
          <w:jc w:val="center"/>
        </w:trPr>
        <w:tc>
          <w:tcPr>
            <w:tcW w:w="4144" w:type="dxa"/>
            <w:noWrap w:val="0"/>
            <w:vAlign w:val="top"/>
          </w:tcPr>
          <w:p w14:paraId="16D51882">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法定代表人</w:t>
            </w:r>
          </w:p>
        </w:tc>
        <w:tc>
          <w:tcPr>
            <w:tcW w:w="240" w:type="dxa"/>
            <w:noWrap w:val="0"/>
            <w:vAlign w:val="top"/>
          </w:tcPr>
          <w:p w14:paraId="2EB75BE3">
            <w:pPr>
              <w:pStyle w:val="5"/>
              <w:spacing w:line="360" w:lineRule="auto"/>
              <w:rPr>
                <w:rFonts w:hint="eastAsia" w:ascii="宋体" w:hAnsi="宋体" w:cs="宋体"/>
                <w:szCs w:val="21"/>
                <w:highlight w:val="none"/>
              </w:rPr>
            </w:pPr>
          </w:p>
        </w:tc>
        <w:tc>
          <w:tcPr>
            <w:tcW w:w="240" w:type="dxa"/>
            <w:noWrap w:val="0"/>
            <w:vAlign w:val="top"/>
          </w:tcPr>
          <w:p w14:paraId="1D8178C4">
            <w:pPr>
              <w:pStyle w:val="5"/>
              <w:spacing w:line="360" w:lineRule="auto"/>
              <w:rPr>
                <w:rFonts w:hint="eastAsia" w:ascii="宋体" w:hAnsi="宋体" w:cs="宋体"/>
                <w:szCs w:val="21"/>
                <w:highlight w:val="none"/>
              </w:rPr>
            </w:pPr>
          </w:p>
        </w:tc>
        <w:tc>
          <w:tcPr>
            <w:tcW w:w="4121" w:type="dxa"/>
            <w:noWrap w:val="0"/>
            <w:vAlign w:val="top"/>
          </w:tcPr>
          <w:p w14:paraId="1E0F78FC">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法定代表人</w:t>
            </w:r>
          </w:p>
        </w:tc>
      </w:tr>
      <w:tr w14:paraId="6CF81552">
        <w:tblPrEx>
          <w:tblCellMar>
            <w:top w:w="0" w:type="dxa"/>
            <w:left w:w="108" w:type="dxa"/>
            <w:bottom w:w="0" w:type="dxa"/>
            <w:right w:w="108" w:type="dxa"/>
          </w:tblCellMar>
        </w:tblPrEx>
        <w:trPr>
          <w:jc w:val="center"/>
        </w:trPr>
        <w:tc>
          <w:tcPr>
            <w:tcW w:w="4144" w:type="dxa"/>
            <w:noWrap w:val="0"/>
            <w:vAlign w:val="top"/>
          </w:tcPr>
          <w:p w14:paraId="47AC57B3">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或其委托代理人：</w:t>
            </w:r>
          </w:p>
          <w:p w14:paraId="2DDA6418">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（签章）</w:t>
            </w:r>
          </w:p>
        </w:tc>
        <w:tc>
          <w:tcPr>
            <w:tcW w:w="240" w:type="dxa"/>
            <w:noWrap w:val="0"/>
            <w:vAlign w:val="top"/>
          </w:tcPr>
          <w:p w14:paraId="06E93BB7">
            <w:pPr>
              <w:pStyle w:val="5"/>
              <w:spacing w:line="360" w:lineRule="auto"/>
              <w:rPr>
                <w:rFonts w:hint="eastAsia" w:ascii="宋体" w:hAnsi="宋体" w:cs="宋体"/>
                <w:szCs w:val="21"/>
                <w:highlight w:val="none"/>
              </w:rPr>
            </w:pPr>
          </w:p>
        </w:tc>
        <w:tc>
          <w:tcPr>
            <w:tcW w:w="240" w:type="dxa"/>
            <w:noWrap w:val="0"/>
            <w:vAlign w:val="top"/>
          </w:tcPr>
          <w:p w14:paraId="17236DB5">
            <w:pPr>
              <w:pStyle w:val="5"/>
              <w:spacing w:line="360" w:lineRule="auto"/>
              <w:rPr>
                <w:rFonts w:hint="eastAsia" w:ascii="宋体" w:hAnsi="宋体" w:cs="宋体"/>
                <w:szCs w:val="21"/>
                <w:highlight w:val="none"/>
              </w:rPr>
            </w:pPr>
          </w:p>
        </w:tc>
        <w:tc>
          <w:tcPr>
            <w:tcW w:w="4121" w:type="dxa"/>
            <w:noWrap w:val="0"/>
            <w:vAlign w:val="top"/>
          </w:tcPr>
          <w:p w14:paraId="223A7D76">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或其委托代理人：</w:t>
            </w:r>
          </w:p>
          <w:p w14:paraId="7EB7D915">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（签章）</w:t>
            </w:r>
          </w:p>
        </w:tc>
      </w:tr>
      <w:tr w14:paraId="00C01455">
        <w:tblPrEx>
          <w:tblCellMar>
            <w:top w:w="0" w:type="dxa"/>
            <w:left w:w="108" w:type="dxa"/>
            <w:bottom w:w="0" w:type="dxa"/>
            <w:right w:w="108" w:type="dxa"/>
          </w:tblCellMar>
        </w:tblPrEx>
        <w:trPr>
          <w:jc w:val="center"/>
        </w:trPr>
        <w:tc>
          <w:tcPr>
            <w:tcW w:w="4144" w:type="dxa"/>
            <w:noWrap w:val="0"/>
            <w:vAlign w:val="top"/>
          </w:tcPr>
          <w:p w14:paraId="2C1BE843">
            <w:pPr>
              <w:pStyle w:val="5"/>
              <w:spacing w:line="360" w:lineRule="auto"/>
              <w:ind w:firstLine="0"/>
              <w:rPr>
                <w:rFonts w:hint="eastAsia" w:ascii="宋体" w:hAnsi="宋体" w:cs="宋体"/>
                <w:szCs w:val="21"/>
                <w:highlight w:val="none"/>
              </w:rPr>
            </w:pPr>
          </w:p>
        </w:tc>
        <w:tc>
          <w:tcPr>
            <w:tcW w:w="240" w:type="dxa"/>
            <w:noWrap w:val="0"/>
            <w:vAlign w:val="top"/>
          </w:tcPr>
          <w:p w14:paraId="7301A709">
            <w:pPr>
              <w:pStyle w:val="5"/>
              <w:spacing w:line="360" w:lineRule="auto"/>
              <w:rPr>
                <w:rFonts w:hint="eastAsia" w:ascii="宋体" w:hAnsi="宋体" w:cs="宋体"/>
                <w:szCs w:val="21"/>
                <w:highlight w:val="none"/>
              </w:rPr>
            </w:pPr>
          </w:p>
        </w:tc>
        <w:tc>
          <w:tcPr>
            <w:tcW w:w="240" w:type="dxa"/>
            <w:noWrap w:val="0"/>
            <w:vAlign w:val="top"/>
          </w:tcPr>
          <w:p w14:paraId="51E53932">
            <w:pPr>
              <w:pStyle w:val="5"/>
              <w:spacing w:line="360" w:lineRule="auto"/>
              <w:rPr>
                <w:rFonts w:hint="eastAsia" w:ascii="宋体" w:hAnsi="宋体" w:cs="宋体"/>
                <w:szCs w:val="21"/>
                <w:highlight w:val="none"/>
              </w:rPr>
            </w:pPr>
          </w:p>
        </w:tc>
        <w:tc>
          <w:tcPr>
            <w:tcW w:w="4121" w:type="dxa"/>
            <w:noWrap w:val="0"/>
            <w:vAlign w:val="top"/>
          </w:tcPr>
          <w:p w14:paraId="293FB3EE">
            <w:pPr>
              <w:pStyle w:val="5"/>
              <w:spacing w:line="360" w:lineRule="auto"/>
              <w:ind w:firstLine="0"/>
              <w:rPr>
                <w:rFonts w:ascii="宋体" w:hAnsi="宋体" w:cs="宋体"/>
                <w:szCs w:val="21"/>
                <w:highlight w:val="none"/>
              </w:rPr>
            </w:pPr>
            <w:r>
              <w:rPr>
                <w:rFonts w:hint="eastAsia" w:ascii="宋体" w:hAnsi="宋体" w:cs="宋体"/>
                <w:szCs w:val="21"/>
                <w:highlight w:val="none"/>
              </w:rPr>
              <w:t>收款单位全称：</w:t>
            </w:r>
            <w:r>
              <w:rPr>
                <w:rFonts w:hint="eastAsia" w:ascii="宋体" w:hAnsi="宋体" w:cs="宋体"/>
                <w:szCs w:val="21"/>
                <w:highlight w:val="none"/>
                <w:u w:val="single"/>
              </w:rPr>
              <w:t xml:space="preserve">              </w:t>
            </w:r>
          </w:p>
        </w:tc>
      </w:tr>
      <w:tr w14:paraId="3D690EA3">
        <w:tblPrEx>
          <w:tblCellMar>
            <w:top w:w="0" w:type="dxa"/>
            <w:left w:w="108" w:type="dxa"/>
            <w:bottom w:w="0" w:type="dxa"/>
            <w:right w:w="108" w:type="dxa"/>
          </w:tblCellMar>
        </w:tblPrEx>
        <w:trPr>
          <w:jc w:val="center"/>
        </w:trPr>
        <w:tc>
          <w:tcPr>
            <w:tcW w:w="4144" w:type="dxa"/>
            <w:noWrap w:val="0"/>
            <w:vAlign w:val="top"/>
          </w:tcPr>
          <w:p w14:paraId="5428348E">
            <w:pPr>
              <w:pStyle w:val="5"/>
              <w:spacing w:line="360" w:lineRule="auto"/>
              <w:ind w:firstLine="0"/>
              <w:rPr>
                <w:rFonts w:hint="eastAsia" w:ascii="宋体" w:hAnsi="宋体" w:cs="宋体"/>
                <w:szCs w:val="21"/>
                <w:highlight w:val="none"/>
              </w:rPr>
            </w:pPr>
          </w:p>
        </w:tc>
        <w:tc>
          <w:tcPr>
            <w:tcW w:w="240" w:type="dxa"/>
            <w:noWrap w:val="0"/>
            <w:vAlign w:val="top"/>
          </w:tcPr>
          <w:p w14:paraId="1504033A">
            <w:pPr>
              <w:pStyle w:val="5"/>
              <w:spacing w:line="360" w:lineRule="auto"/>
              <w:rPr>
                <w:rFonts w:hint="eastAsia" w:ascii="宋体" w:hAnsi="宋体" w:cs="宋体"/>
                <w:szCs w:val="21"/>
                <w:highlight w:val="none"/>
              </w:rPr>
            </w:pPr>
          </w:p>
        </w:tc>
        <w:tc>
          <w:tcPr>
            <w:tcW w:w="240" w:type="dxa"/>
            <w:noWrap w:val="0"/>
            <w:vAlign w:val="top"/>
          </w:tcPr>
          <w:p w14:paraId="0120D6C2">
            <w:pPr>
              <w:pStyle w:val="5"/>
              <w:spacing w:line="360" w:lineRule="auto"/>
              <w:rPr>
                <w:rFonts w:hint="eastAsia" w:ascii="宋体" w:hAnsi="宋体" w:cs="宋体"/>
                <w:szCs w:val="21"/>
                <w:highlight w:val="none"/>
              </w:rPr>
            </w:pPr>
          </w:p>
        </w:tc>
        <w:tc>
          <w:tcPr>
            <w:tcW w:w="4121" w:type="dxa"/>
            <w:noWrap w:val="0"/>
            <w:vAlign w:val="top"/>
          </w:tcPr>
          <w:p w14:paraId="5122A793">
            <w:pPr>
              <w:pStyle w:val="5"/>
              <w:spacing w:line="360" w:lineRule="auto"/>
              <w:ind w:firstLine="0"/>
              <w:rPr>
                <w:rFonts w:ascii="宋体" w:hAnsi="宋体" w:cs="宋体"/>
                <w:szCs w:val="21"/>
                <w:highlight w:val="none"/>
                <w:u w:val="single"/>
              </w:rPr>
            </w:pPr>
            <w:r>
              <w:rPr>
                <w:rFonts w:hint="eastAsia" w:ascii="宋体" w:hAnsi="宋体" w:cs="宋体"/>
                <w:szCs w:val="21"/>
                <w:highlight w:val="none"/>
              </w:rPr>
              <w:t xml:space="preserve">银行账号： </w:t>
            </w:r>
            <w:r>
              <w:rPr>
                <w:rFonts w:hint="eastAsia" w:ascii="宋体" w:hAnsi="宋体" w:cs="宋体"/>
                <w:szCs w:val="21"/>
                <w:highlight w:val="none"/>
                <w:u w:val="single"/>
              </w:rPr>
              <w:t xml:space="preserve">                   </w:t>
            </w:r>
          </w:p>
        </w:tc>
      </w:tr>
      <w:tr w14:paraId="1F305A94">
        <w:tblPrEx>
          <w:tblCellMar>
            <w:top w:w="0" w:type="dxa"/>
            <w:left w:w="108" w:type="dxa"/>
            <w:bottom w:w="0" w:type="dxa"/>
            <w:right w:w="108" w:type="dxa"/>
          </w:tblCellMar>
        </w:tblPrEx>
        <w:trPr>
          <w:jc w:val="center"/>
        </w:trPr>
        <w:tc>
          <w:tcPr>
            <w:tcW w:w="4144" w:type="dxa"/>
            <w:noWrap w:val="0"/>
            <w:vAlign w:val="top"/>
          </w:tcPr>
          <w:p w14:paraId="4D230381">
            <w:pPr>
              <w:pStyle w:val="5"/>
              <w:spacing w:line="360" w:lineRule="auto"/>
              <w:ind w:firstLine="0"/>
              <w:rPr>
                <w:rFonts w:hint="eastAsia" w:ascii="宋体" w:hAnsi="宋体" w:cs="宋体"/>
                <w:szCs w:val="21"/>
                <w:highlight w:val="none"/>
              </w:rPr>
            </w:pPr>
          </w:p>
        </w:tc>
        <w:tc>
          <w:tcPr>
            <w:tcW w:w="240" w:type="dxa"/>
            <w:noWrap w:val="0"/>
            <w:vAlign w:val="top"/>
          </w:tcPr>
          <w:p w14:paraId="752EB975">
            <w:pPr>
              <w:pStyle w:val="5"/>
              <w:spacing w:line="360" w:lineRule="auto"/>
              <w:rPr>
                <w:rFonts w:hint="eastAsia" w:ascii="宋体" w:hAnsi="宋体" w:cs="宋体"/>
                <w:szCs w:val="21"/>
                <w:highlight w:val="none"/>
              </w:rPr>
            </w:pPr>
          </w:p>
        </w:tc>
        <w:tc>
          <w:tcPr>
            <w:tcW w:w="240" w:type="dxa"/>
            <w:noWrap w:val="0"/>
            <w:vAlign w:val="top"/>
          </w:tcPr>
          <w:p w14:paraId="24C96263">
            <w:pPr>
              <w:pStyle w:val="5"/>
              <w:spacing w:line="360" w:lineRule="auto"/>
              <w:rPr>
                <w:rFonts w:hint="eastAsia" w:ascii="宋体" w:hAnsi="宋体" w:cs="宋体"/>
                <w:szCs w:val="21"/>
                <w:highlight w:val="none"/>
              </w:rPr>
            </w:pPr>
          </w:p>
        </w:tc>
        <w:tc>
          <w:tcPr>
            <w:tcW w:w="4121" w:type="dxa"/>
            <w:noWrap w:val="0"/>
            <w:vAlign w:val="top"/>
          </w:tcPr>
          <w:p w14:paraId="2C973BAC">
            <w:pPr>
              <w:pStyle w:val="5"/>
              <w:spacing w:line="360" w:lineRule="auto"/>
              <w:ind w:firstLine="0"/>
              <w:rPr>
                <w:rFonts w:ascii="宋体" w:hAnsi="宋体" w:cs="宋体"/>
                <w:szCs w:val="21"/>
                <w:highlight w:val="none"/>
              </w:rPr>
            </w:pPr>
            <w:r>
              <w:rPr>
                <w:rFonts w:hint="eastAsia" w:ascii="宋体" w:hAnsi="宋体" w:cs="宋体"/>
                <w:szCs w:val="21"/>
                <w:highlight w:val="none"/>
              </w:rPr>
              <w:t>开户行：</w:t>
            </w:r>
            <w:r>
              <w:rPr>
                <w:rFonts w:hint="eastAsia" w:ascii="宋体" w:hAnsi="宋体" w:cs="宋体"/>
                <w:szCs w:val="21"/>
                <w:highlight w:val="none"/>
                <w:u w:val="single"/>
              </w:rPr>
              <w:t xml:space="preserve">                     </w:t>
            </w:r>
          </w:p>
        </w:tc>
      </w:tr>
      <w:tr w14:paraId="742ED007">
        <w:tblPrEx>
          <w:tblCellMar>
            <w:top w:w="0" w:type="dxa"/>
            <w:left w:w="108" w:type="dxa"/>
            <w:bottom w:w="0" w:type="dxa"/>
            <w:right w:w="108" w:type="dxa"/>
          </w:tblCellMar>
        </w:tblPrEx>
        <w:trPr>
          <w:jc w:val="center"/>
        </w:trPr>
        <w:tc>
          <w:tcPr>
            <w:tcW w:w="4144" w:type="dxa"/>
            <w:noWrap w:val="0"/>
            <w:vAlign w:val="top"/>
          </w:tcPr>
          <w:p w14:paraId="2B8DA4A6">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地址：南宁市百花岭路6号</w:t>
            </w:r>
          </w:p>
        </w:tc>
        <w:tc>
          <w:tcPr>
            <w:tcW w:w="240" w:type="dxa"/>
            <w:noWrap w:val="0"/>
            <w:vAlign w:val="top"/>
          </w:tcPr>
          <w:p w14:paraId="4DD79088">
            <w:pPr>
              <w:pStyle w:val="5"/>
              <w:spacing w:line="360" w:lineRule="auto"/>
              <w:rPr>
                <w:rFonts w:hint="eastAsia" w:ascii="宋体" w:hAnsi="宋体" w:cs="宋体"/>
                <w:szCs w:val="21"/>
                <w:highlight w:val="none"/>
              </w:rPr>
            </w:pPr>
          </w:p>
        </w:tc>
        <w:tc>
          <w:tcPr>
            <w:tcW w:w="240" w:type="dxa"/>
            <w:noWrap w:val="0"/>
            <w:vAlign w:val="top"/>
          </w:tcPr>
          <w:p w14:paraId="2BA864A8">
            <w:pPr>
              <w:pStyle w:val="5"/>
              <w:spacing w:line="360" w:lineRule="auto"/>
              <w:rPr>
                <w:rFonts w:hint="eastAsia" w:ascii="宋体" w:hAnsi="宋体" w:cs="宋体"/>
                <w:szCs w:val="21"/>
                <w:highlight w:val="none"/>
              </w:rPr>
            </w:pPr>
          </w:p>
        </w:tc>
        <w:tc>
          <w:tcPr>
            <w:tcW w:w="4121" w:type="dxa"/>
            <w:noWrap w:val="0"/>
            <w:vAlign w:val="top"/>
          </w:tcPr>
          <w:p w14:paraId="6BADCA1D">
            <w:pPr>
              <w:pStyle w:val="5"/>
              <w:spacing w:line="360" w:lineRule="auto"/>
              <w:ind w:firstLine="0"/>
              <w:rPr>
                <w:rFonts w:ascii="宋体" w:hAnsi="宋体" w:cs="宋体"/>
                <w:szCs w:val="21"/>
                <w:highlight w:val="none"/>
              </w:rPr>
            </w:pPr>
            <w:r>
              <w:rPr>
                <w:rFonts w:hint="eastAsia" w:ascii="宋体" w:hAnsi="宋体" w:cs="宋体"/>
                <w:szCs w:val="21"/>
                <w:highlight w:val="none"/>
              </w:rPr>
              <w:t>地址：</w:t>
            </w:r>
            <w:r>
              <w:rPr>
                <w:rFonts w:hint="eastAsia" w:ascii="宋体" w:hAnsi="宋体" w:cs="宋体"/>
                <w:szCs w:val="21"/>
                <w:highlight w:val="none"/>
                <w:u w:val="single"/>
              </w:rPr>
              <w:t xml:space="preserve">                            </w:t>
            </w:r>
          </w:p>
        </w:tc>
      </w:tr>
      <w:tr w14:paraId="423C84DA">
        <w:tblPrEx>
          <w:tblCellMar>
            <w:top w:w="0" w:type="dxa"/>
            <w:left w:w="108" w:type="dxa"/>
            <w:bottom w:w="0" w:type="dxa"/>
            <w:right w:w="108" w:type="dxa"/>
          </w:tblCellMar>
        </w:tblPrEx>
        <w:trPr>
          <w:jc w:val="center"/>
        </w:trPr>
        <w:tc>
          <w:tcPr>
            <w:tcW w:w="4144" w:type="dxa"/>
            <w:noWrap w:val="0"/>
            <w:vAlign w:val="top"/>
          </w:tcPr>
          <w:p w14:paraId="0E3A5F65">
            <w:pPr>
              <w:pStyle w:val="5"/>
              <w:spacing w:line="360" w:lineRule="auto"/>
              <w:ind w:firstLine="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0771-2115319</w:t>
            </w:r>
          </w:p>
        </w:tc>
        <w:tc>
          <w:tcPr>
            <w:tcW w:w="240" w:type="dxa"/>
            <w:noWrap w:val="0"/>
            <w:vAlign w:val="top"/>
          </w:tcPr>
          <w:p w14:paraId="6D8B0E7C">
            <w:pPr>
              <w:pStyle w:val="5"/>
              <w:spacing w:line="360" w:lineRule="auto"/>
              <w:rPr>
                <w:rFonts w:hint="eastAsia" w:ascii="宋体" w:hAnsi="宋体" w:cs="宋体"/>
                <w:szCs w:val="21"/>
                <w:highlight w:val="none"/>
              </w:rPr>
            </w:pPr>
          </w:p>
        </w:tc>
        <w:tc>
          <w:tcPr>
            <w:tcW w:w="240" w:type="dxa"/>
            <w:noWrap w:val="0"/>
            <w:vAlign w:val="top"/>
          </w:tcPr>
          <w:p w14:paraId="1FC8B01A">
            <w:pPr>
              <w:pStyle w:val="5"/>
              <w:spacing w:line="360" w:lineRule="auto"/>
              <w:rPr>
                <w:rFonts w:hint="eastAsia" w:ascii="宋体" w:hAnsi="宋体" w:cs="宋体"/>
                <w:szCs w:val="21"/>
                <w:highlight w:val="none"/>
              </w:rPr>
            </w:pPr>
          </w:p>
        </w:tc>
        <w:tc>
          <w:tcPr>
            <w:tcW w:w="4121" w:type="dxa"/>
            <w:noWrap w:val="0"/>
            <w:vAlign w:val="top"/>
          </w:tcPr>
          <w:p w14:paraId="0094CECD">
            <w:pPr>
              <w:pStyle w:val="5"/>
              <w:spacing w:line="360" w:lineRule="auto"/>
              <w:ind w:firstLine="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 xml:space="preserve">                  </w:t>
            </w:r>
          </w:p>
        </w:tc>
      </w:tr>
      <w:tr w14:paraId="1A90BCDA">
        <w:tblPrEx>
          <w:tblCellMar>
            <w:top w:w="0" w:type="dxa"/>
            <w:left w:w="108" w:type="dxa"/>
            <w:bottom w:w="0" w:type="dxa"/>
            <w:right w:w="108" w:type="dxa"/>
          </w:tblCellMar>
        </w:tblPrEx>
        <w:trPr>
          <w:jc w:val="center"/>
        </w:trPr>
        <w:tc>
          <w:tcPr>
            <w:tcW w:w="4144" w:type="dxa"/>
            <w:noWrap w:val="0"/>
            <w:vAlign w:val="top"/>
          </w:tcPr>
          <w:p w14:paraId="5CEB005D">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日期：</w:t>
            </w:r>
            <w:r>
              <w:rPr>
                <w:rFonts w:hint="eastAsia" w:ascii="宋体" w:hAnsi="宋体" w:cs="宋体"/>
                <w:szCs w:val="21"/>
                <w:highlight w:val="none"/>
                <w:u w:val="single"/>
              </w:rPr>
              <w:t>2025</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tc>
        <w:tc>
          <w:tcPr>
            <w:tcW w:w="240" w:type="dxa"/>
            <w:noWrap w:val="0"/>
            <w:vAlign w:val="top"/>
          </w:tcPr>
          <w:p w14:paraId="03DE3DA2">
            <w:pPr>
              <w:pStyle w:val="5"/>
              <w:spacing w:line="360" w:lineRule="auto"/>
              <w:rPr>
                <w:rFonts w:hint="eastAsia" w:ascii="宋体" w:hAnsi="宋体" w:cs="宋体"/>
                <w:szCs w:val="21"/>
                <w:highlight w:val="none"/>
              </w:rPr>
            </w:pPr>
          </w:p>
        </w:tc>
        <w:tc>
          <w:tcPr>
            <w:tcW w:w="240" w:type="dxa"/>
            <w:noWrap w:val="0"/>
            <w:vAlign w:val="top"/>
          </w:tcPr>
          <w:p w14:paraId="6A257CBF">
            <w:pPr>
              <w:pStyle w:val="5"/>
              <w:spacing w:line="360" w:lineRule="auto"/>
              <w:rPr>
                <w:rFonts w:hint="eastAsia" w:ascii="宋体" w:hAnsi="宋体" w:cs="宋体"/>
                <w:szCs w:val="21"/>
                <w:highlight w:val="none"/>
              </w:rPr>
            </w:pPr>
          </w:p>
        </w:tc>
        <w:tc>
          <w:tcPr>
            <w:tcW w:w="4121" w:type="dxa"/>
            <w:noWrap w:val="0"/>
            <w:vAlign w:val="top"/>
          </w:tcPr>
          <w:p w14:paraId="7C3A5F92">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日期</w:t>
            </w:r>
            <w:r>
              <w:rPr>
                <w:rFonts w:hint="eastAsia" w:ascii="宋体" w:hAnsi="宋体" w:cs="宋体"/>
                <w:szCs w:val="21"/>
                <w:highlight w:val="none"/>
                <w:u w:val="single"/>
              </w:rPr>
              <w:t>2025</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tc>
      </w:tr>
    </w:tbl>
    <w:p w14:paraId="17F45C25">
      <w:pPr>
        <w:snapToGrid w:val="0"/>
        <w:spacing w:line="360" w:lineRule="auto"/>
        <w:rPr>
          <w:rFonts w:hint="eastAsia" w:ascii="宋体" w:hAnsi="宋体" w:cs="宋体"/>
          <w:szCs w:val="21"/>
          <w:highlight w:val="none"/>
        </w:rPr>
      </w:pPr>
    </w:p>
    <w:p w14:paraId="7DEDF467">
      <w:pPr>
        <w:snapToGrid w:val="0"/>
        <w:spacing w:line="360" w:lineRule="auto"/>
        <w:rPr>
          <w:rFonts w:hint="eastAsia" w:ascii="宋体" w:hAnsi="宋体" w:cs="宋体"/>
          <w:szCs w:val="21"/>
          <w:highlight w:val="none"/>
        </w:rPr>
      </w:pPr>
    </w:p>
    <w:p w14:paraId="28E791DC">
      <w:pPr>
        <w:snapToGrid w:val="0"/>
        <w:spacing w:line="360" w:lineRule="auto"/>
        <w:rPr>
          <w:rFonts w:hint="eastAsia" w:ascii="宋体" w:hAnsi="宋体" w:cs="宋体"/>
          <w:bCs/>
          <w:szCs w:val="21"/>
          <w:highlight w:val="none"/>
        </w:rPr>
      </w:pPr>
    </w:p>
    <w:p w14:paraId="30CB7B2C">
      <w:pPr>
        <w:rPr>
          <w:rFonts w:hint="eastAsia"/>
          <w:highlight w:val="none"/>
        </w:rPr>
      </w:pPr>
      <w:bookmarkStart w:id="128" w:name="_Toc20065"/>
    </w:p>
    <w:p w14:paraId="2338C07C">
      <w:pPr>
        <w:rPr>
          <w:rFonts w:hint="eastAsia"/>
          <w:highlight w:val="none"/>
        </w:rPr>
      </w:pPr>
    </w:p>
    <w:p w14:paraId="07E925BD">
      <w:pPr>
        <w:rPr>
          <w:rFonts w:hint="eastAsia"/>
          <w:highlight w:val="none"/>
        </w:rPr>
      </w:pPr>
    </w:p>
    <w:p w14:paraId="549064ED">
      <w:pPr>
        <w:rPr>
          <w:rFonts w:hint="eastAsia"/>
          <w:highlight w:val="none"/>
        </w:rPr>
      </w:pPr>
      <w:r>
        <w:rPr>
          <w:rFonts w:hint="eastAsia"/>
          <w:highlight w:val="none"/>
        </w:rPr>
        <w:br w:type="page"/>
      </w:r>
    </w:p>
    <w:p w14:paraId="0989B334">
      <w:pPr>
        <w:spacing w:line="360" w:lineRule="auto"/>
        <w:jc w:val="left"/>
        <w:outlineLvl w:val="1"/>
        <w:rPr>
          <w:rFonts w:hint="eastAsia" w:ascii="宋体" w:hAnsi="宋体" w:cs="宋体"/>
          <w:szCs w:val="21"/>
          <w:highlight w:val="none"/>
        </w:rPr>
      </w:pPr>
      <w:bookmarkStart w:id="129" w:name="_Toc15010"/>
      <w:bookmarkStart w:id="130" w:name="_Toc8597"/>
      <w:bookmarkStart w:id="131" w:name="_Toc13560"/>
      <w:bookmarkStart w:id="132" w:name="_Toc32217"/>
      <w:bookmarkStart w:id="133" w:name="_Toc26667"/>
      <w:bookmarkStart w:id="134" w:name="_Toc5217"/>
      <w:bookmarkStart w:id="135" w:name="_Toc20487"/>
      <w:bookmarkStart w:id="136" w:name="_Toc89866150"/>
      <w:bookmarkStart w:id="137" w:name="_Toc38903738"/>
      <w:bookmarkStart w:id="138" w:name="_Toc20040"/>
      <w:bookmarkStart w:id="139" w:name="_Toc17013"/>
      <w:bookmarkStart w:id="140" w:name="_Toc26301"/>
      <w:r>
        <w:rPr>
          <w:rFonts w:hint="eastAsia" w:ascii="宋体" w:hAnsi="宋体" w:cs="宋体"/>
          <w:szCs w:val="21"/>
          <w:highlight w:val="none"/>
        </w:rPr>
        <w:t>附件  廉政合同</w:t>
      </w:r>
      <w:bookmarkEnd w:id="128"/>
      <w:bookmarkEnd w:id="129"/>
      <w:bookmarkEnd w:id="130"/>
      <w:bookmarkEnd w:id="131"/>
      <w:bookmarkEnd w:id="132"/>
      <w:bookmarkEnd w:id="133"/>
      <w:bookmarkEnd w:id="134"/>
      <w:bookmarkEnd w:id="135"/>
      <w:bookmarkEnd w:id="136"/>
      <w:bookmarkEnd w:id="137"/>
      <w:bookmarkEnd w:id="138"/>
      <w:bookmarkEnd w:id="139"/>
      <w:bookmarkEnd w:id="140"/>
    </w:p>
    <w:p w14:paraId="1736E613">
      <w:pPr>
        <w:snapToGrid w:val="0"/>
        <w:spacing w:line="360" w:lineRule="auto"/>
        <w:jc w:val="center"/>
        <w:rPr>
          <w:rFonts w:hint="eastAsia" w:ascii="宋体" w:hAnsi="宋体" w:cs="宋体"/>
          <w:b/>
          <w:szCs w:val="21"/>
          <w:highlight w:val="none"/>
        </w:rPr>
      </w:pPr>
      <w:r>
        <w:rPr>
          <w:rFonts w:hint="eastAsia" w:ascii="宋体" w:hAnsi="宋体" w:cs="宋体"/>
          <w:b/>
          <w:szCs w:val="21"/>
          <w:highlight w:val="none"/>
        </w:rPr>
        <w:t>廉政合同</w:t>
      </w:r>
    </w:p>
    <w:p w14:paraId="135A5514">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 xml:space="preserve">根据《关于在交通基础设施建设中加强廉政建设的若干意见》以及有关工程建设、廉政建设的规定，为做好工程建设中的党风廉政建设，保证工程建设高效优质，保证建设资金的安全和有效使用以及投资效益， </w:t>
      </w:r>
      <w:r>
        <w:rPr>
          <w:rFonts w:hint="eastAsia" w:ascii="宋体" w:hAnsi="宋体" w:cs="宋体"/>
          <w:szCs w:val="21"/>
          <w:highlight w:val="none"/>
          <w:u w:val="single"/>
        </w:rPr>
        <w:t xml:space="preserve"> 广西壮族自治区港航发展中心 </w:t>
      </w:r>
      <w:r>
        <w:rPr>
          <w:rFonts w:hint="eastAsia" w:ascii="宋体" w:hAnsi="宋体" w:cs="宋体"/>
          <w:szCs w:val="21"/>
          <w:highlight w:val="none"/>
        </w:rPr>
        <w:t>（以下简称:甲方（发包人））为一方与另一方</w:t>
      </w:r>
      <w:r>
        <w:rPr>
          <w:rFonts w:hint="eastAsia" w:ascii="宋体" w:hAnsi="宋体" w:cs="宋体"/>
          <w:szCs w:val="21"/>
          <w:highlight w:val="none"/>
          <w:u w:val="single"/>
        </w:rPr>
        <w:t xml:space="preserve">  全称    </w:t>
      </w:r>
      <w:r>
        <w:rPr>
          <w:rFonts w:hint="eastAsia" w:ascii="宋体" w:hAnsi="宋体" w:cs="宋体"/>
          <w:szCs w:val="21"/>
          <w:highlight w:val="none"/>
        </w:rPr>
        <w:t>（以下称乙方（承包人）），特订立如下合同。</w:t>
      </w:r>
    </w:p>
    <w:p w14:paraId="04150AD5">
      <w:pPr>
        <w:pStyle w:val="5"/>
        <w:snapToGrid w:val="0"/>
        <w:spacing w:line="360" w:lineRule="auto"/>
        <w:rPr>
          <w:rFonts w:hint="eastAsia" w:ascii="宋体" w:hAnsi="宋体" w:cs="宋体"/>
          <w:szCs w:val="21"/>
          <w:highlight w:val="none"/>
        </w:rPr>
      </w:pPr>
      <w:r>
        <w:rPr>
          <w:rFonts w:hint="eastAsia" w:ascii="宋体" w:hAnsi="宋体" w:cs="宋体"/>
          <w:szCs w:val="21"/>
          <w:highlight w:val="none"/>
        </w:rPr>
        <w:t>第一条  双方的权利和义务</w:t>
      </w:r>
    </w:p>
    <w:p w14:paraId="6A0907C0">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（一）严格遵守党和国家有关法律法规及交通运输部的有关规定。</w:t>
      </w:r>
    </w:p>
    <w:p w14:paraId="69727F1C">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（二）严格执行</w:t>
      </w:r>
      <w:r>
        <w:rPr>
          <w:rFonts w:hint="eastAsia" w:ascii="宋体" w:hAnsi="宋体" w:cs="宋体"/>
          <w:szCs w:val="21"/>
          <w:highlight w:val="none"/>
          <w:u w:val="single"/>
          <w:lang w:eastAsia="zh-CN"/>
        </w:rPr>
        <w:t>桂江（莲花大桥至桂江河口）航道扩建工程社会稳定风险分析及评估服务</w:t>
      </w:r>
      <w:r>
        <w:rPr>
          <w:rFonts w:hint="eastAsia" w:ascii="宋体" w:hAnsi="宋体" w:cs="宋体"/>
          <w:szCs w:val="21"/>
          <w:highlight w:val="none"/>
          <w:u w:val="single"/>
        </w:rPr>
        <w:t xml:space="preserve"> </w:t>
      </w:r>
      <w:r>
        <w:rPr>
          <w:rFonts w:hint="eastAsia" w:ascii="宋体" w:hAnsi="宋体" w:cs="宋体"/>
          <w:szCs w:val="21"/>
          <w:highlight w:val="none"/>
        </w:rPr>
        <w:t>合同文件，自觉按合同办事。</w:t>
      </w:r>
    </w:p>
    <w:p w14:paraId="4979DD96">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（三）双方的业务活动坚持公开、公正、诚信、透明的原则（除法律认定的商业秘密和合同文件另有规定之外），不得损害国家和集体利益，违反工程建设管理规章制度。</w:t>
      </w:r>
    </w:p>
    <w:p w14:paraId="4EBE96E7">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（四）建立健全廉政制度，开展廉政教育，设立廉政告示牌，公布举报电话，监督并认真查处违法违纪行为。</w:t>
      </w:r>
    </w:p>
    <w:p w14:paraId="606807B4">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（五）发现对方在业务活动中有违反廉政规定的行为，有及时提醒对方纠正的权利和义务。</w:t>
      </w:r>
    </w:p>
    <w:p w14:paraId="62A3560C">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（六）发现对方严重违反本合同义务条款的行为，有向其上级有关部门举报、建议给予处理并要求告知处理结果的权利。</w:t>
      </w:r>
    </w:p>
    <w:p w14:paraId="42621F5A">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第二条 甲方（发包人）的义务</w:t>
      </w:r>
    </w:p>
    <w:p w14:paraId="4A7CF077">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（一）甲方（发包人）及其工作人员不得索要或接受乙方（承包人）的礼金、有价证券和贵重物品，不得让乙方（承包人）报销任何应由甲方（发包人）或个人支付的费用等。</w:t>
      </w:r>
    </w:p>
    <w:p w14:paraId="3620D9E3">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（二）甲方（发包人）工作人员不得参加乙方（承包人）安排的超标准宴请和娱乐活动；不得接受乙方（承包人）提供的通讯工具、交通工具和高档办公用品等。</w:t>
      </w:r>
    </w:p>
    <w:p w14:paraId="6D2C0C61">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（三）甲方（发包人）及其工作人员不得要求或者接受乙方（承包人）为其住房装修、婚丧嫁娶活动、配偶子女的工作安排以及出国出境、旅游等提供方便等。</w:t>
      </w:r>
    </w:p>
    <w:p w14:paraId="0BF41BDF">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四）不准向乙方（承包人）和相关单位介绍或为配偶、子女、亲属参与同甲方（发包人）项目工程合同有关的咨询业务等活动。不得以任何理由要求乙方（承包人）和相关单位在咨询中使用某种产品、材料和设备。</w:t>
      </w:r>
    </w:p>
    <w:p w14:paraId="1DADCDA3">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第三条  乙方（承包人）义务</w:t>
      </w:r>
    </w:p>
    <w:p w14:paraId="305DD4B8">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（一）乙方（承包人）不得以任何理由向甲方（发包人）及其工作人员行贿或馈赠礼金、有价证券、贵重礼品。</w:t>
      </w:r>
    </w:p>
    <w:p w14:paraId="62678212">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（二）乙方（承包人）不得以任何名义为甲方（发包人）及其工作人员报销应由甲方（发包人）单位或个人支付的任何费用。</w:t>
      </w:r>
    </w:p>
    <w:p w14:paraId="13C90749">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（三）乙方（承包人）不得以任何理由安排甲方（发包人）工作人员参加超标准宴请及娱乐活动。</w:t>
      </w:r>
    </w:p>
    <w:p w14:paraId="0BB20F92">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（四）乙方（承包人）不得为甲方（发包人）单位和个人购置或提供通讯工具、交通工具和高档办公用品等。</w:t>
      </w:r>
    </w:p>
    <w:p w14:paraId="747D546A">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第四条  违约责任</w:t>
      </w:r>
    </w:p>
    <w:p w14:paraId="4D21610B">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甲方（发包人）及其工作人员违反本合同第一、二条，按管理权限，依据有关规定给予党纪、政纪处分或组织处理；涉嫌犯罪的，移交司法机关追究刑事责任；给乙方（承包人）单位造成经济损失的，应予以赔偿。</w:t>
      </w:r>
    </w:p>
    <w:p w14:paraId="2F37F7E3">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乙方（承包人）及其工作人员违反本合同第一、三条，按管理权限，依据有关规定给予党纪、政纪处分或组织处理；给甲方（发包人）单位造成经济损失的，应予以赔偿；情节严重的，甲方（发包人）建议交通工程建设主管部门给予乙方（承包人）一至三年内不得进入其主管的交通工程建设市场的处罚。</w:t>
      </w:r>
    </w:p>
    <w:p w14:paraId="29B4A570">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五条：双方约定：本合同由双方或双方上级单位的纪检监察机关负责监督。由甲方（发包人）或甲方（发包人）上级单位的纪检监察机关约请乙方（承包人）或乙方（承包人）上级单位纪检监察机关对本合同履行情况进行检查，提出在本合同规定范围内的裁定意见。</w:t>
      </w:r>
    </w:p>
    <w:p w14:paraId="761D8D54">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第六条  本合同自双方法定代表人或其委托代理人签字并加盖双方单位公章后、且发包人收到承包人的履约担保后生效，至本项目全部成果通过验收后终止。</w:t>
      </w:r>
    </w:p>
    <w:p w14:paraId="31DEC5E5">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第七条  本合同作为</w:t>
      </w:r>
      <w:r>
        <w:rPr>
          <w:rFonts w:hint="eastAsia" w:ascii="宋体" w:hAnsi="宋体" w:cs="宋体"/>
          <w:szCs w:val="21"/>
          <w:highlight w:val="none"/>
          <w:u w:val="single"/>
        </w:rPr>
        <w:t xml:space="preserve"> </w:t>
      </w:r>
      <w:r>
        <w:rPr>
          <w:rFonts w:hint="eastAsia" w:ascii="宋体" w:hAnsi="宋体" w:cs="宋体"/>
          <w:szCs w:val="21"/>
          <w:highlight w:val="none"/>
          <w:u w:val="single"/>
          <w:lang w:eastAsia="zh-CN"/>
        </w:rPr>
        <w:t>桂江（莲花大桥至桂江河口）航道扩建工程社会稳定风险分析及评估服务</w:t>
      </w:r>
      <w:r>
        <w:rPr>
          <w:rFonts w:hint="eastAsia" w:ascii="宋体" w:hAnsi="宋体" w:cs="宋体"/>
          <w:szCs w:val="21"/>
          <w:highlight w:val="none"/>
          <w:u w:val="single"/>
        </w:rPr>
        <w:t xml:space="preserve"> </w:t>
      </w:r>
      <w:r>
        <w:rPr>
          <w:rFonts w:hint="eastAsia" w:ascii="宋体" w:hAnsi="宋体" w:cs="宋体"/>
          <w:szCs w:val="21"/>
          <w:highlight w:val="none"/>
        </w:rPr>
        <w:t>合同的附件，与咨询合同具有同等的法律效力。</w:t>
      </w:r>
    </w:p>
    <w:p w14:paraId="1775D4A7">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第八条  本合同陆份，双方各执叁份。</w:t>
      </w:r>
    </w:p>
    <w:p w14:paraId="10C2D15F">
      <w:pPr>
        <w:pStyle w:val="5"/>
        <w:snapToGrid w:val="0"/>
        <w:spacing w:line="360" w:lineRule="auto"/>
        <w:ind w:firstLine="480"/>
        <w:rPr>
          <w:rFonts w:hint="eastAsia" w:ascii="宋体" w:hAnsi="宋体" w:cs="宋体"/>
          <w:szCs w:val="21"/>
          <w:highlight w:val="none"/>
        </w:rPr>
      </w:pPr>
    </w:p>
    <w:p w14:paraId="67022B9A">
      <w:pPr>
        <w:snapToGrid w:val="0"/>
        <w:spacing w:line="360" w:lineRule="auto"/>
        <w:rPr>
          <w:rFonts w:hint="eastAsia" w:ascii="宋体" w:hAnsi="宋体" w:cs="宋体"/>
          <w:szCs w:val="21"/>
          <w:highlight w:val="none"/>
        </w:rPr>
      </w:pPr>
    </w:p>
    <w:tbl>
      <w:tblPr>
        <w:tblStyle w:val="24"/>
        <w:tblW w:w="8745" w:type="dxa"/>
        <w:jc w:val="center"/>
        <w:tblLayout w:type="autofit"/>
        <w:tblCellMar>
          <w:top w:w="0" w:type="dxa"/>
          <w:left w:w="108" w:type="dxa"/>
          <w:bottom w:w="0" w:type="dxa"/>
          <w:right w:w="108" w:type="dxa"/>
        </w:tblCellMar>
      </w:tblPr>
      <w:tblGrid>
        <w:gridCol w:w="4144"/>
        <w:gridCol w:w="240"/>
        <w:gridCol w:w="240"/>
        <w:gridCol w:w="4121"/>
      </w:tblGrid>
      <w:tr w14:paraId="35C07537">
        <w:tblPrEx>
          <w:tblCellMar>
            <w:top w:w="0" w:type="dxa"/>
            <w:left w:w="108" w:type="dxa"/>
            <w:bottom w:w="0" w:type="dxa"/>
            <w:right w:w="108" w:type="dxa"/>
          </w:tblCellMar>
        </w:tblPrEx>
        <w:trPr>
          <w:trHeight w:val="1662" w:hRule="atLeast"/>
          <w:jc w:val="center"/>
        </w:trPr>
        <w:tc>
          <w:tcPr>
            <w:tcW w:w="4144" w:type="dxa"/>
            <w:noWrap w:val="0"/>
            <w:vAlign w:val="top"/>
          </w:tcPr>
          <w:p w14:paraId="0F8987CA">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甲方：广西壮族自治区港航发展中心（盖章）</w:t>
            </w:r>
          </w:p>
        </w:tc>
        <w:tc>
          <w:tcPr>
            <w:tcW w:w="240" w:type="dxa"/>
            <w:noWrap w:val="0"/>
            <w:vAlign w:val="top"/>
          </w:tcPr>
          <w:p w14:paraId="3A35BE6E">
            <w:pPr>
              <w:pStyle w:val="5"/>
              <w:spacing w:line="360" w:lineRule="auto"/>
              <w:rPr>
                <w:rFonts w:hint="eastAsia" w:ascii="宋体" w:hAnsi="宋体" w:cs="宋体"/>
                <w:szCs w:val="21"/>
                <w:highlight w:val="none"/>
              </w:rPr>
            </w:pPr>
          </w:p>
        </w:tc>
        <w:tc>
          <w:tcPr>
            <w:tcW w:w="240" w:type="dxa"/>
            <w:noWrap w:val="0"/>
            <w:vAlign w:val="top"/>
          </w:tcPr>
          <w:p w14:paraId="6576AC64">
            <w:pPr>
              <w:pStyle w:val="5"/>
              <w:spacing w:line="360" w:lineRule="auto"/>
              <w:rPr>
                <w:rFonts w:hint="eastAsia" w:ascii="宋体" w:hAnsi="宋体" w:cs="宋体"/>
                <w:szCs w:val="21"/>
                <w:highlight w:val="none"/>
              </w:rPr>
            </w:pPr>
          </w:p>
        </w:tc>
        <w:tc>
          <w:tcPr>
            <w:tcW w:w="4121" w:type="dxa"/>
            <w:noWrap w:val="0"/>
            <w:vAlign w:val="top"/>
          </w:tcPr>
          <w:p w14:paraId="1B44A664">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乙方：</w:t>
            </w:r>
            <w:r>
              <w:rPr>
                <w:rFonts w:hint="eastAsia" w:ascii="宋体" w:hAnsi="宋体" w:cs="宋体"/>
                <w:szCs w:val="21"/>
                <w:highlight w:val="none"/>
                <w:u w:val="single"/>
              </w:rPr>
              <w:t xml:space="preserve">                     </w:t>
            </w:r>
            <w:r>
              <w:rPr>
                <w:rFonts w:hint="eastAsia" w:ascii="宋体" w:hAnsi="宋体" w:cs="宋体"/>
                <w:szCs w:val="21"/>
                <w:highlight w:val="none"/>
              </w:rPr>
              <w:t>（盖章）</w:t>
            </w:r>
          </w:p>
        </w:tc>
      </w:tr>
      <w:tr w14:paraId="43F5B93F">
        <w:tblPrEx>
          <w:tblCellMar>
            <w:top w:w="0" w:type="dxa"/>
            <w:left w:w="108" w:type="dxa"/>
            <w:bottom w:w="0" w:type="dxa"/>
            <w:right w:w="108" w:type="dxa"/>
          </w:tblCellMar>
        </w:tblPrEx>
        <w:trPr>
          <w:jc w:val="center"/>
        </w:trPr>
        <w:tc>
          <w:tcPr>
            <w:tcW w:w="4144" w:type="dxa"/>
            <w:noWrap w:val="0"/>
            <w:vAlign w:val="top"/>
          </w:tcPr>
          <w:p w14:paraId="46BC4C18">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法定代表人</w:t>
            </w:r>
          </w:p>
        </w:tc>
        <w:tc>
          <w:tcPr>
            <w:tcW w:w="240" w:type="dxa"/>
            <w:noWrap w:val="0"/>
            <w:vAlign w:val="top"/>
          </w:tcPr>
          <w:p w14:paraId="4DD9F439">
            <w:pPr>
              <w:pStyle w:val="5"/>
              <w:spacing w:line="360" w:lineRule="auto"/>
              <w:rPr>
                <w:rFonts w:hint="eastAsia" w:ascii="宋体" w:hAnsi="宋体" w:cs="宋体"/>
                <w:szCs w:val="21"/>
                <w:highlight w:val="none"/>
              </w:rPr>
            </w:pPr>
          </w:p>
        </w:tc>
        <w:tc>
          <w:tcPr>
            <w:tcW w:w="240" w:type="dxa"/>
            <w:noWrap w:val="0"/>
            <w:vAlign w:val="top"/>
          </w:tcPr>
          <w:p w14:paraId="7D0B9428">
            <w:pPr>
              <w:pStyle w:val="5"/>
              <w:spacing w:line="360" w:lineRule="auto"/>
              <w:rPr>
                <w:rFonts w:hint="eastAsia" w:ascii="宋体" w:hAnsi="宋体" w:cs="宋体"/>
                <w:szCs w:val="21"/>
                <w:highlight w:val="none"/>
              </w:rPr>
            </w:pPr>
          </w:p>
        </w:tc>
        <w:tc>
          <w:tcPr>
            <w:tcW w:w="4121" w:type="dxa"/>
            <w:noWrap w:val="0"/>
            <w:vAlign w:val="top"/>
          </w:tcPr>
          <w:p w14:paraId="34133D3E">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法定代表人</w:t>
            </w:r>
          </w:p>
        </w:tc>
      </w:tr>
      <w:tr w14:paraId="314B72C7">
        <w:tblPrEx>
          <w:tblCellMar>
            <w:top w:w="0" w:type="dxa"/>
            <w:left w:w="108" w:type="dxa"/>
            <w:bottom w:w="0" w:type="dxa"/>
            <w:right w:w="108" w:type="dxa"/>
          </w:tblCellMar>
        </w:tblPrEx>
        <w:trPr>
          <w:jc w:val="center"/>
        </w:trPr>
        <w:tc>
          <w:tcPr>
            <w:tcW w:w="4144" w:type="dxa"/>
            <w:noWrap w:val="0"/>
            <w:vAlign w:val="top"/>
          </w:tcPr>
          <w:p w14:paraId="3F08FF01">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或其委托代理人：</w:t>
            </w:r>
          </w:p>
          <w:p w14:paraId="3847707E">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（签章）</w:t>
            </w:r>
          </w:p>
        </w:tc>
        <w:tc>
          <w:tcPr>
            <w:tcW w:w="240" w:type="dxa"/>
            <w:noWrap w:val="0"/>
            <w:vAlign w:val="top"/>
          </w:tcPr>
          <w:p w14:paraId="7194D8B1">
            <w:pPr>
              <w:pStyle w:val="5"/>
              <w:spacing w:line="360" w:lineRule="auto"/>
              <w:rPr>
                <w:rFonts w:hint="eastAsia" w:ascii="宋体" w:hAnsi="宋体" w:cs="宋体"/>
                <w:szCs w:val="21"/>
                <w:highlight w:val="none"/>
              </w:rPr>
            </w:pPr>
          </w:p>
        </w:tc>
        <w:tc>
          <w:tcPr>
            <w:tcW w:w="240" w:type="dxa"/>
            <w:noWrap w:val="0"/>
            <w:vAlign w:val="top"/>
          </w:tcPr>
          <w:p w14:paraId="1584C109">
            <w:pPr>
              <w:pStyle w:val="5"/>
              <w:spacing w:line="360" w:lineRule="auto"/>
              <w:rPr>
                <w:rFonts w:hint="eastAsia" w:ascii="宋体" w:hAnsi="宋体" w:cs="宋体"/>
                <w:szCs w:val="21"/>
                <w:highlight w:val="none"/>
              </w:rPr>
            </w:pPr>
          </w:p>
        </w:tc>
        <w:tc>
          <w:tcPr>
            <w:tcW w:w="4121" w:type="dxa"/>
            <w:noWrap w:val="0"/>
            <w:vAlign w:val="top"/>
          </w:tcPr>
          <w:p w14:paraId="7935C534">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或其委托代理人：</w:t>
            </w:r>
          </w:p>
          <w:p w14:paraId="0D8D7AEC">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（签章）</w:t>
            </w:r>
          </w:p>
        </w:tc>
      </w:tr>
      <w:tr w14:paraId="42CBA808">
        <w:tblPrEx>
          <w:tblCellMar>
            <w:top w:w="0" w:type="dxa"/>
            <w:left w:w="108" w:type="dxa"/>
            <w:bottom w:w="0" w:type="dxa"/>
            <w:right w:w="108" w:type="dxa"/>
          </w:tblCellMar>
        </w:tblPrEx>
        <w:trPr>
          <w:jc w:val="center"/>
        </w:trPr>
        <w:tc>
          <w:tcPr>
            <w:tcW w:w="4144" w:type="dxa"/>
            <w:noWrap w:val="0"/>
            <w:vAlign w:val="top"/>
          </w:tcPr>
          <w:p w14:paraId="65C2191A">
            <w:pPr>
              <w:pStyle w:val="5"/>
              <w:spacing w:line="360" w:lineRule="auto"/>
              <w:ind w:firstLine="0"/>
              <w:rPr>
                <w:rFonts w:hint="eastAsia" w:ascii="宋体" w:hAnsi="宋体" w:cs="宋体"/>
                <w:szCs w:val="21"/>
                <w:highlight w:val="none"/>
              </w:rPr>
            </w:pPr>
          </w:p>
        </w:tc>
        <w:tc>
          <w:tcPr>
            <w:tcW w:w="240" w:type="dxa"/>
            <w:noWrap w:val="0"/>
            <w:vAlign w:val="top"/>
          </w:tcPr>
          <w:p w14:paraId="0D1BBED2">
            <w:pPr>
              <w:pStyle w:val="5"/>
              <w:spacing w:line="360" w:lineRule="auto"/>
              <w:rPr>
                <w:rFonts w:hint="eastAsia" w:ascii="宋体" w:hAnsi="宋体" w:cs="宋体"/>
                <w:szCs w:val="21"/>
                <w:highlight w:val="none"/>
              </w:rPr>
            </w:pPr>
          </w:p>
        </w:tc>
        <w:tc>
          <w:tcPr>
            <w:tcW w:w="240" w:type="dxa"/>
            <w:noWrap w:val="0"/>
            <w:vAlign w:val="top"/>
          </w:tcPr>
          <w:p w14:paraId="2AD92C49">
            <w:pPr>
              <w:pStyle w:val="5"/>
              <w:spacing w:line="360" w:lineRule="auto"/>
              <w:rPr>
                <w:rFonts w:hint="eastAsia" w:ascii="宋体" w:hAnsi="宋体" w:cs="宋体"/>
                <w:szCs w:val="21"/>
                <w:highlight w:val="none"/>
              </w:rPr>
            </w:pPr>
          </w:p>
        </w:tc>
        <w:tc>
          <w:tcPr>
            <w:tcW w:w="4121" w:type="dxa"/>
            <w:noWrap w:val="0"/>
            <w:vAlign w:val="top"/>
          </w:tcPr>
          <w:p w14:paraId="13201526">
            <w:pPr>
              <w:pStyle w:val="5"/>
              <w:spacing w:line="360" w:lineRule="auto"/>
              <w:ind w:firstLine="0"/>
              <w:rPr>
                <w:rFonts w:ascii="宋体" w:hAnsi="宋体" w:cs="宋体"/>
                <w:szCs w:val="21"/>
                <w:highlight w:val="none"/>
              </w:rPr>
            </w:pPr>
            <w:r>
              <w:rPr>
                <w:rFonts w:hint="eastAsia" w:ascii="宋体" w:hAnsi="宋体" w:cs="宋体"/>
                <w:szCs w:val="21"/>
                <w:highlight w:val="none"/>
              </w:rPr>
              <w:t>收款单位全称：</w:t>
            </w:r>
            <w:r>
              <w:rPr>
                <w:rFonts w:hint="eastAsia" w:ascii="宋体" w:hAnsi="宋体" w:cs="宋体"/>
                <w:szCs w:val="21"/>
                <w:highlight w:val="none"/>
                <w:u w:val="single"/>
              </w:rPr>
              <w:t xml:space="preserve">              </w:t>
            </w:r>
          </w:p>
        </w:tc>
      </w:tr>
      <w:tr w14:paraId="39169C4B">
        <w:tblPrEx>
          <w:tblCellMar>
            <w:top w:w="0" w:type="dxa"/>
            <w:left w:w="108" w:type="dxa"/>
            <w:bottom w:w="0" w:type="dxa"/>
            <w:right w:w="108" w:type="dxa"/>
          </w:tblCellMar>
        </w:tblPrEx>
        <w:trPr>
          <w:jc w:val="center"/>
        </w:trPr>
        <w:tc>
          <w:tcPr>
            <w:tcW w:w="4144" w:type="dxa"/>
            <w:noWrap w:val="0"/>
            <w:vAlign w:val="top"/>
          </w:tcPr>
          <w:p w14:paraId="7E7F46D0">
            <w:pPr>
              <w:pStyle w:val="5"/>
              <w:spacing w:line="360" w:lineRule="auto"/>
              <w:ind w:firstLine="0"/>
              <w:rPr>
                <w:rFonts w:hint="eastAsia" w:ascii="宋体" w:hAnsi="宋体" w:cs="宋体"/>
                <w:szCs w:val="21"/>
                <w:highlight w:val="none"/>
              </w:rPr>
            </w:pPr>
          </w:p>
        </w:tc>
        <w:tc>
          <w:tcPr>
            <w:tcW w:w="240" w:type="dxa"/>
            <w:noWrap w:val="0"/>
            <w:vAlign w:val="top"/>
          </w:tcPr>
          <w:p w14:paraId="66F9C11D">
            <w:pPr>
              <w:pStyle w:val="5"/>
              <w:spacing w:line="360" w:lineRule="auto"/>
              <w:rPr>
                <w:rFonts w:hint="eastAsia" w:ascii="宋体" w:hAnsi="宋体" w:cs="宋体"/>
                <w:szCs w:val="21"/>
                <w:highlight w:val="none"/>
              </w:rPr>
            </w:pPr>
          </w:p>
        </w:tc>
        <w:tc>
          <w:tcPr>
            <w:tcW w:w="240" w:type="dxa"/>
            <w:noWrap w:val="0"/>
            <w:vAlign w:val="top"/>
          </w:tcPr>
          <w:p w14:paraId="3E6DBF67">
            <w:pPr>
              <w:pStyle w:val="5"/>
              <w:spacing w:line="360" w:lineRule="auto"/>
              <w:rPr>
                <w:rFonts w:hint="eastAsia" w:ascii="宋体" w:hAnsi="宋体" w:cs="宋体"/>
                <w:szCs w:val="21"/>
                <w:highlight w:val="none"/>
              </w:rPr>
            </w:pPr>
          </w:p>
        </w:tc>
        <w:tc>
          <w:tcPr>
            <w:tcW w:w="4121" w:type="dxa"/>
            <w:noWrap w:val="0"/>
            <w:vAlign w:val="top"/>
          </w:tcPr>
          <w:p w14:paraId="074D97A7">
            <w:pPr>
              <w:pStyle w:val="5"/>
              <w:spacing w:line="360" w:lineRule="auto"/>
              <w:ind w:firstLine="0"/>
              <w:rPr>
                <w:rFonts w:ascii="宋体" w:hAnsi="宋体" w:cs="宋体"/>
                <w:szCs w:val="21"/>
                <w:highlight w:val="none"/>
                <w:u w:val="single"/>
              </w:rPr>
            </w:pPr>
            <w:r>
              <w:rPr>
                <w:rFonts w:hint="eastAsia" w:ascii="宋体" w:hAnsi="宋体" w:cs="宋体"/>
                <w:szCs w:val="21"/>
                <w:highlight w:val="none"/>
              </w:rPr>
              <w:t xml:space="preserve">银行账号： </w:t>
            </w:r>
            <w:r>
              <w:rPr>
                <w:rFonts w:hint="eastAsia" w:ascii="宋体" w:hAnsi="宋体" w:cs="宋体"/>
                <w:szCs w:val="21"/>
                <w:highlight w:val="none"/>
                <w:u w:val="single"/>
              </w:rPr>
              <w:t xml:space="preserve">                   </w:t>
            </w:r>
          </w:p>
        </w:tc>
      </w:tr>
      <w:tr w14:paraId="3CB82EC9">
        <w:tblPrEx>
          <w:tblCellMar>
            <w:top w:w="0" w:type="dxa"/>
            <w:left w:w="108" w:type="dxa"/>
            <w:bottom w:w="0" w:type="dxa"/>
            <w:right w:w="108" w:type="dxa"/>
          </w:tblCellMar>
        </w:tblPrEx>
        <w:trPr>
          <w:jc w:val="center"/>
        </w:trPr>
        <w:tc>
          <w:tcPr>
            <w:tcW w:w="4144" w:type="dxa"/>
            <w:noWrap w:val="0"/>
            <w:vAlign w:val="top"/>
          </w:tcPr>
          <w:p w14:paraId="39251D55">
            <w:pPr>
              <w:pStyle w:val="5"/>
              <w:spacing w:line="360" w:lineRule="auto"/>
              <w:ind w:firstLine="0"/>
              <w:rPr>
                <w:rFonts w:hint="eastAsia" w:ascii="宋体" w:hAnsi="宋体" w:cs="宋体"/>
                <w:szCs w:val="21"/>
                <w:highlight w:val="none"/>
              </w:rPr>
            </w:pPr>
          </w:p>
        </w:tc>
        <w:tc>
          <w:tcPr>
            <w:tcW w:w="240" w:type="dxa"/>
            <w:noWrap w:val="0"/>
            <w:vAlign w:val="top"/>
          </w:tcPr>
          <w:p w14:paraId="77C4728B">
            <w:pPr>
              <w:pStyle w:val="5"/>
              <w:spacing w:line="360" w:lineRule="auto"/>
              <w:rPr>
                <w:rFonts w:hint="eastAsia" w:ascii="宋体" w:hAnsi="宋体" w:cs="宋体"/>
                <w:szCs w:val="21"/>
                <w:highlight w:val="none"/>
              </w:rPr>
            </w:pPr>
          </w:p>
        </w:tc>
        <w:tc>
          <w:tcPr>
            <w:tcW w:w="240" w:type="dxa"/>
            <w:noWrap w:val="0"/>
            <w:vAlign w:val="top"/>
          </w:tcPr>
          <w:p w14:paraId="11578C98">
            <w:pPr>
              <w:pStyle w:val="5"/>
              <w:spacing w:line="360" w:lineRule="auto"/>
              <w:rPr>
                <w:rFonts w:hint="eastAsia" w:ascii="宋体" w:hAnsi="宋体" w:cs="宋体"/>
                <w:szCs w:val="21"/>
                <w:highlight w:val="none"/>
              </w:rPr>
            </w:pPr>
          </w:p>
        </w:tc>
        <w:tc>
          <w:tcPr>
            <w:tcW w:w="4121" w:type="dxa"/>
            <w:noWrap w:val="0"/>
            <w:vAlign w:val="top"/>
          </w:tcPr>
          <w:p w14:paraId="405FE48F">
            <w:pPr>
              <w:pStyle w:val="5"/>
              <w:spacing w:line="360" w:lineRule="auto"/>
              <w:ind w:firstLine="0"/>
              <w:rPr>
                <w:rFonts w:ascii="宋体" w:hAnsi="宋体" w:cs="宋体"/>
                <w:szCs w:val="21"/>
                <w:highlight w:val="none"/>
              </w:rPr>
            </w:pPr>
            <w:r>
              <w:rPr>
                <w:rFonts w:hint="eastAsia" w:ascii="宋体" w:hAnsi="宋体" w:cs="宋体"/>
                <w:szCs w:val="21"/>
                <w:highlight w:val="none"/>
              </w:rPr>
              <w:t>开户行：</w:t>
            </w:r>
            <w:r>
              <w:rPr>
                <w:rFonts w:hint="eastAsia" w:ascii="宋体" w:hAnsi="宋体" w:cs="宋体"/>
                <w:szCs w:val="21"/>
                <w:highlight w:val="none"/>
                <w:u w:val="single"/>
              </w:rPr>
              <w:t xml:space="preserve">                     </w:t>
            </w:r>
          </w:p>
        </w:tc>
      </w:tr>
      <w:tr w14:paraId="4EAFBBFB">
        <w:tblPrEx>
          <w:tblCellMar>
            <w:top w:w="0" w:type="dxa"/>
            <w:left w:w="108" w:type="dxa"/>
            <w:bottom w:w="0" w:type="dxa"/>
            <w:right w:w="108" w:type="dxa"/>
          </w:tblCellMar>
        </w:tblPrEx>
        <w:trPr>
          <w:jc w:val="center"/>
        </w:trPr>
        <w:tc>
          <w:tcPr>
            <w:tcW w:w="4144" w:type="dxa"/>
            <w:noWrap w:val="0"/>
            <w:vAlign w:val="top"/>
          </w:tcPr>
          <w:p w14:paraId="4BDF7E06">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地址：南宁市百花岭路6号</w:t>
            </w:r>
          </w:p>
        </w:tc>
        <w:tc>
          <w:tcPr>
            <w:tcW w:w="240" w:type="dxa"/>
            <w:noWrap w:val="0"/>
            <w:vAlign w:val="top"/>
          </w:tcPr>
          <w:p w14:paraId="237B5055">
            <w:pPr>
              <w:pStyle w:val="5"/>
              <w:spacing w:line="360" w:lineRule="auto"/>
              <w:rPr>
                <w:rFonts w:hint="eastAsia" w:ascii="宋体" w:hAnsi="宋体" w:cs="宋体"/>
                <w:szCs w:val="21"/>
                <w:highlight w:val="none"/>
              </w:rPr>
            </w:pPr>
          </w:p>
        </w:tc>
        <w:tc>
          <w:tcPr>
            <w:tcW w:w="240" w:type="dxa"/>
            <w:noWrap w:val="0"/>
            <w:vAlign w:val="top"/>
          </w:tcPr>
          <w:p w14:paraId="724A36D6">
            <w:pPr>
              <w:pStyle w:val="5"/>
              <w:spacing w:line="360" w:lineRule="auto"/>
              <w:rPr>
                <w:rFonts w:hint="eastAsia" w:ascii="宋体" w:hAnsi="宋体" w:cs="宋体"/>
                <w:szCs w:val="21"/>
                <w:highlight w:val="none"/>
              </w:rPr>
            </w:pPr>
          </w:p>
        </w:tc>
        <w:tc>
          <w:tcPr>
            <w:tcW w:w="4121" w:type="dxa"/>
            <w:noWrap w:val="0"/>
            <w:vAlign w:val="top"/>
          </w:tcPr>
          <w:p w14:paraId="3952D9BC">
            <w:pPr>
              <w:pStyle w:val="5"/>
              <w:spacing w:line="360" w:lineRule="auto"/>
              <w:ind w:firstLine="0"/>
              <w:rPr>
                <w:rFonts w:ascii="宋体" w:hAnsi="宋体" w:cs="宋体"/>
                <w:szCs w:val="21"/>
                <w:highlight w:val="none"/>
              </w:rPr>
            </w:pPr>
            <w:r>
              <w:rPr>
                <w:rFonts w:hint="eastAsia" w:ascii="宋体" w:hAnsi="宋体" w:cs="宋体"/>
                <w:szCs w:val="21"/>
                <w:highlight w:val="none"/>
              </w:rPr>
              <w:t>地址：</w:t>
            </w:r>
            <w:r>
              <w:rPr>
                <w:rFonts w:hint="eastAsia" w:ascii="宋体" w:hAnsi="宋体" w:cs="宋体"/>
                <w:szCs w:val="21"/>
                <w:highlight w:val="none"/>
                <w:u w:val="single"/>
              </w:rPr>
              <w:t xml:space="preserve">                            </w:t>
            </w:r>
          </w:p>
        </w:tc>
      </w:tr>
      <w:tr w14:paraId="5D97E79D">
        <w:tblPrEx>
          <w:tblCellMar>
            <w:top w:w="0" w:type="dxa"/>
            <w:left w:w="108" w:type="dxa"/>
            <w:bottom w:w="0" w:type="dxa"/>
            <w:right w:w="108" w:type="dxa"/>
          </w:tblCellMar>
        </w:tblPrEx>
        <w:trPr>
          <w:jc w:val="center"/>
        </w:trPr>
        <w:tc>
          <w:tcPr>
            <w:tcW w:w="4144" w:type="dxa"/>
            <w:noWrap w:val="0"/>
            <w:vAlign w:val="top"/>
          </w:tcPr>
          <w:p w14:paraId="18C16D43">
            <w:pPr>
              <w:pStyle w:val="5"/>
              <w:spacing w:line="360" w:lineRule="auto"/>
              <w:ind w:firstLine="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0771-2115319</w:t>
            </w:r>
          </w:p>
        </w:tc>
        <w:tc>
          <w:tcPr>
            <w:tcW w:w="240" w:type="dxa"/>
            <w:noWrap w:val="0"/>
            <w:vAlign w:val="top"/>
          </w:tcPr>
          <w:p w14:paraId="35D61D45">
            <w:pPr>
              <w:pStyle w:val="5"/>
              <w:spacing w:line="360" w:lineRule="auto"/>
              <w:rPr>
                <w:rFonts w:hint="eastAsia" w:ascii="宋体" w:hAnsi="宋体" w:cs="宋体"/>
                <w:szCs w:val="21"/>
                <w:highlight w:val="none"/>
              </w:rPr>
            </w:pPr>
          </w:p>
        </w:tc>
        <w:tc>
          <w:tcPr>
            <w:tcW w:w="240" w:type="dxa"/>
            <w:noWrap w:val="0"/>
            <w:vAlign w:val="top"/>
          </w:tcPr>
          <w:p w14:paraId="68DBE6E8">
            <w:pPr>
              <w:pStyle w:val="5"/>
              <w:spacing w:line="360" w:lineRule="auto"/>
              <w:rPr>
                <w:rFonts w:hint="eastAsia" w:ascii="宋体" w:hAnsi="宋体" w:cs="宋体"/>
                <w:szCs w:val="21"/>
                <w:highlight w:val="none"/>
              </w:rPr>
            </w:pPr>
          </w:p>
        </w:tc>
        <w:tc>
          <w:tcPr>
            <w:tcW w:w="4121" w:type="dxa"/>
            <w:noWrap w:val="0"/>
            <w:vAlign w:val="top"/>
          </w:tcPr>
          <w:p w14:paraId="2BC9D92E">
            <w:pPr>
              <w:pStyle w:val="5"/>
              <w:spacing w:line="360" w:lineRule="auto"/>
              <w:ind w:firstLine="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 xml:space="preserve">                  </w:t>
            </w:r>
          </w:p>
        </w:tc>
      </w:tr>
      <w:tr w14:paraId="067C9091">
        <w:tblPrEx>
          <w:tblCellMar>
            <w:top w:w="0" w:type="dxa"/>
            <w:left w:w="108" w:type="dxa"/>
            <w:bottom w:w="0" w:type="dxa"/>
            <w:right w:w="108" w:type="dxa"/>
          </w:tblCellMar>
        </w:tblPrEx>
        <w:trPr>
          <w:jc w:val="center"/>
        </w:trPr>
        <w:tc>
          <w:tcPr>
            <w:tcW w:w="4144" w:type="dxa"/>
            <w:noWrap w:val="0"/>
            <w:vAlign w:val="top"/>
          </w:tcPr>
          <w:p w14:paraId="651D02E9">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日期：</w:t>
            </w:r>
            <w:r>
              <w:rPr>
                <w:rFonts w:hint="eastAsia" w:ascii="宋体" w:hAnsi="宋体" w:cs="宋体"/>
                <w:szCs w:val="21"/>
                <w:highlight w:val="none"/>
                <w:u w:val="single"/>
              </w:rPr>
              <w:t>2025</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tc>
        <w:tc>
          <w:tcPr>
            <w:tcW w:w="240" w:type="dxa"/>
            <w:noWrap w:val="0"/>
            <w:vAlign w:val="top"/>
          </w:tcPr>
          <w:p w14:paraId="5B2D08C1">
            <w:pPr>
              <w:pStyle w:val="5"/>
              <w:spacing w:line="360" w:lineRule="auto"/>
              <w:rPr>
                <w:rFonts w:hint="eastAsia" w:ascii="宋体" w:hAnsi="宋体" w:cs="宋体"/>
                <w:szCs w:val="21"/>
                <w:highlight w:val="none"/>
              </w:rPr>
            </w:pPr>
          </w:p>
        </w:tc>
        <w:tc>
          <w:tcPr>
            <w:tcW w:w="240" w:type="dxa"/>
            <w:noWrap w:val="0"/>
            <w:vAlign w:val="top"/>
          </w:tcPr>
          <w:p w14:paraId="34FCFE1B">
            <w:pPr>
              <w:pStyle w:val="5"/>
              <w:spacing w:line="360" w:lineRule="auto"/>
              <w:rPr>
                <w:rFonts w:hint="eastAsia" w:ascii="宋体" w:hAnsi="宋体" w:cs="宋体"/>
                <w:szCs w:val="21"/>
                <w:highlight w:val="none"/>
              </w:rPr>
            </w:pPr>
          </w:p>
        </w:tc>
        <w:tc>
          <w:tcPr>
            <w:tcW w:w="4121" w:type="dxa"/>
            <w:noWrap w:val="0"/>
            <w:vAlign w:val="top"/>
          </w:tcPr>
          <w:p w14:paraId="5F19F915">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日期</w:t>
            </w:r>
            <w:r>
              <w:rPr>
                <w:rFonts w:hint="eastAsia" w:ascii="宋体" w:hAnsi="宋体" w:cs="宋体"/>
                <w:szCs w:val="21"/>
                <w:highlight w:val="none"/>
                <w:u w:val="single"/>
              </w:rPr>
              <w:t>2025</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tc>
      </w:tr>
    </w:tbl>
    <w:p w14:paraId="0AFFE307">
      <w:pPr>
        <w:snapToGrid w:val="0"/>
        <w:spacing w:line="360" w:lineRule="auto"/>
        <w:rPr>
          <w:rFonts w:hint="eastAsia" w:ascii="宋体" w:hAnsi="宋体" w:cs="宋体"/>
          <w:bCs/>
          <w:szCs w:val="21"/>
          <w:highlight w:val="none"/>
        </w:rPr>
      </w:pPr>
    </w:p>
    <w:bookmarkEnd w:id="118"/>
    <w:bookmarkEnd w:id="119"/>
    <w:p w14:paraId="0138F1FF">
      <w:pPr>
        <w:pStyle w:val="29"/>
        <w:ind w:firstLine="0" w:firstLineChars="0"/>
        <w:jc w:val="both"/>
        <w:rPr>
          <w:b/>
          <w:bCs/>
          <w:sz w:val="44"/>
          <w:szCs w:val="44"/>
          <w:highlight w:val="none"/>
        </w:rPr>
      </w:pPr>
    </w:p>
    <w:sectPr>
      <w:footerReference r:id="rId9" w:type="first"/>
      <w:headerReference r:id="rId7" w:type="default"/>
      <w:footerReference r:id="rId8" w:type="default"/>
      <w:pgSz w:w="11906" w:h="16838"/>
      <w:pgMar w:top="1134" w:right="1134" w:bottom="1134" w:left="1134" w:header="851" w:footer="56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9B684">
    <w:pPr>
      <w:pStyle w:val="16"/>
      <w:tabs>
        <w:tab w:val="center" w:pos="4439"/>
        <w:tab w:val="clear" w:pos="4153"/>
      </w:tabs>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5DF701A9">
                          <w:pPr>
                            <w:pStyle w:val="16"/>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NG89CvHAQAAigMAAA4AAAAAAAAAAQAgAAAAHwEAAGRycy9lMm9Eb2Mu&#10;eG1sUEsFBgAAAAAGAAYAWQEAAFgFAAAAAA==&#10;">
              <v:fill on="f" focussize="0,0"/>
              <v:stroke on="f"/>
              <v:imagedata o:title=""/>
              <o:lock v:ext="edit" aspectratio="f"/>
              <v:textbox inset="0mm,0mm,0mm,0mm" style="mso-fit-shape-to-text:t;">
                <w:txbxContent>
                  <w:p w14:paraId="5DF701A9">
                    <w:pPr>
                      <w:pStyle w:val="16"/>
                    </w:pPr>
                    <w:r>
                      <w:fldChar w:fldCharType="begin"/>
                    </w:r>
                    <w:r>
                      <w:instrText xml:space="preserve"> PAGE  \* MERGEFORMAT </w:instrText>
                    </w:r>
                    <w:r>
                      <w:fldChar w:fldCharType="separate"/>
                    </w:r>
                    <w:r>
                      <w:t>20</w:t>
                    </w:r>
                    <w:r>
                      <w:fldChar w:fldCharType="end"/>
                    </w:r>
                  </w:p>
                </w:txbxContent>
              </v:textbox>
            </v:shape>
          </w:pict>
        </mc:Fallback>
      </mc:AlternateContent>
    </w:r>
  </w:p>
  <w:p w14:paraId="23DBC6B0">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3F661">
    <w:pPr>
      <w:pStyle w:val="16"/>
      <w:tabs>
        <w:tab w:val="center" w:pos="4439"/>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530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74B1E883"/>
                      </w:txbxContent>
                    </wps:txbx>
                    <wps:bodyPr wrap="none" lIns="0" tIns="0" rIns="0" bIns="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62336;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kFT5rQAAAAAwEAAA8AAAAAAAAAAQAgAAAAIgAAAGRycy9kb3ducmV2LnhtbFBL&#10;AQIUABQAAAAIAIdO4kBUxB8bxQEAAIsDAAAOAAAAAAAAAAEAIAAAAB8BAABkcnMvZTJvRG9jLnht&#10;bFBLBQYAAAAABgAGAFkBAABWBQAAAAA=&#10;">
              <v:fill on="f" focussize="0,0"/>
              <v:stroke on="f"/>
              <v:imagedata o:title=""/>
              <o:lock v:ext="edit" aspectratio="f"/>
              <v:textbox inset="0mm,0mm,0mm,0mm" style="mso-fit-shape-to-text:t;">
                <w:txbxContent>
                  <w:p w14:paraId="74B1E883"/>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390B1">
    <w:pPr>
      <w:pStyle w:val="1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7649FD05">
                          <w:pPr>
                            <w:pStyle w:val="16"/>
                            <w:jc w:val="center"/>
                          </w:pPr>
                          <w:r>
                            <w:fldChar w:fldCharType="begin"/>
                          </w:r>
                          <w:r>
                            <w:instrText xml:space="preserve"> PAGE  \* MERGEFORMAT </w:instrText>
                          </w:r>
                          <w:r>
                            <w:fldChar w:fldCharType="separate"/>
                          </w:r>
                          <w:r>
                            <w:t>37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t87d2MYBAACLAwAADgAAAAAAAAABACAAAAAfAQAAZHJzL2Uyb0RvYy54&#10;bWxQSwUGAAAAAAYABgBZAQAAVwUAAAAA&#10;">
              <v:fill on="f" focussize="0,0"/>
              <v:stroke on="f"/>
              <v:imagedata o:title=""/>
              <o:lock v:ext="edit" aspectratio="f"/>
              <v:textbox inset="0mm,0mm,0mm,0mm" style="mso-fit-shape-to-text:t;">
                <w:txbxContent>
                  <w:p w14:paraId="7649FD05">
                    <w:pPr>
                      <w:pStyle w:val="16"/>
                      <w:jc w:val="center"/>
                    </w:pPr>
                    <w:r>
                      <w:fldChar w:fldCharType="begin"/>
                    </w:r>
                    <w:r>
                      <w:instrText xml:space="preserve"> PAGE  \* MERGEFORMAT </w:instrText>
                    </w:r>
                    <w:r>
                      <w:fldChar w:fldCharType="separate"/>
                    </w:r>
                    <w:r>
                      <w:t>37</w:t>
                    </w:r>
                    <w:r>
                      <w:fldChar w:fldCharType="end"/>
                    </w:r>
                  </w:p>
                </w:txbxContent>
              </v:textbox>
            </v:shape>
          </w:pict>
        </mc:Fallback>
      </mc:AlternateContent>
    </w:r>
  </w:p>
  <w:p w14:paraId="5CE2D5E7">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AC5E7">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07C169C5">
                          <w:pPr>
                            <w:pStyle w:val="16"/>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V+SdAAAAADAQAADwAAAAAAAAABACAAAAAiAAAAZHJzL2Rvd25yZXYueG1s&#10;UEsBAhQAFAAAAAgAh07iQDhQJ3LHAQAAiwMAAA4AAAAAAAAAAQAgAAAAHwEAAGRycy9lMm9Eb2Mu&#10;eG1sUEsFBgAAAAAGAAYAWQEAAFgFAAAAAA==&#10;">
              <v:fill on="f" focussize="0,0"/>
              <v:stroke on="f"/>
              <v:imagedata o:title=""/>
              <o:lock v:ext="edit" aspectratio="f"/>
              <v:textbox inset="0mm,0mm,0mm,0mm" style="mso-fit-shape-to-text:t;">
                <w:txbxContent>
                  <w:p w14:paraId="07C169C5">
                    <w:pPr>
                      <w:pStyle w:val="16"/>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95B99">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A1033">
    <w:pPr>
      <w:pStyle w:val="17"/>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CA126">
    <w:pPr>
      <w:pStyle w:val="17"/>
      <w:pBdr>
        <w:bottom w:val="none" w:color="auto" w:sz="0" w:space="0"/>
      </w:pBdr>
      <w:tabs>
        <w:tab w:val="center" w:pos="0"/>
        <w:tab w:val="left" w:pos="8306"/>
        <w:tab w:val="clear" w:pos="4153"/>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1OTAyNjUwMzAwOTUzNDY4MDgzZGQ4NmQxNDljMzUifQ=="/>
  </w:docVars>
  <w:rsids>
    <w:rsidRoot w:val="34C93999"/>
    <w:rsid w:val="001077E5"/>
    <w:rsid w:val="00120044"/>
    <w:rsid w:val="001249E5"/>
    <w:rsid w:val="001370CC"/>
    <w:rsid w:val="002074A1"/>
    <w:rsid w:val="0024633E"/>
    <w:rsid w:val="002A321A"/>
    <w:rsid w:val="002E0DBD"/>
    <w:rsid w:val="002F2BC6"/>
    <w:rsid w:val="00337FF8"/>
    <w:rsid w:val="00376890"/>
    <w:rsid w:val="003914E4"/>
    <w:rsid w:val="004129E9"/>
    <w:rsid w:val="00437639"/>
    <w:rsid w:val="00445134"/>
    <w:rsid w:val="004759B0"/>
    <w:rsid w:val="004A514D"/>
    <w:rsid w:val="004B2FF5"/>
    <w:rsid w:val="004C2157"/>
    <w:rsid w:val="004C23B8"/>
    <w:rsid w:val="004F44A0"/>
    <w:rsid w:val="00513C9C"/>
    <w:rsid w:val="00560754"/>
    <w:rsid w:val="005750CF"/>
    <w:rsid w:val="00644C63"/>
    <w:rsid w:val="0067215E"/>
    <w:rsid w:val="006D1841"/>
    <w:rsid w:val="006D1962"/>
    <w:rsid w:val="006F21CF"/>
    <w:rsid w:val="0074337D"/>
    <w:rsid w:val="0075157B"/>
    <w:rsid w:val="00795E21"/>
    <w:rsid w:val="007C12D2"/>
    <w:rsid w:val="007C77CE"/>
    <w:rsid w:val="007F27CB"/>
    <w:rsid w:val="007F6099"/>
    <w:rsid w:val="00833F13"/>
    <w:rsid w:val="0087406B"/>
    <w:rsid w:val="008D7B67"/>
    <w:rsid w:val="00923A67"/>
    <w:rsid w:val="009545EB"/>
    <w:rsid w:val="009F2F68"/>
    <w:rsid w:val="00AF6A6D"/>
    <w:rsid w:val="00B2494B"/>
    <w:rsid w:val="00B47223"/>
    <w:rsid w:val="00B66956"/>
    <w:rsid w:val="00B74FA0"/>
    <w:rsid w:val="00B8222F"/>
    <w:rsid w:val="00BF6D0E"/>
    <w:rsid w:val="00C03FA9"/>
    <w:rsid w:val="00C26B47"/>
    <w:rsid w:val="00C30C5D"/>
    <w:rsid w:val="00C50E49"/>
    <w:rsid w:val="00C96759"/>
    <w:rsid w:val="00CC1689"/>
    <w:rsid w:val="00D028CA"/>
    <w:rsid w:val="00D45E9B"/>
    <w:rsid w:val="00D80D26"/>
    <w:rsid w:val="00D856B9"/>
    <w:rsid w:val="00DA6169"/>
    <w:rsid w:val="00DF6716"/>
    <w:rsid w:val="00E15E97"/>
    <w:rsid w:val="00E46AD2"/>
    <w:rsid w:val="00E73E52"/>
    <w:rsid w:val="00EA1794"/>
    <w:rsid w:val="00EA17BF"/>
    <w:rsid w:val="00EC3DEE"/>
    <w:rsid w:val="00F21422"/>
    <w:rsid w:val="00F464C3"/>
    <w:rsid w:val="00FD2DED"/>
    <w:rsid w:val="015837E7"/>
    <w:rsid w:val="019404F8"/>
    <w:rsid w:val="01B97F5E"/>
    <w:rsid w:val="023A2582"/>
    <w:rsid w:val="0241242E"/>
    <w:rsid w:val="02532161"/>
    <w:rsid w:val="02777065"/>
    <w:rsid w:val="02860B12"/>
    <w:rsid w:val="02FF20EF"/>
    <w:rsid w:val="03121CB1"/>
    <w:rsid w:val="03327053"/>
    <w:rsid w:val="038E6260"/>
    <w:rsid w:val="03F86B1C"/>
    <w:rsid w:val="047932FF"/>
    <w:rsid w:val="047D34C5"/>
    <w:rsid w:val="04EA18B4"/>
    <w:rsid w:val="04F80D9E"/>
    <w:rsid w:val="05017C52"/>
    <w:rsid w:val="056C0210"/>
    <w:rsid w:val="05AC2A96"/>
    <w:rsid w:val="05D073C6"/>
    <w:rsid w:val="06093262"/>
    <w:rsid w:val="0650484D"/>
    <w:rsid w:val="06AB56C6"/>
    <w:rsid w:val="06B55160"/>
    <w:rsid w:val="06DD0D61"/>
    <w:rsid w:val="06E1398D"/>
    <w:rsid w:val="06E65352"/>
    <w:rsid w:val="07124399"/>
    <w:rsid w:val="074F5A1D"/>
    <w:rsid w:val="07635DC6"/>
    <w:rsid w:val="08013031"/>
    <w:rsid w:val="08640C24"/>
    <w:rsid w:val="08C77405"/>
    <w:rsid w:val="08FB7730"/>
    <w:rsid w:val="08FC70AE"/>
    <w:rsid w:val="0925661E"/>
    <w:rsid w:val="094B3982"/>
    <w:rsid w:val="09CC40B1"/>
    <w:rsid w:val="0AEB7501"/>
    <w:rsid w:val="0B705B32"/>
    <w:rsid w:val="0B7F7B23"/>
    <w:rsid w:val="0C154AE6"/>
    <w:rsid w:val="0C71390F"/>
    <w:rsid w:val="0C780787"/>
    <w:rsid w:val="0CAC2B9A"/>
    <w:rsid w:val="0CFD1647"/>
    <w:rsid w:val="0D693D8C"/>
    <w:rsid w:val="0DC14423"/>
    <w:rsid w:val="0E047436"/>
    <w:rsid w:val="0E630A57"/>
    <w:rsid w:val="0EC145B8"/>
    <w:rsid w:val="0ECC18E9"/>
    <w:rsid w:val="0F2D5DBF"/>
    <w:rsid w:val="0F87169C"/>
    <w:rsid w:val="10233173"/>
    <w:rsid w:val="102962AF"/>
    <w:rsid w:val="115351DC"/>
    <w:rsid w:val="11651569"/>
    <w:rsid w:val="11CE52C6"/>
    <w:rsid w:val="1238175F"/>
    <w:rsid w:val="12C435FB"/>
    <w:rsid w:val="13D50C28"/>
    <w:rsid w:val="13FF1575"/>
    <w:rsid w:val="14171240"/>
    <w:rsid w:val="144D4C62"/>
    <w:rsid w:val="14F25809"/>
    <w:rsid w:val="15055A09"/>
    <w:rsid w:val="153A762E"/>
    <w:rsid w:val="15D76C42"/>
    <w:rsid w:val="172C078B"/>
    <w:rsid w:val="178D2C0D"/>
    <w:rsid w:val="17F7561A"/>
    <w:rsid w:val="18517B09"/>
    <w:rsid w:val="185C36C6"/>
    <w:rsid w:val="18610CDC"/>
    <w:rsid w:val="189310B2"/>
    <w:rsid w:val="189A5F9C"/>
    <w:rsid w:val="18AE37F5"/>
    <w:rsid w:val="1930354C"/>
    <w:rsid w:val="199B6470"/>
    <w:rsid w:val="1A516B2E"/>
    <w:rsid w:val="1A5D3725"/>
    <w:rsid w:val="1A7E6175"/>
    <w:rsid w:val="1AA21A2F"/>
    <w:rsid w:val="1AE00FE3"/>
    <w:rsid w:val="1AFC6F03"/>
    <w:rsid w:val="1B23068A"/>
    <w:rsid w:val="1B8A054A"/>
    <w:rsid w:val="1B997902"/>
    <w:rsid w:val="1C01115D"/>
    <w:rsid w:val="1C7E3439"/>
    <w:rsid w:val="1C827473"/>
    <w:rsid w:val="1D216C8C"/>
    <w:rsid w:val="1D594AE3"/>
    <w:rsid w:val="1E2A6984"/>
    <w:rsid w:val="1F19738B"/>
    <w:rsid w:val="1F3033A9"/>
    <w:rsid w:val="1F3507CD"/>
    <w:rsid w:val="1F9C381F"/>
    <w:rsid w:val="200077CF"/>
    <w:rsid w:val="20880961"/>
    <w:rsid w:val="2091237A"/>
    <w:rsid w:val="20992FDD"/>
    <w:rsid w:val="20BD316F"/>
    <w:rsid w:val="20BE4ACB"/>
    <w:rsid w:val="20BF7061"/>
    <w:rsid w:val="20E95A81"/>
    <w:rsid w:val="20EC5803"/>
    <w:rsid w:val="21073EBF"/>
    <w:rsid w:val="21246D4B"/>
    <w:rsid w:val="21510141"/>
    <w:rsid w:val="21837F15"/>
    <w:rsid w:val="21AE2AB8"/>
    <w:rsid w:val="222B119F"/>
    <w:rsid w:val="22381879"/>
    <w:rsid w:val="224156DA"/>
    <w:rsid w:val="22EE13BE"/>
    <w:rsid w:val="23571659"/>
    <w:rsid w:val="236B2A0F"/>
    <w:rsid w:val="23D7424E"/>
    <w:rsid w:val="241237D2"/>
    <w:rsid w:val="242B31D9"/>
    <w:rsid w:val="24341D04"/>
    <w:rsid w:val="244D480A"/>
    <w:rsid w:val="2547125A"/>
    <w:rsid w:val="263A355B"/>
    <w:rsid w:val="263D5FAD"/>
    <w:rsid w:val="266E0A9E"/>
    <w:rsid w:val="26FE003E"/>
    <w:rsid w:val="27206206"/>
    <w:rsid w:val="272F01F7"/>
    <w:rsid w:val="274E2D73"/>
    <w:rsid w:val="27894FA0"/>
    <w:rsid w:val="27D2215A"/>
    <w:rsid w:val="27F76F67"/>
    <w:rsid w:val="281A0EA7"/>
    <w:rsid w:val="284877C3"/>
    <w:rsid w:val="28701767"/>
    <w:rsid w:val="28836A4D"/>
    <w:rsid w:val="28A144DE"/>
    <w:rsid w:val="28C606E7"/>
    <w:rsid w:val="29394A5F"/>
    <w:rsid w:val="29B82726"/>
    <w:rsid w:val="29C67536"/>
    <w:rsid w:val="2A4012A5"/>
    <w:rsid w:val="2ACA1B3C"/>
    <w:rsid w:val="2ACA39A7"/>
    <w:rsid w:val="2AEA2DB3"/>
    <w:rsid w:val="2B8D1D21"/>
    <w:rsid w:val="2BDC1346"/>
    <w:rsid w:val="2BEC4909"/>
    <w:rsid w:val="2C26606D"/>
    <w:rsid w:val="2CB25CD8"/>
    <w:rsid w:val="2CDA6E57"/>
    <w:rsid w:val="2DB87C25"/>
    <w:rsid w:val="2DDB94E8"/>
    <w:rsid w:val="2DE4019A"/>
    <w:rsid w:val="2DFA422D"/>
    <w:rsid w:val="2ED82DE9"/>
    <w:rsid w:val="2F01691D"/>
    <w:rsid w:val="2F567BD9"/>
    <w:rsid w:val="2F93694C"/>
    <w:rsid w:val="2FA77026"/>
    <w:rsid w:val="2FB64A2C"/>
    <w:rsid w:val="30A36FF1"/>
    <w:rsid w:val="30AE74B8"/>
    <w:rsid w:val="30E57806"/>
    <w:rsid w:val="30E76319"/>
    <w:rsid w:val="31061FC9"/>
    <w:rsid w:val="31D65C22"/>
    <w:rsid w:val="32003B98"/>
    <w:rsid w:val="32FA5B5D"/>
    <w:rsid w:val="32FD48AE"/>
    <w:rsid w:val="330A7EFD"/>
    <w:rsid w:val="3330157F"/>
    <w:rsid w:val="33B81DE8"/>
    <w:rsid w:val="33FF67B9"/>
    <w:rsid w:val="34060480"/>
    <w:rsid w:val="34173F47"/>
    <w:rsid w:val="34A96881"/>
    <w:rsid w:val="34C93999"/>
    <w:rsid w:val="357065AB"/>
    <w:rsid w:val="35CB558F"/>
    <w:rsid w:val="35D703D8"/>
    <w:rsid w:val="36BA61CA"/>
    <w:rsid w:val="375816CF"/>
    <w:rsid w:val="375BD3A9"/>
    <w:rsid w:val="37795AC3"/>
    <w:rsid w:val="378219F7"/>
    <w:rsid w:val="37BB699A"/>
    <w:rsid w:val="381E7F4D"/>
    <w:rsid w:val="3836605E"/>
    <w:rsid w:val="385D1988"/>
    <w:rsid w:val="3861455A"/>
    <w:rsid w:val="38DE5291"/>
    <w:rsid w:val="38DF7CCF"/>
    <w:rsid w:val="390037A2"/>
    <w:rsid w:val="39691347"/>
    <w:rsid w:val="39B567E8"/>
    <w:rsid w:val="39FA28E7"/>
    <w:rsid w:val="3A1A6AE5"/>
    <w:rsid w:val="3A457788"/>
    <w:rsid w:val="3AC73FF0"/>
    <w:rsid w:val="3B4958D4"/>
    <w:rsid w:val="3B5B73B5"/>
    <w:rsid w:val="3BAD2B18"/>
    <w:rsid w:val="3BC04D42"/>
    <w:rsid w:val="3BE70255"/>
    <w:rsid w:val="3BE90E02"/>
    <w:rsid w:val="3C3C0578"/>
    <w:rsid w:val="3C812E4B"/>
    <w:rsid w:val="3CB6196A"/>
    <w:rsid w:val="3CDC4C15"/>
    <w:rsid w:val="3D5C7EC0"/>
    <w:rsid w:val="3D772DA7"/>
    <w:rsid w:val="3E110989"/>
    <w:rsid w:val="3E182556"/>
    <w:rsid w:val="3E1A3C76"/>
    <w:rsid w:val="3E3068D7"/>
    <w:rsid w:val="3EBF1848"/>
    <w:rsid w:val="3EC534C3"/>
    <w:rsid w:val="3F0C16C4"/>
    <w:rsid w:val="3F3F4625"/>
    <w:rsid w:val="3F6D4C9E"/>
    <w:rsid w:val="3F740BAA"/>
    <w:rsid w:val="3FA33136"/>
    <w:rsid w:val="3FAC745B"/>
    <w:rsid w:val="400224F5"/>
    <w:rsid w:val="403A1C8F"/>
    <w:rsid w:val="40592CD6"/>
    <w:rsid w:val="40EA5463"/>
    <w:rsid w:val="41166258"/>
    <w:rsid w:val="4139028D"/>
    <w:rsid w:val="415B5189"/>
    <w:rsid w:val="418E68AF"/>
    <w:rsid w:val="420D12B8"/>
    <w:rsid w:val="422453BF"/>
    <w:rsid w:val="424F6D01"/>
    <w:rsid w:val="429D02B3"/>
    <w:rsid w:val="43186F5D"/>
    <w:rsid w:val="441F3676"/>
    <w:rsid w:val="442E38B7"/>
    <w:rsid w:val="444035EC"/>
    <w:rsid w:val="445552E9"/>
    <w:rsid w:val="44BF2B1E"/>
    <w:rsid w:val="451821CA"/>
    <w:rsid w:val="451D4333"/>
    <w:rsid w:val="45EC4EB1"/>
    <w:rsid w:val="46B53161"/>
    <w:rsid w:val="46C2653A"/>
    <w:rsid w:val="46D71FE6"/>
    <w:rsid w:val="46DD59F3"/>
    <w:rsid w:val="46F26477"/>
    <w:rsid w:val="473453C9"/>
    <w:rsid w:val="477135F2"/>
    <w:rsid w:val="481D7ECC"/>
    <w:rsid w:val="487A43A9"/>
    <w:rsid w:val="48A24DF2"/>
    <w:rsid w:val="48EC2473"/>
    <w:rsid w:val="4910358D"/>
    <w:rsid w:val="49325BF9"/>
    <w:rsid w:val="495B5F96"/>
    <w:rsid w:val="4A7A7858"/>
    <w:rsid w:val="4A833DDE"/>
    <w:rsid w:val="4AAD1497"/>
    <w:rsid w:val="4AF60EA8"/>
    <w:rsid w:val="4B766399"/>
    <w:rsid w:val="4B9B6A46"/>
    <w:rsid w:val="4BD126B6"/>
    <w:rsid w:val="4CAE4D4E"/>
    <w:rsid w:val="4D061CEA"/>
    <w:rsid w:val="4D2D2077"/>
    <w:rsid w:val="4D3079B0"/>
    <w:rsid w:val="4D483CFB"/>
    <w:rsid w:val="4DC766D9"/>
    <w:rsid w:val="4DC837F1"/>
    <w:rsid w:val="4DE43E38"/>
    <w:rsid w:val="4E57207E"/>
    <w:rsid w:val="4E577EB0"/>
    <w:rsid w:val="4E643CA3"/>
    <w:rsid w:val="4E827BAD"/>
    <w:rsid w:val="4E8B0801"/>
    <w:rsid w:val="4EEA0D24"/>
    <w:rsid w:val="4F906C8C"/>
    <w:rsid w:val="4FA15887"/>
    <w:rsid w:val="4FEB6B02"/>
    <w:rsid w:val="500110B1"/>
    <w:rsid w:val="50B53E76"/>
    <w:rsid w:val="51023383"/>
    <w:rsid w:val="51220301"/>
    <w:rsid w:val="517D19DC"/>
    <w:rsid w:val="52232583"/>
    <w:rsid w:val="522B77E3"/>
    <w:rsid w:val="52434B27"/>
    <w:rsid w:val="526C64D6"/>
    <w:rsid w:val="526F3A1A"/>
    <w:rsid w:val="543F741C"/>
    <w:rsid w:val="54431BBA"/>
    <w:rsid w:val="547748A2"/>
    <w:rsid w:val="551366B0"/>
    <w:rsid w:val="551E6BFD"/>
    <w:rsid w:val="55412866"/>
    <w:rsid w:val="557E5D22"/>
    <w:rsid w:val="55E55DA1"/>
    <w:rsid w:val="55F52488"/>
    <w:rsid w:val="560B3A5A"/>
    <w:rsid w:val="567B37A2"/>
    <w:rsid w:val="5687029A"/>
    <w:rsid w:val="57011E43"/>
    <w:rsid w:val="5712706A"/>
    <w:rsid w:val="5758166F"/>
    <w:rsid w:val="587C2220"/>
    <w:rsid w:val="58F0571B"/>
    <w:rsid w:val="59800714"/>
    <w:rsid w:val="59C97EB4"/>
    <w:rsid w:val="59CD1026"/>
    <w:rsid w:val="59F34F31"/>
    <w:rsid w:val="5A6D0B73"/>
    <w:rsid w:val="5B7764D4"/>
    <w:rsid w:val="5B94358B"/>
    <w:rsid w:val="5C213F6E"/>
    <w:rsid w:val="5C965BD2"/>
    <w:rsid w:val="5CB96961"/>
    <w:rsid w:val="5CBB20D7"/>
    <w:rsid w:val="5D4265D8"/>
    <w:rsid w:val="5D557CB0"/>
    <w:rsid w:val="5EA902B4"/>
    <w:rsid w:val="5F2F6EFE"/>
    <w:rsid w:val="5F334C6A"/>
    <w:rsid w:val="5F3956A4"/>
    <w:rsid w:val="5F3A9E27"/>
    <w:rsid w:val="5F7C5450"/>
    <w:rsid w:val="600357A2"/>
    <w:rsid w:val="600734E4"/>
    <w:rsid w:val="60132BBC"/>
    <w:rsid w:val="615C0D42"/>
    <w:rsid w:val="617C2DA3"/>
    <w:rsid w:val="61893794"/>
    <w:rsid w:val="620D2688"/>
    <w:rsid w:val="625B6C51"/>
    <w:rsid w:val="62DE63D1"/>
    <w:rsid w:val="62DF24F6"/>
    <w:rsid w:val="634C54F0"/>
    <w:rsid w:val="6361115D"/>
    <w:rsid w:val="637D564F"/>
    <w:rsid w:val="638E7A78"/>
    <w:rsid w:val="6411213F"/>
    <w:rsid w:val="64151D68"/>
    <w:rsid w:val="642239BF"/>
    <w:rsid w:val="645111D2"/>
    <w:rsid w:val="6460463E"/>
    <w:rsid w:val="64C16798"/>
    <w:rsid w:val="64CC60FB"/>
    <w:rsid w:val="64EF4547"/>
    <w:rsid w:val="64F00543"/>
    <w:rsid w:val="64F41B5D"/>
    <w:rsid w:val="6519323D"/>
    <w:rsid w:val="6526668E"/>
    <w:rsid w:val="65292C1E"/>
    <w:rsid w:val="65570F81"/>
    <w:rsid w:val="65586590"/>
    <w:rsid w:val="65701CA0"/>
    <w:rsid w:val="65A40EB0"/>
    <w:rsid w:val="65A42D3E"/>
    <w:rsid w:val="65A74E21"/>
    <w:rsid w:val="65BD23B8"/>
    <w:rsid w:val="668533B4"/>
    <w:rsid w:val="670912D2"/>
    <w:rsid w:val="670C06CC"/>
    <w:rsid w:val="67406DA3"/>
    <w:rsid w:val="68201F24"/>
    <w:rsid w:val="68303D68"/>
    <w:rsid w:val="683C3F47"/>
    <w:rsid w:val="689B6EBF"/>
    <w:rsid w:val="68A65864"/>
    <w:rsid w:val="68F86230"/>
    <w:rsid w:val="69054339"/>
    <w:rsid w:val="6A070584"/>
    <w:rsid w:val="6A2904FB"/>
    <w:rsid w:val="6A4175F2"/>
    <w:rsid w:val="6B982E39"/>
    <w:rsid w:val="6BB61B32"/>
    <w:rsid w:val="6BEA6F9E"/>
    <w:rsid w:val="6C0905E4"/>
    <w:rsid w:val="6C87065C"/>
    <w:rsid w:val="6CBA151E"/>
    <w:rsid w:val="6CC44F34"/>
    <w:rsid w:val="6D447383"/>
    <w:rsid w:val="6D45389E"/>
    <w:rsid w:val="6D617FAC"/>
    <w:rsid w:val="6D773F73"/>
    <w:rsid w:val="6D8048D6"/>
    <w:rsid w:val="6D806C9D"/>
    <w:rsid w:val="6D8845E0"/>
    <w:rsid w:val="6F242BE9"/>
    <w:rsid w:val="6F763A18"/>
    <w:rsid w:val="6F9E1043"/>
    <w:rsid w:val="6FF03E60"/>
    <w:rsid w:val="6FFC562B"/>
    <w:rsid w:val="6FFF9462"/>
    <w:rsid w:val="701F6731"/>
    <w:rsid w:val="703E3ADE"/>
    <w:rsid w:val="708A4BE7"/>
    <w:rsid w:val="7091303E"/>
    <w:rsid w:val="70D96BE4"/>
    <w:rsid w:val="719731AA"/>
    <w:rsid w:val="72600832"/>
    <w:rsid w:val="72626453"/>
    <w:rsid w:val="729A188F"/>
    <w:rsid w:val="72FB5001"/>
    <w:rsid w:val="731B25F8"/>
    <w:rsid w:val="732857F3"/>
    <w:rsid w:val="736138AF"/>
    <w:rsid w:val="73813156"/>
    <w:rsid w:val="73BF31A6"/>
    <w:rsid w:val="742D5082"/>
    <w:rsid w:val="7444344F"/>
    <w:rsid w:val="7475174F"/>
    <w:rsid w:val="74842EFD"/>
    <w:rsid w:val="752217B8"/>
    <w:rsid w:val="75322959"/>
    <w:rsid w:val="75D24C43"/>
    <w:rsid w:val="75D9C1FB"/>
    <w:rsid w:val="76FD65E3"/>
    <w:rsid w:val="777F385B"/>
    <w:rsid w:val="77B7D072"/>
    <w:rsid w:val="7835413B"/>
    <w:rsid w:val="78643027"/>
    <w:rsid w:val="787B1EF7"/>
    <w:rsid w:val="78FB3A2D"/>
    <w:rsid w:val="78FBE2E9"/>
    <w:rsid w:val="79751067"/>
    <w:rsid w:val="79CF4A40"/>
    <w:rsid w:val="79ED83A9"/>
    <w:rsid w:val="79FA49EF"/>
    <w:rsid w:val="7A2111EE"/>
    <w:rsid w:val="7A971BA9"/>
    <w:rsid w:val="7B4406C9"/>
    <w:rsid w:val="7B8F3F36"/>
    <w:rsid w:val="7BC462D5"/>
    <w:rsid w:val="7BE424D4"/>
    <w:rsid w:val="7BE6385A"/>
    <w:rsid w:val="7BEDAB3F"/>
    <w:rsid w:val="7C536688"/>
    <w:rsid w:val="7C773856"/>
    <w:rsid w:val="7CC876FF"/>
    <w:rsid w:val="7CCE07CD"/>
    <w:rsid w:val="7D6F7B12"/>
    <w:rsid w:val="7D9B0C98"/>
    <w:rsid w:val="7DA0340B"/>
    <w:rsid w:val="7DBF3E05"/>
    <w:rsid w:val="7DFE02F7"/>
    <w:rsid w:val="7E066731"/>
    <w:rsid w:val="7E7A34BE"/>
    <w:rsid w:val="7E8458A8"/>
    <w:rsid w:val="7ECB2820"/>
    <w:rsid w:val="7F2802D8"/>
    <w:rsid w:val="7F6530A9"/>
    <w:rsid w:val="7F6F6FA7"/>
    <w:rsid w:val="7FB73BE7"/>
    <w:rsid w:val="7FE722DE"/>
    <w:rsid w:val="7FFAE390"/>
    <w:rsid w:val="7FFDCA44"/>
    <w:rsid w:val="7FFF7199"/>
    <w:rsid w:val="8EEEE644"/>
    <w:rsid w:val="9DFE7EA4"/>
    <w:rsid w:val="B7CE34E3"/>
    <w:rsid w:val="BBEFBB2E"/>
    <w:rsid w:val="BD68E148"/>
    <w:rsid w:val="BFABC73B"/>
    <w:rsid w:val="BFBD0CF5"/>
    <w:rsid w:val="CB7B2F97"/>
    <w:rsid w:val="CBB7A07C"/>
    <w:rsid w:val="CFFC5471"/>
    <w:rsid w:val="E34D1BFE"/>
    <w:rsid w:val="EFBFA2F6"/>
    <w:rsid w:val="F8BBC25D"/>
    <w:rsid w:val="FA6F2BB0"/>
    <w:rsid w:val="FD3651C9"/>
    <w:rsid w:val="FDFB5E4E"/>
    <w:rsid w:val="FE3E1195"/>
    <w:rsid w:val="FF4FCBD6"/>
    <w:rsid w:val="FFDAD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nhideWhenUsed="0" w:uiPriority="9"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jc w:val="center"/>
      <w:outlineLvl w:val="1"/>
    </w:pPr>
    <w:rPr>
      <w:rFonts w:ascii="黑体" w:hAnsi="宋体" w:eastAsia="黑体"/>
      <w:b/>
      <w:bCs/>
      <w:sz w:val="36"/>
      <w:szCs w:val="32"/>
    </w:rPr>
  </w:style>
  <w:style w:type="paragraph" w:styleId="4">
    <w:name w:val="heading 5"/>
    <w:basedOn w:val="1"/>
    <w:next w:val="5"/>
    <w:qFormat/>
    <w:uiPriority w:val="9"/>
    <w:pPr>
      <w:keepNext/>
      <w:keepLines/>
      <w:spacing w:before="280" w:after="290" w:line="376" w:lineRule="auto"/>
      <w:outlineLvl w:val="4"/>
    </w:pPr>
    <w:rPr>
      <w:b/>
      <w:bCs/>
      <w:sz w:val="28"/>
      <w:szCs w:val="28"/>
    </w:rPr>
  </w:style>
  <w:style w:type="paragraph" w:styleId="6">
    <w:name w:val="heading 6"/>
    <w:basedOn w:val="1"/>
    <w:next w:val="1"/>
    <w:qFormat/>
    <w:uiPriority w:val="0"/>
    <w:pPr>
      <w:keepNext/>
      <w:keepLines/>
      <w:spacing w:line="360" w:lineRule="auto"/>
      <w:outlineLvl w:val="5"/>
    </w:pPr>
    <w:rPr>
      <w:b/>
      <w:bCs/>
      <w:szCs w:val="32"/>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annotation text"/>
    <w:basedOn w:val="1"/>
    <w:link w:val="30"/>
    <w:qFormat/>
    <w:uiPriority w:val="0"/>
    <w:pPr>
      <w:jc w:val="left"/>
    </w:pPr>
  </w:style>
  <w:style w:type="paragraph" w:styleId="9">
    <w:name w:val="Body Text 3"/>
    <w:basedOn w:val="1"/>
    <w:unhideWhenUsed/>
    <w:qFormat/>
    <w:uiPriority w:val="99"/>
    <w:pPr>
      <w:spacing w:after="120"/>
    </w:pPr>
    <w:rPr>
      <w:sz w:val="16"/>
      <w:szCs w:val="16"/>
    </w:rPr>
  </w:style>
  <w:style w:type="paragraph" w:styleId="10">
    <w:name w:val="Body Text"/>
    <w:basedOn w:val="1"/>
    <w:unhideWhenUsed/>
    <w:qFormat/>
    <w:uiPriority w:val="0"/>
    <w:pPr>
      <w:spacing w:after="120"/>
    </w:pPr>
  </w:style>
  <w:style w:type="paragraph" w:styleId="11">
    <w:name w:val="Body Text Indent"/>
    <w:basedOn w:val="1"/>
    <w:next w:val="1"/>
    <w:qFormat/>
    <w:uiPriority w:val="0"/>
    <w:pPr>
      <w:ind w:firstLine="830" w:firstLineChars="352"/>
    </w:pPr>
    <w:rPr>
      <w:rFonts w:ascii="仿宋_GB2312" w:eastAsia="仿宋_GB2312"/>
      <w:kern w:val="0"/>
      <w:sz w:val="32"/>
      <w:szCs w:val="20"/>
    </w:rPr>
  </w:style>
  <w:style w:type="paragraph" w:styleId="12">
    <w:name w:val="List 2"/>
    <w:basedOn w:val="1"/>
    <w:unhideWhenUsed/>
    <w:qFormat/>
    <w:uiPriority w:val="99"/>
    <w:pPr>
      <w:ind w:left="100" w:leftChars="200" w:hanging="200" w:hangingChars="200"/>
      <w:contextualSpacing/>
    </w:pPr>
  </w:style>
  <w:style w:type="paragraph" w:styleId="13">
    <w:name w:val="toc 3"/>
    <w:basedOn w:val="1"/>
    <w:next w:val="1"/>
    <w:qFormat/>
    <w:uiPriority w:val="0"/>
    <w:pPr>
      <w:ind w:left="840" w:leftChars="400"/>
    </w:pPr>
  </w:style>
  <w:style w:type="paragraph" w:styleId="14">
    <w:name w:val="Plain Text"/>
    <w:basedOn w:val="1"/>
    <w:next w:val="1"/>
    <w:qFormat/>
    <w:uiPriority w:val="0"/>
    <w:rPr>
      <w:rFonts w:ascii="宋体" w:hAnsi="Courier New"/>
      <w:kern w:val="0"/>
      <w:sz w:val="20"/>
      <w:szCs w:val="21"/>
    </w:rPr>
  </w:style>
  <w:style w:type="paragraph" w:styleId="15">
    <w:name w:val="Balloon Text"/>
    <w:basedOn w:val="1"/>
    <w:link w:val="39"/>
    <w:qFormat/>
    <w:uiPriority w:val="0"/>
    <w:rPr>
      <w:sz w:val="18"/>
      <w:szCs w:val="18"/>
    </w:rPr>
  </w:style>
  <w:style w:type="paragraph" w:styleId="16">
    <w:name w:val="footer"/>
    <w:basedOn w:val="1"/>
    <w:unhideWhenUsed/>
    <w:qFormat/>
    <w:uiPriority w:val="99"/>
    <w:pPr>
      <w:tabs>
        <w:tab w:val="center" w:pos="4153"/>
        <w:tab w:val="right" w:pos="8306"/>
      </w:tabs>
      <w:snapToGrid w:val="0"/>
      <w:jc w:val="left"/>
    </w:pPr>
    <w:rPr>
      <w:kern w:val="0"/>
      <w:sz w:val="18"/>
      <w:szCs w:val="18"/>
    </w:rPr>
  </w:style>
  <w:style w:type="paragraph" w:styleId="17">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8">
    <w:name w:val="toc 1"/>
    <w:basedOn w:val="1"/>
    <w:next w:val="1"/>
    <w:unhideWhenUsed/>
    <w:qFormat/>
    <w:uiPriority w:val="39"/>
  </w:style>
  <w:style w:type="paragraph" w:styleId="19">
    <w:name w:val="List"/>
    <w:basedOn w:val="1"/>
    <w:qFormat/>
    <w:uiPriority w:val="0"/>
    <w:pPr>
      <w:ind w:left="200" w:hanging="200" w:hangingChars="200"/>
    </w:pPr>
    <w:rPr>
      <w:sz w:val="28"/>
    </w:rPr>
  </w:style>
  <w:style w:type="paragraph" w:styleId="20">
    <w:name w:val="toc 2"/>
    <w:basedOn w:val="1"/>
    <w:next w:val="1"/>
    <w:unhideWhenUsed/>
    <w:qFormat/>
    <w:uiPriority w:val="39"/>
    <w:pPr>
      <w:tabs>
        <w:tab w:val="right" w:leader="dot" w:pos="8296"/>
      </w:tabs>
      <w:ind w:left="420" w:leftChars="200"/>
    </w:pPr>
  </w:style>
  <w:style w:type="paragraph" w:styleId="21">
    <w:name w:val="Message Header"/>
    <w:basedOn w:val="1"/>
    <w:next w:val="10"/>
    <w:qFormat/>
    <w:uiPriority w:val="0"/>
    <w:pPr>
      <w:pBdr>
        <w:top w:val="none" w:color="auto" w:sz="0" w:space="1"/>
        <w:left w:val="none" w:color="auto" w:sz="0" w:space="1"/>
        <w:bottom w:val="none" w:color="auto" w:sz="0" w:space="1"/>
        <w:right w:val="none" w:color="auto" w:sz="0" w:space="1"/>
      </w:pBdr>
      <w:shd w:val="pct20" w:color="auto" w:fill="auto"/>
      <w:kinsoku w:val="0"/>
      <w:overflowPunct w:val="0"/>
      <w:spacing w:line="360" w:lineRule="auto"/>
    </w:pPr>
    <w:rPr>
      <w:rFonts w:ascii="Arial" w:hAnsi="Arial"/>
      <w:sz w:val="28"/>
    </w:rPr>
  </w:style>
  <w:style w:type="paragraph" w:styleId="22">
    <w:name w:val="annotation subject"/>
    <w:basedOn w:val="8"/>
    <w:next w:val="8"/>
    <w:link w:val="31"/>
    <w:qFormat/>
    <w:uiPriority w:val="0"/>
    <w:rPr>
      <w:b/>
      <w:bCs/>
    </w:rPr>
  </w:style>
  <w:style w:type="paragraph" w:styleId="23">
    <w:name w:val="Body Text First Indent 2"/>
    <w:basedOn w:val="11"/>
    <w:next w:val="1"/>
    <w:qFormat/>
    <w:uiPriority w:val="0"/>
    <w:pPr>
      <w:tabs>
        <w:tab w:val="left" w:pos="0"/>
        <w:tab w:val="left" w:pos="420"/>
      </w:tabs>
      <w:wordWrap w:val="0"/>
      <w:topLinePunct/>
      <w:spacing w:line="360" w:lineRule="auto"/>
      <w:ind w:firstLine="480" w:firstLineChars="200"/>
    </w:pPr>
    <w:rPr>
      <w:rFonts w:ascii="幼圆" w:eastAsia="幼圆"/>
      <w:bCs/>
      <w:color w:val="000000"/>
      <w:spacing w:val="20"/>
      <w:sz w:val="24"/>
      <w:szCs w:val="24"/>
    </w:rPr>
  </w:style>
  <w:style w:type="character" w:styleId="26">
    <w:name w:val="page number"/>
    <w:qFormat/>
    <w:uiPriority w:val="0"/>
  </w:style>
  <w:style w:type="character" w:styleId="27">
    <w:name w:val="annotation reference"/>
    <w:qFormat/>
    <w:uiPriority w:val="0"/>
    <w:rPr>
      <w:sz w:val="21"/>
      <w:szCs w:val="21"/>
    </w:rPr>
  </w:style>
  <w:style w:type="paragraph" w:customStyle="1" w:styleId="28">
    <w:name w:val="默认段落"/>
    <w:basedOn w:val="1"/>
    <w:qFormat/>
    <w:uiPriority w:val="0"/>
    <w:rPr>
      <w:rFonts w:ascii="Calibri" w:hAnsi="Calibri"/>
    </w:rPr>
  </w:style>
  <w:style w:type="paragraph" w:customStyle="1" w:styleId="29">
    <w:name w:val="Body Text First Indent1"/>
    <w:basedOn w:val="16"/>
    <w:qFormat/>
    <w:uiPriority w:val="0"/>
    <w:pPr>
      <w:spacing w:line="360" w:lineRule="auto"/>
      <w:ind w:firstLine="420" w:firstLineChars="100"/>
    </w:pPr>
  </w:style>
  <w:style w:type="character" w:customStyle="1" w:styleId="30">
    <w:name w:val="批注文字 字符"/>
    <w:link w:val="8"/>
    <w:qFormat/>
    <w:uiPriority w:val="0"/>
    <w:rPr>
      <w:kern w:val="2"/>
      <w:sz w:val="21"/>
      <w:szCs w:val="24"/>
    </w:rPr>
  </w:style>
  <w:style w:type="character" w:customStyle="1" w:styleId="31">
    <w:name w:val="批注主题 字符"/>
    <w:link w:val="22"/>
    <w:qFormat/>
    <w:uiPriority w:val="0"/>
    <w:rPr>
      <w:b/>
      <w:bCs/>
      <w:kern w:val="2"/>
      <w:sz w:val="21"/>
      <w:szCs w:val="24"/>
    </w:rPr>
  </w:style>
  <w:style w:type="paragraph" w:customStyle="1" w:styleId="32">
    <w:name w:val="表格文字"/>
    <w:basedOn w:val="1"/>
    <w:next w:val="10"/>
    <w:qFormat/>
    <w:uiPriority w:val="0"/>
    <w:pPr>
      <w:spacing w:before="25" w:after="25"/>
      <w:jc w:val="left"/>
    </w:pPr>
    <w:rPr>
      <w:bCs/>
      <w:spacing w:val="10"/>
      <w:kern w:val="0"/>
      <w:sz w:val="24"/>
      <w:szCs w:val="20"/>
    </w:rPr>
  </w:style>
  <w:style w:type="paragraph" w:customStyle="1" w:styleId="33">
    <w:name w:val="Default"/>
    <w:qFormat/>
    <w:uiPriority w:val="0"/>
    <w:pPr>
      <w:widowControl w:val="0"/>
      <w:autoSpaceDE w:val="0"/>
      <w:autoSpaceDN w:val="0"/>
      <w:adjustRightInd w:val="0"/>
    </w:pPr>
    <w:rPr>
      <w:rFonts w:hint="eastAsia" w:ascii="方正小标宋简体" w:hAnsi="方正小标宋简体" w:eastAsia="方正小标宋简体" w:cs="Times New Roman"/>
      <w:color w:val="000000"/>
      <w:sz w:val="24"/>
      <w:szCs w:val="22"/>
      <w:lang w:val="en-US" w:eastAsia="zh-CN" w:bidi="ar-SA"/>
    </w:rPr>
  </w:style>
  <w:style w:type="paragraph" w:customStyle="1" w:styleId="34">
    <w:name w:val="题目"/>
    <w:basedOn w:val="1"/>
    <w:qFormat/>
    <w:uiPriority w:val="0"/>
    <w:pPr>
      <w:spacing w:beforeLines="200" w:afterLines="100"/>
      <w:jc w:val="center"/>
    </w:pPr>
    <w:rPr>
      <w:rFonts w:ascii="黑体" w:eastAsia="黑体"/>
      <w:color w:val="C00000"/>
      <w:sz w:val="28"/>
      <w:szCs w:val="28"/>
    </w:rPr>
  </w:style>
  <w:style w:type="paragraph" w:styleId="35">
    <w:name w:val="List Paragraph"/>
    <w:basedOn w:val="1"/>
    <w:qFormat/>
    <w:uiPriority w:val="99"/>
    <w:pPr>
      <w:ind w:firstLine="420" w:firstLineChars="200"/>
    </w:pPr>
    <w:rPr>
      <w:snapToGrid w:val="0"/>
      <w:kern w:val="0"/>
    </w:rPr>
  </w:style>
  <w:style w:type="character" w:customStyle="1" w:styleId="36">
    <w:name w:val="font11"/>
    <w:qFormat/>
    <w:uiPriority w:val="0"/>
    <w:rPr>
      <w:rFonts w:hint="eastAsia" w:ascii="微软雅黑" w:hAnsi="微软雅黑" w:eastAsia="微软雅黑" w:cs="微软雅黑"/>
      <w:color w:val="000000"/>
      <w:sz w:val="20"/>
      <w:szCs w:val="20"/>
      <w:u w:val="none"/>
    </w:rPr>
  </w:style>
  <w:style w:type="paragraph" w:customStyle="1" w:styleId="37">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38">
    <w:name w:val="正文中"/>
    <w:basedOn w:val="1"/>
    <w:next w:val="1"/>
    <w:qFormat/>
    <w:uiPriority w:val="0"/>
    <w:pPr>
      <w:spacing w:line="440" w:lineRule="exact"/>
      <w:jc w:val="center"/>
    </w:pPr>
    <w:rPr>
      <w:rFonts w:ascii="仿宋_GB2312" w:hAnsi="宋体" w:eastAsia="仿宋_GB2312"/>
      <w:sz w:val="28"/>
    </w:rPr>
  </w:style>
  <w:style w:type="character" w:customStyle="1" w:styleId="39">
    <w:name w:val="批注框文本 字符"/>
    <w:basedOn w:val="25"/>
    <w:link w:val="15"/>
    <w:qFormat/>
    <w:uiPriority w:val="0"/>
    <w:rPr>
      <w:kern w:val="2"/>
      <w:sz w:val="18"/>
      <w:szCs w:val="18"/>
    </w:rPr>
  </w:style>
  <w:style w:type="paragraph" w:customStyle="1" w:styleId="40">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42">
    <w:name w:val="Normal_8"/>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_0"/>
    <w:next w:val="1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203</Words>
  <Characters>220</Characters>
  <Lines>128</Lines>
  <Paragraphs>36</Paragraphs>
  <TotalTime>0</TotalTime>
  <ScaleCrop>false</ScaleCrop>
  <LinksUpToDate>false</LinksUpToDate>
  <CharactersWithSpaces>288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2025-08-20T10:13:00Z</dcterms:created>
  <dc:creator>sugeke2</dc:creator>
  <cp:lastModifiedBy>sugeke2</cp:lastModifiedBy>
  <cp:lastPrinted>2024-01-18T10:33:00Z</cp:lastPrinted>
  <dcterms:modified xsi:type="dcterms:W3CDTF">2025-11-19T09:03:10Z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5E55C569FF3140AE976ED32A2AD10188_13</vt:lpwstr>
  </property>
  <property fmtid="{D5CDD505-2E9C-101B-9397-08002B2CF9AE}" pid="4" name="KSOTemplateDocerSaveRecord">
    <vt:lpwstr>eyJoZGlkIjoiNjViYWI4NDcyOGM2YTM0N2YzMDM3MzYxZjhiYzJiYzgiLCJ1c2VySWQiOiIyMTU1NjE4NDUifQ==</vt:lpwstr>
  </property>
</Properties>
</file>